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Public Sans" w:cs="Public Sans" w:eastAsia="Public Sans" w:hAnsi="Public Sans"/>
          <w:color w:val="3c1053"/>
          <w:sz w:val="56"/>
          <w:szCs w:val="56"/>
        </w:rPr>
      </w:pPr>
      <w:bookmarkStart w:colFirst="0" w:colLast="0" w:name="_7eke042h1yyy" w:id="0"/>
      <w:bookmarkEnd w:id="0"/>
      <w:r w:rsidDel="00000000" w:rsidR="00000000" w:rsidRPr="00000000">
        <w:rPr>
          <w:rtl w:val="0"/>
        </w:rPr>
        <w:t xml:space="preserve">Sample Parent </w:t>
      </w:r>
      <w:r w:rsidDel="00000000" w:rsidR="00000000" w:rsidRPr="00000000">
        <w:rPr>
          <w:rtl w:val="0"/>
        </w:rPr>
        <w:t xml:space="preserve">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240" w:lineRule="auto"/>
        <w:rPr/>
      </w:pPr>
      <w:bookmarkStart w:colFirst="0" w:colLast="0" w:name="_lknmpzjrr65z" w:id="1"/>
      <w:bookmarkEnd w:id="1"/>
      <w:r w:rsidDel="00000000" w:rsidR="00000000" w:rsidRPr="00000000">
        <w:rPr>
          <w:rtl w:val="0"/>
        </w:rPr>
        <w:t xml:space="preserve">Integration of Artificial Intelligence in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color w:val="4d4d4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Dear Parents and Guardians,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As new technologies like artificial intelligence (AI) become more common, [School System/School Name] is committed to using these tools safely and effectively to enhance teaching and learning. We have established the following principles to guide our use of AI: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Privacy and Security: We will follow regulations to protect student data privacy and safety.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Support Education Goals: AI will be used to improve outcomes for every student.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AI Literacy: Students and teachers will learn how to use AI tools ethically and effectively.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Realize Benefits &amp; Address Risks: We will carefully explore the benefits of AI while addressing any risks.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Academic Integrity: Students will produce original work and properly credit any AI tools they use.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Maintain Human Agency: AI will support, not replace, decisions made by educators and students. School staff will set guidelines for using AI in classes.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Continuous Evaluation: We will regularly review AI use and update our policies and training as needed.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Our goal is to create a learning environment where AI technologies empower rather than replace the human aspects of education. We embrace these technologies cautiously to prepare students for a future where these technologies are everywhere. Please reach out with any questions or input on these principles as we navigate this rapidly changing landscape together. </w:t>
      </w:r>
      <w:r w:rsidDel="00000000" w:rsidR="00000000" w:rsidRPr="00000000">
        <w:rPr>
          <w:rtl w:val="0"/>
        </w:rPr>
        <w:t xml:space="preserve">We thank you for your support.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tl w:val="0"/>
        </w:rPr>
        <w:t xml:space="preserve">Name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080" w:top="1080" w:left="720" w:right="72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spacing w:after="0" w:lineRule="auto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18">
    <w:pPr>
      <w:tabs>
        <w:tab w:val="right" w:leader="none" w:pos="10800"/>
      </w:tabs>
      <w:spacing w:after="0" w:lineRule="auto"/>
      <w:rPr/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spacing w:after="0" w:lineRule="auto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1D">
    <w:pPr>
      <w:tabs>
        <w:tab w:val="right" w:leader="none" w:pos="10800"/>
      </w:tabs>
      <w:spacing w:after="0" w:lineRule="auto"/>
      <w:rPr/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pageBreakBefore w:val="0"/>
      <w:spacing w:after="0" w:lineRule="auto"/>
      <w:jc w:val="lef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-695324</wp:posOffset>
          </wp:positionH>
          <wp:positionV relativeFrom="paragraph">
            <wp:posOffset>0</wp:posOffset>
          </wp:positionV>
          <wp:extent cx="8020050" cy="300038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40310" r="40310" t="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spacing w:after="0" w:lineRule="auto"/>
      <w:rPr>
        <w:rFonts w:ascii="Public Sans" w:cs="Public Sans" w:eastAsia="Public Sans" w:hAnsi="Public Sans"/>
        <w:b w:val="1"/>
        <w:color w:val="4d4d4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791450" cy="1200012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" l="0" r="0" t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>
        <w:rFonts w:ascii="Public Sans" w:cs="Public Sans" w:eastAsia="Public Sans" w:hAnsi="Public Sans"/>
        <w:b w:val="1"/>
      </w:rPr>
    </w:pPr>
    <w:r w:rsidDel="00000000" w:rsidR="00000000" w:rsidRPr="00000000">
      <w:rPr>
        <w:b w:val="1"/>
        <w:color w:val="3c1053"/>
        <w:sz w:val="30"/>
        <w:szCs w:val="30"/>
        <w:rtl w:val="0"/>
      </w:rPr>
      <w:t xml:space="preserve">Office of Teaching and Learning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Public Sans" w:cs="Public Sans" w:eastAsia="Public Sans" w:hAnsi="Public Sans"/>
        <w:color w:val="4e4e51"/>
        <w:sz w:val="22"/>
        <w:szCs w:val="22"/>
        <w:lang w:val="en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ind w:left="-20" w:firstLine="0"/>
    </w:pPr>
    <w:rPr>
      <w:rFonts w:ascii="Public Sans" w:cs="Public Sans" w:eastAsia="Public Sans" w:hAnsi="Public Sans"/>
      <w:b w:val="1"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</w:pPr>
    <w:rPr>
      <w:b w:val="1"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0" w:before="200" w:line="240" w:lineRule="auto"/>
    </w:pPr>
    <w:rPr>
      <w:rFonts w:ascii="Public Sans" w:cs="Public Sans" w:eastAsia="Public Sans" w:hAnsi="Public Sans"/>
      <w:b w:val="1"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ublic Sans Medium" w:cs="Public Sans Medium" w:eastAsia="Public Sans Medium" w:hAnsi="Public Sans Medium"/>
      <w:color w:val="3c1053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