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EC5B0" w14:textId="77777777" w:rsidR="00BB4760" w:rsidRDefault="00F91C53">
      <w:pPr>
        <w:bidi/>
        <w:jc w:val="both"/>
      </w:pPr>
      <w:bookmarkStart w:id="0" w:name="_gjdgxs" w:colFirst="0" w:colLast="0"/>
      <w:bookmarkEnd w:id="0"/>
      <w:r>
        <w:rPr>
          <w:rtl/>
          <w:lang w:eastAsia="ar"/>
        </w:rPr>
        <w:t>تحدد هذه الوثيقة فئات طلبات المنح للأموال المخصصة في السنة المالية الفيدرالية (السنة المالية 22) مسودة قانون تعليم الأفراد ذوي الإعاقة (</w:t>
      </w:r>
      <w:r>
        <w:rPr>
          <w:lang w:eastAsia="ar" w:bidi="en-US"/>
        </w:rPr>
        <w:t>IDEA</w:t>
      </w:r>
      <w:r>
        <w:rPr>
          <w:rtl/>
          <w:lang w:eastAsia="ar"/>
        </w:rPr>
        <w:t xml:space="preserve">) ، والأنشطة المقابلة التي سيتم دعمها في كل فئة ، واحتياجات التمويل المقترحة لكل فئة. تستجيب الأنشطة الموضحة في هذا المستند لاحتياجات الطلاب والمعلمين والأسر في لويزيانا وتدعم </w:t>
      </w:r>
      <w:hyperlink r:id="rId7">
        <w:r>
          <w:rPr>
            <w:color w:val="1155CC"/>
            <w:u w:val="single"/>
            <w:rtl/>
            <w:lang w:eastAsia="ar"/>
          </w:rPr>
          <w:t>إيمان لويزيانا لتحقيق الأولويات</w:t>
        </w:r>
        <w:r>
          <w:rPr>
            <w:color w:val="1155CC"/>
            <w:rtl/>
            <w:lang w:eastAsia="ar"/>
          </w:rPr>
          <w:t xml:space="preserve"> </w:t>
        </w:r>
        <w:hyperlink r:id="rId8">
          <w:r>
            <w:rPr>
              <w:color w:val="1155CC"/>
              <w:rtl/>
              <w:lang w:eastAsia="ar"/>
            </w:rPr>
            <w:t xml:space="preserve">وأفضل الممارسات لدعم رحلة تعليمية شاملة عالية الجودة للطلاب ذوي الإعاقة. </w:t>
          </w:r>
        </w:hyperlink>
      </w:hyperlink>
    </w:p>
    <w:p w14:paraId="6402CA1A" w14:textId="77777777" w:rsidR="00BB4760" w:rsidRDefault="00BB4760">
      <w:pPr>
        <w:bidi/>
      </w:pPr>
      <w:bookmarkStart w:id="1" w:name="_bfjt4mqsxwqg" w:colFirst="0" w:colLast="0"/>
      <w:bookmarkEnd w:id="1"/>
    </w:p>
    <w:p w14:paraId="5A102721" w14:textId="77777777" w:rsidR="00BB4760" w:rsidRDefault="00F91C53">
      <w:pPr>
        <w:bidi/>
        <w:rPr>
          <w:highlight w:val="white"/>
        </w:rPr>
      </w:pPr>
      <w:bookmarkStart w:id="2" w:name="_o9xzqm1tp0iy" w:colFirst="0" w:colLast="0"/>
      <w:bookmarkEnd w:id="2"/>
      <w:r>
        <w:rPr>
          <w:highlight w:val="white"/>
          <w:rtl/>
          <w:lang w:eastAsia="ar"/>
        </w:rPr>
        <w:t xml:space="preserve">في حين أن الإدارة لم تتلق حتى الآن جداول تخصيص السنة المالية 22 ، نصح </w:t>
      </w:r>
      <w:r>
        <w:rPr>
          <w:highlight w:val="white"/>
          <w:lang w:eastAsia="ar" w:bidi="en-US"/>
        </w:rPr>
        <w:t>OSEP</w:t>
      </w:r>
      <w:r>
        <w:rPr>
          <w:highlight w:val="white"/>
          <w:rtl/>
          <w:lang w:eastAsia="ar"/>
        </w:rPr>
        <w:t xml:space="preserve"> الدول بإعداد الطلب باستخدام المخصصات من طلب السنة المالية 21 ، وعند استلام جداول التخصيص ، لإدراج أحدث المعلومات مع الطلب وإعادة النشر أثناء المشاركة العامة الجدول الزمني.</w:t>
      </w:r>
      <w:r>
        <w:rPr>
          <w:highlight w:val="white"/>
          <w:vertAlign w:val="superscript"/>
          <w:rtl/>
          <w:lang w:eastAsia="ar"/>
        </w:rPr>
        <w:footnoteReference w:id="1"/>
      </w:r>
      <w:r>
        <w:rPr>
          <w:highlight w:val="white"/>
          <w:rtl/>
          <w:lang w:eastAsia="ar"/>
        </w:rPr>
        <w:t xml:space="preserve"> تعكس المبالغ بالدولار الموضحة أدناه المخصصات المستلمة لتطبيق السنة المالية 21.  </w:t>
      </w:r>
    </w:p>
    <w:p w14:paraId="38B9F51B" w14:textId="77777777" w:rsidR="00BB4760" w:rsidRDefault="00BB4760">
      <w:pPr>
        <w:bidi/>
      </w:pPr>
      <w:bookmarkStart w:id="3" w:name="_b4bffohujjm5" w:colFirst="0" w:colLast="0"/>
      <w:bookmarkEnd w:id="3"/>
    </w:p>
    <w:tbl>
      <w:tblPr>
        <w:tblStyle w:val="a"/>
        <w:bidiVisual/>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405"/>
        <w:gridCol w:w="690"/>
        <w:gridCol w:w="2475"/>
      </w:tblGrid>
      <w:tr w:rsidR="00BB4760" w14:paraId="09B1246D" w14:textId="77777777">
        <w:tc>
          <w:tcPr>
            <w:tcW w:w="3750" w:type="dxa"/>
            <w:shd w:val="clear" w:color="auto" w:fill="auto"/>
            <w:tcMar>
              <w:top w:w="100" w:type="dxa"/>
              <w:left w:w="100" w:type="dxa"/>
              <w:bottom w:w="100" w:type="dxa"/>
              <w:right w:w="100" w:type="dxa"/>
            </w:tcMar>
          </w:tcPr>
          <w:p w14:paraId="50FCD7A9" w14:textId="77777777" w:rsidR="00BB4760" w:rsidRDefault="00F91C53">
            <w:pPr>
              <w:widowControl w:val="0"/>
              <w:pBdr>
                <w:top w:val="nil"/>
                <w:left w:val="nil"/>
                <w:bottom w:val="nil"/>
                <w:right w:val="nil"/>
                <w:between w:val="nil"/>
              </w:pBdr>
              <w:bidi/>
              <w:jc w:val="center"/>
              <w:rPr>
                <w:b/>
              </w:rPr>
            </w:pPr>
            <w:r>
              <w:rPr>
                <w:b/>
                <w:bCs/>
                <w:rtl/>
                <w:lang w:eastAsia="ar"/>
              </w:rPr>
              <w:t>بالنسبة للأنشطة الأخرى على مستوى الولاية</w:t>
            </w:r>
          </w:p>
        </w:tc>
        <w:tc>
          <w:tcPr>
            <w:tcW w:w="3405" w:type="dxa"/>
            <w:shd w:val="clear" w:color="auto" w:fill="auto"/>
            <w:tcMar>
              <w:top w:w="100" w:type="dxa"/>
              <w:left w:w="100" w:type="dxa"/>
              <w:bottom w:w="100" w:type="dxa"/>
              <w:right w:w="100" w:type="dxa"/>
            </w:tcMar>
          </w:tcPr>
          <w:p w14:paraId="0EEA59D8" w14:textId="77777777" w:rsidR="00BB4760" w:rsidRDefault="00F91C53">
            <w:pPr>
              <w:widowControl w:val="0"/>
              <w:pBdr>
                <w:top w:val="nil"/>
                <w:left w:val="nil"/>
                <w:bottom w:val="nil"/>
                <w:right w:val="nil"/>
                <w:between w:val="nil"/>
              </w:pBdr>
              <w:bidi/>
              <w:jc w:val="center"/>
              <w:rPr>
                <w:b/>
              </w:rPr>
            </w:pPr>
            <w:r>
              <w:rPr>
                <w:b/>
                <w:bCs/>
                <w:rtl/>
                <w:lang w:eastAsia="ar"/>
              </w:rPr>
              <w:t>الأنشطة والمواصفات</w:t>
            </w:r>
          </w:p>
        </w:tc>
        <w:tc>
          <w:tcPr>
            <w:tcW w:w="690" w:type="dxa"/>
            <w:shd w:val="clear" w:color="auto" w:fill="auto"/>
            <w:tcMar>
              <w:top w:w="100" w:type="dxa"/>
              <w:left w:w="100" w:type="dxa"/>
              <w:bottom w:w="100" w:type="dxa"/>
              <w:right w:w="100" w:type="dxa"/>
            </w:tcMar>
          </w:tcPr>
          <w:p w14:paraId="4F857914" w14:textId="77777777" w:rsidR="00BB4760" w:rsidRDefault="00BB4760">
            <w:pPr>
              <w:widowControl w:val="0"/>
              <w:pBdr>
                <w:top w:val="nil"/>
                <w:left w:val="nil"/>
                <w:bottom w:val="nil"/>
                <w:right w:val="nil"/>
                <w:between w:val="nil"/>
              </w:pBdr>
              <w:bidi/>
              <w:jc w:val="center"/>
              <w:rPr>
                <w:b/>
              </w:rPr>
            </w:pPr>
          </w:p>
        </w:tc>
        <w:tc>
          <w:tcPr>
            <w:tcW w:w="2475" w:type="dxa"/>
            <w:shd w:val="clear" w:color="auto" w:fill="auto"/>
            <w:tcMar>
              <w:top w:w="100" w:type="dxa"/>
              <w:left w:w="100" w:type="dxa"/>
              <w:bottom w:w="100" w:type="dxa"/>
              <w:right w:w="100" w:type="dxa"/>
            </w:tcMar>
          </w:tcPr>
          <w:p w14:paraId="4E82C44A" w14:textId="77777777" w:rsidR="00BB4760" w:rsidRDefault="00F91C53">
            <w:pPr>
              <w:widowControl w:val="0"/>
              <w:pBdr>
                <w:top w:val="nil"/>
                <w:left w:val="nil"/>
                <w:bottom w:val="nil"/>
                <w:right w:val="nil"/>
                <w:between w:val="nil"/>
              </w:pBdr>
              <w:bidi/>
              <w:jc w:val="center"/>
              <w:rPr>
                <w:b/>
              </w:rPr>
            </w:pPr>
            <w:r>
              <w:rPr>
                <w:b/>
                <w:bCs/>
                <w:rtl/>
                <w:lang w:eastAsia="ar"/>
              </w:rPr>
              <w:t xml:space="preserve">المبالغ بالدولار </w:t>
            </w:r>
          </w:p>
        </w:tc>
      </w:tr>
      <w:tr w:rsidR="00BB4760" w14:paraId="116BDCA4" w14:textId="77777777">
        <w:tc>
          <w:tcPr>
            <w:tcW w:w="3750" w:type="dxa"/>
            <w:tcBorders>
              <w:bottom w:val="single" w:sz="6" w:space="0" w:color="000000"/>
            </w:tcBorders>
            <w:tcMar>
              <w:top w:w="100" w:type="dxa"/>
              <w:left w:w="100" w:type="dxa"/>
              <w:bottom w:w="100" w:type="dxa"/>
              <w:right w:w="100" w:type="dxa"/>
            </w:tcMar>
          </w:tcPr>
          <w:p w14:paraId="6BCF1F65" w14:textId="77777777" w:rsidR="00BB4760" w:rsidRDefault="00F91C53">
            <w:pPr>
              <w:widowControl w:val="0"/>
              <w:pBdr>
                <w:top w:val="nil"/>
                <w:left w:val="nil"/>
                <w:bottom w:val="nil"/>
                <w:right w:val="nil"/>
                <w:between w:val="nil"/>
              </w:pBdr>
              <w:bidi/>
            </w:pPr>
            <w:r>
              <w:rPr>
                <w:rtl/>
                <w:lang w:eastAsia="ar"/>
              </w:rPr>
              <w:t>الأنشطة المطلوبة</w:t>
            </w:r>
          </w:p>
          <w:p w14:paraId="03F44F92" w14:textId="77777777" w:rsidR="00BB4760" w:rsidRDefault="00F91C53">
            <w:pPr>
              <w:widowControl w:val="0"/>
              <w:pBdr>
                <w:top w:val="nil"/>
                <w:left w:val="nil"/>
                <w:bottom w:val="nil"/>
                <w:right w:val="nil"/>
                <w:between w:val="nil"/>
              </w:pBdr>
              <w:bidi/>
            </w:pPr>
            <w:r>
              <w:rPr>
                <w:rtl/>
                <w:lang w:eastAsia="ar"/>
              </w:rPr>
              <w:t xml:space="preserve">الأموال المحجوزة بموجب 20 </w:t>
            </w:r>
            <w:r>
              <w:rPr>
                <w:lang w:eastAsia="ar" w:bidi="en-US"/>
              </w:rPr>
              <w:t>U.S.C</w:t>
            </w:r>
            <w:r>
              <w:rPr>
                <w:rtl/>
                <w:lang w:eastAsia="ar"/>
              </w:rPr>
              <w:t>.</w:t>
            </w:r>
          </w:p>
          <w:p w14:paraId="4E9D3A7A" w14:textId="77777777" w:rsidR="00BB4760" w:rsidRDefault="00F91C53">
            <w:pPr>
              <w:widowControl w:val="0"/>
              <w:pBdr>
                <w:top w:val="nil"/>
                <w:left w:val="nil"/>
                <w:bottom w:val="nil"/>
                <w:right w:val="nil"/>
                <w:between w:val="nil"/>
              </w:pBdr>
              <w:bidi/>
            </w:pPr>
            <w:r>
              <w:rPr>
                <w:rtl/>
                <w:lang w:eastAsia="ar"/>
              </w:rPr>
              <w:t>تستخدم المادة 1411 (هـ) (2)(أ)؛34 (قانون اللوائح الفيدرالية) الفقرة رقم 300.704</w:t>
            </w:r>
          </w:p>
          <w:p w14:paraId="00D93B22" w14:textId="77777777" w:rsidR="00BB4760" w:rsidRDefault="00F91C53">
            <w:pPr>
              <w:widowControl w:val="0"/>
              <w:pBdr>
                <w:top w:val="nil"/>
                <w:left w:val="nil"/>
                <w:bottom w:val="nil"/>
                <w:right w:val="nil"/>
                <w:between w:val="nil"/>
              </w:pBdr>
              <w:bidi/>
            </w:pPr>
            <w:r>
              <w:rPr>
                <w:rtl/>
                <w:lang w:eastAsia="ar"/>
              </w:rPr>
              <w:t>في تنفيذ الأنشطة التالية:</w:t>
            </w:r>
          </w:p>
        </w:tc>
        <w:tc>
          <w:tcPr>
            <w:tcW w:w="3405" w:type="dxa"/>
            <w:tcBorders>
              <w:bottom w:val="single" w:sz="6" w:space="0" w:color="000000"/>
            </w:tcBorders>
            <w:shd w:val="clear" w:color="auto" w:fill="CCCCCC"/>
            <w:tcMar>
              <w:top w:w="100" w:type="dxa"/>
              <w:left w:w="100" w:type="dxa"/>
              <w:bottom w:w="100" w:type="dxa"/>
              <w:right w:w="100" w:type="dxa"/>
            </w:tcMar>
          </w:tcPr>
          <w:p w14:paraId="28BE2E8A" w14:textId="77777777" w:rsidR="00BB4760" w:rsidRDefault="00BB4760">
            <w:pPr>
              <w:widowControl w:val="0"/>
              <w:pBdr>
                <w:top w:val="nil"/>
                <w:left w:val="nil"/>
                <w:bottom w:val="nil"/>
                <w:right w:val="nil"/>
                <w:between w:val="nil"/>
              </w:pBdr>
              <w:bidi/>
            </w:pPr>
          </w:p>
        </w:tc>
        <w:tc>
          <w:tcPr>
            <w:tcW w:w="690" w:type="dxa"/>
            <w:tcBorders>
              <w:bottom w:val="single" w:sz="6" w:space="0" w:color="000000"/>
            </w:tcBorders>
            <w:shd w:val="clear" w:color="auto" w:fill="CCCCCC"/>
            <w:tcMar>
              <w:top w:w="100" w:type="dxa"/>
              <w:left w:w="100" w:type="dxa"/>
              <w:bottom w:w="100" w:type="dxa"/>
              <w:right w:w="100" w:type="dxa"/>
            </w:tcMar>
          </w:tcPr>
          <w:p w14:paraId="230C3DE6" w14:textId="77777777" w:rsidR="00BB4760" w:rsidRDefault="00BB4760">
            <w:pPr>
              <w:widowControl w:val="0"/>
              <w:pBdr>
                <w:top w:val="nil"/>
                <w:left w:val="nil"/>
                <w:bottom w:val="nil"/>
                <w:right w:val="nil"/>
                <w:between w:val="nil"/>
              </w:pBdr>
              <w:bidi/>
            </w:pPr>
          </w:p>
        </w:tc>
        <w:tc>
          <w:tcPr>
            <w:tcW w:w="2475" w:type="dxa"/>
            <w:tcBorders>
              <w:bottom w:val="single" w:sz="6" w:space="0" w:color="000000"/>
            </w:tcBorders>
            <w:shd w:val="clear" w:color="auto" w:fill="CCCCCC"/>
            <w:tcMar>
              <w:top w:w="100" w:type="dxa"/>
              <w:left w:w="100" w:type="dxa"/>
              <w:bottom w:w="100" w:type="dxa"/>
              <w:right w:w="100" w:type="dxa"/>
            </w:tcMar>
          </w:tcPr>
          <w:p w14:paraId="27AF76C3" w14:textId="77777777" w:rsidR="00BB4760" w:rsidRDefault="00BB4760">
            <w:pPr>
              <w:widowControl w:val="0"/>
              <w:pBdr>
                <w:top w:val="nil"/>
                <w:left w:val="nil"/>
                <w:bottom w:val="nil"/>
                <w:right w:val="nil"/>
                <w:between w:val="nil"/>
              </w:pBdr>
              <w:bidi/>
              <w:jc w:val="right"/>
            </w:pPr>
          </w:p>
        </w:tc>
      </w:tr>
      <w:tr w:rsidR="00BB4760" w14:paraId="1798B970"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FC277A" w14:textId="77777777" w:rsidR="00BB4760" w:rsidRDefault="00F91C53">
            <w:pPr>
              <w:widowControl w:val="0"/>
              <w:bidi/>
              <w:spacing w:line="276" w:lineRule="auto"/>
              <w:ind w:left="90"/>
            </w:pPr>
            <w:r>
              <w:rPr>
                <w:rtl/>
                <w:lang w:eastAsia="ar"/>
              </w:rPr>
              <w:t>للمراقبة والتنفيذ والتحقيق في الشكاوى.</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8355BC" w14:textId="77777777" w:rsidR="00BB4760" w:rsidRDefault="00BB4760">
            <w:pPr>
              <w:widowControl w:val="0"/>
              <w:bidi/>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7D10CC" w14:textId="77777777" w:rsidR="00BB4760" w:rsidRDefault="00F91C53">
            <w:pPr>
              <w:widowControl w:val="0"/>
              <w:bidi/>
              <w:spacing w:line="276" w:lineRule="auto"/>
            </w:pPr>
            <w:r>
              <w:rPr>
                <w:rtl/>
                <w:lang w:eastAsia="ar"/>
              </w:rPr>
              <w:t>(ح)</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A338F" w14:textId="77777777" w:rsidR="00BB4760" w:rsidRDefault="00F91C53">
            <w:pPr>
              <w:widowControl w:val="0"/>
              <w:bidi/>
              <w:spacing w:line="276" w:lineRule="auto"/>
              <w:jc w:val="right"/>
            </w:pPr>
            <w:r>
              <w:rPr>
                <w:rtl/>
                <w:lang w:eastAsia="ar"/>
              </w:rPr>
              <w:t>221,309 دولار</w:t>
            </w:r>
          </w:p>
        </w:tc>
      </w:tr>
      <w:tr w:rsidR="00BB4760" w14:paraId="2B2341AE"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EB1E9" w14:textId="77777777" w:rsidR="00BB4760" w:rsidRDefault="00F91C53">
            <w:pPr>
              <w:widowControl w:val="0"/>
              <w:bidi/>
              <w:spacing w:line="276" w:lineRule="auto"/>
              <w:ind w:left="90"/>
            </w:pPr>
            <w:r>
              <w:rPr>
                <w:rtl/>
                <w:lang w:eastAsia="ar"/>
              </w:rPr>
              <w:t xml:space="preserve">لإنشاء وتنفيذ عملية الوساطة المطلوبة بموجب 20 </w:t>
            </w:r>
            <w:r>
              <w:rPr>
                <w:lang w:eastAsia="ar" w:bidi="en-US"/>
              </w:rPr>
              <w:t>U.S.C.1415I</w:t>
            </w:r>
            <w:r>
              <w:rPr>
                <w:rtl/>
                <w:lang w:eastAsia="ar"/>
              </w:rPr>
              <w:t xml:space="preserve">؛ 34 </w:t>
            </w:r>
            <w:r>
              <w:rPr>
                <w:lang w:eastAsia="ar" w:bidi="en-US"/>
              </w:rPr>
              <w:t>CFR</w:t>
            </w:r>
            <w:r>
              <w:rPr>
                <w:rtl/>
                <w:lang w:eastAsia="ar"/>
              </w:rPr>
              <w:t xml:space="preserve"> § 300.704 ، بما في ذلك توفير تكلفة الوسطاء وموظفي الدعم.</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C28A3" w14:textId="77777777" w:rsidR="00BB4760" w:rsidRDefault="00BB4760">
            <w:pPr>
              <w:widowControl w:val="0"/>
              <w:bidi/>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3FCBC1" w14:textId="77777777" w:rsidR="00BB4760" w:rsidRDefault="00F91C53">
            <w:pPr>
              <w:widowControl w:val="0"/>
              <w:bidi/>
              <w:spacing w:line="276" w:lineRule="auto"/>
            </w:pPr>
            <w:r>
              <w:rPr>
                <w:rtl/>
                <w:lang w:eastAsia="ar"/>
              </w:rPr>
              <w:t>(ط)</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78A373" w14:textId="77777777" w:rsidR="00BB4760" w:rsidRDefault="00F91C53">
            <w:pPr>
              <w:widowControl w:val="0"/>
              <w:bidi/>
              <w:spacing w:line="276" w:lineRule="auto"/>
              <w:jc w:val="right"/>
            </w:pPr>
            <w:r>
              <w:rPr>
                <w:rtl/>
                <w:lang w:eastAsia="ar"/>
              </w:rPr>
              <w:t>152,650 دولار</w:t>
            </w:r>
          </w:p>
        </w:tc>
      </w:tr>
      <w:tr w:rsidR="00BB4760" w14:paraId="05B67CE6" w14:textId="77777777">
        <w:tc>
          <w:tcPr>
            <w:tcW w:w="3750" w:type="dxa"/>
            <w:tcBorders>
              <w:top w:val="single" w:sz="6" w:space="0" w:color="000000"/>
            </w:tcBorders>
            <w:tcMar>
              <w:top w:w="100" w:type="dxa"/>
              <w:left w:w="100" w:type="dxa"/>
              <w:bottom w:w="100" w:type="dxa"/>
              <w:right w:w="100" w:type="dxa"/>
            </w:tcMar>
          </w:tcPr>
          <w:p w14:paraId="029B6DF5" w14:textId="77777777" w:rsidR="00BB4760" w:rsidRDefault="00F91C53">
            <w:pPr>
              <w:widowControl w:val="0"/>
              <w:pBdr>
                <w:top w:val="nil"/>
                <w:left w:val="nil"/>
                <w:bottom w:val="nil"/>
                <w:right w:val="nil"/>
                <w:between w:val="nil"/>
              </w:pBdr>
              <w:bidi/>
            </w:pPr>
            <w:r>
              <w:rPr>
                <w:rtl/>
                <w:lang w:eastAsia="ar"/>
              </w:rPr>
              <w:t>الأنشطة المخوَّلة</w:t>
            </w:r>
          </w:p>
          <w:p w14:paraId="1FD5F6E5" w14:textId="77777777" w:rsidR="00BB4760" w:rsidRDefault="00F91C53">
            <w:pPr>
              <w:widowControl w:val="0"/>
              <w:pBdr>
                <w:top w:val="nil"/>
                <w:left w:val="nil"/>
                <w:bottom w:val="nil"/>
                <w:right w:val="nil"/>
                <w:between w:val="nil"/>
              </w:pBdr>
              <w:bidi/>
            </w:pPr>
            <w:r>
              <w:rPr>
                <w:rtl/>
                <w:lang w:eastAsia="ar"/>
              </w:rPr>
              <w:t xml:space="preserve">الأموال المحجوزة بموجب 20 </w:t>
            </w:r>
            <w:r>
              <w:rPr>
                <w:lang w:eastAsia="ar" w:bidi="en-US"/>
              </w:rPr>
              <w:t>U.S.C</w:t>
            </w:r>
            <w:r>
              <w:rPr>
                <w:rtl/>
                <w:lang w:eastAsia="ar"/>
              </w:rPr>
              <w:t>.</w:t>
            </w:r>
          </w:p>
          <w:p w14:paraId="6E6D6D15" w14:textId="77777777" w:rsidR="00BB4760" w:rsidRDefault="00F91C53">
            <w:pPr>
              <w:widowControl w:val="0"/>
              <w:pBdr>
                <w:top w:val="nil"/>
                <w:left w:val="nil"/>
                <w:bottom w:val="nil"/>
                <w:right w:val="nil"/>
                <w:between w:val="nil"/>
              </w:pBdr>
              <w:bidi/>
            </w:pPr>
            <w:r>
              <w:rPr>
                <w:rtl/>
                <w:lang w:eastAsia="ar"/>
              </w:rPr>
              <w:t>1411 (هـ) (2) (أ) ؛ 34</w:t>
            </w:r>
            <w:r>
              <w:rPr>
                <w:lang w:eastAsia="ar" w:bidi="en-US"/>
              </w:rPr>
              <w:t>CFR</w:t>
            </w:r>
            <w:r>
              <w:rPr>
                <w:rtl/>
                <w:lang w:eastAsia="ar"/>
              </w:rPr>
              <w:t xml:space="preserve"> § 300.704 قد يكون</w:t>
            </w:r>
          </w:p>
          <w:p w14:paraId="76FEB0D1" w14:textId="77777777" w:rsidR="00BB4760" w:rsidRDefault="00F91C53">
            <w:pPr>
              <w:widowControl w:val="0"/>
              <w:pBdr>
                <w:top w:val="nil"/>
                <w:left w:val="nil"/>
                <w:bottom w:val="nil"/>
                <w:right w:val="nil"/>
                <w:between w:val="nil"/>
              </w:pBdr>
              <w:bidi/>
            </w:pPr>
            <w:r>
              <w:rPr>
                <w:rtl/>
                <w:lang w:eastAsia="ar"/>
              </w:rPr>
              <w:t>في تنفيذ الأنشطة التالية:</w:t>
            </w:r>
          </w:p>
          <w:p w14:paraId="23D23B3D" w14:textId="77777777" w:rsidR="00BB4760" w:rsidRDefault="00BB4760">
            <w:pPr>
              <w:widowControl w:val="0"/>
              <w:pBdr>
                <w:top w:val="nil"/>
                <w:left w:val="nil"/>
                <w:bottom w:val="nil"/>
                <w:right w:val="nil"/>
                <w:between w:val="nil"/>
              </w:pBdr>
              <w:bidi/>
            </w:pPr>
          </w:p>
        </w:tc>
        <w:tc>
          <w:tcPr>
            <w:tcW w:w="3405" w:type="dxa"/>
            <w:tcBorders>
              <w:top w:val="single" w:sz="6" w:space="0" w:color="000000"/>
            </w:tcBorders>
            <w:shd w:val="clear" w:color="auto" w:fill="CCCCCC"/>
            <w:tcMar>
              <w:top w:w="100" w:type="dxa"/>
              <w:left w:w="100" w:type="dxa"/>
              <w:bottom w:w="100" w:type="dxa"/>
              <w:right w:w="100" w:type="dxa"/>
            </w:tcMar>
          </w:tcPr>
          <w:p w14:paraId="533749A2" w14:textId="77777777" w:rsidR="00BB4760" w:rsidRDefault="00BB4760">
            <w:pPr>
              <w:widowControl w:val="0"/>
              <w:pBdr>
                <w:top w:val="nil"/>
                <w:left w:val="nil"/>
                <w:bottom w:val="nil"/>
                <w:right w:val="nil"/>
                <w:between w:val="nil"/>
              </w:pBdr>
              <w:bidi/>
            </w:pPr>
          </w:p>
        </w:tc>
        <w:tc>
          <w:tcPr>
            <w:tcW w:w="690" w:type="dxa"/>
            <w:tcBorders>
              <w:top w:val="single" w:sz="6" w:space="0" w:color="000000"/>
            </w:tcBorders>
            <w:shd w:val="clear" w:color="auto" w:fill="CCCCCC"/>
            <w:tcMar>
              <w:top w:w="100" w:type="dxa"/>
              <w:left w:w="100" w:type="dxa"/>
              <w:bottom w:w="100" w:type="dxa"/>
              <w:right w:w="100" w:type="dxa"/>
            </w:tcMar>
          </w:tcPr>
          <w:p w14:paraId="0B10A7B8" w14:textId="77777777" w:rsidR="00BB4760" w:rsidRDefault="00BB4760">
            <w:pPr>
              <w:widowControl w:val="0"/>
              <w:pBdr>
                <w:top w:val="nil"/>
                <w:left w:val="nil"/>
                <w:bottom w:val="nil"/>
                <w:right w:val="nil"/>
                <w:between w:val="nil"/>
              </w:pBdr>
              <w:bidi/>
            </w:pPr>
          </w:p>
        </w:tc>
        <w:tc>
          <w:tcPr>
            <w:tcW w:w="2475" w:type="dxa"/>
            <w:tcBorders>
              <w:top w:val="single" w:sz="6" w:space="0" w:color="000000"/>
            </w:tcBorders>
            <w:shd w:val="clear" w:color="auto" w:fill="CCCCCC"/>
            <w:tcMar>
              <w:top w:w="100" w:type="dxa"/>
              <w:left w:w="100" w:type="dxa"/>
              <w:bottom w:w="100" w:type="dxa"/>
              <w:right w:w="100" w:type="dxa"/>
            </w:tcMar>
          </w:tcPr>
          <w:p w14:paraId="18FEE57C" w14:textId="77777777" w:rsidR="00BB4760" w:rsidRDefault="00BB4760">
            <w:pPr>
              <w:widowControl w:val="0"/>
              <w:pBdr>
                <w:top w:val="nil"/>
                <w:left w:val="nil"/>
                <w:bottom w:val="nil"/>
                <w:right w:val="nil"/>
                <w:between w:val="nil"/>
              </w:pBdr>
              <w:bidi/>
              <w:jc w:val="right"/>
            </w:pPr>
          </w:p>
        </w:tc>
      </w:tr>
      <w:tr w:rsidR="00BB4760" w14:paraId="7DA6DD3F" w14:textId="77777777">
        <w:tc>
          <w:tcPr>
            <w:tcW w:w="3750" w:type="dxa"/>
            <w:tcMar>
              <w:top w:w="100" w:type="dxa"/>
              <w:left w:w="100" w:type="dxa"/>
              <w:bottom w:w="100" w:type="dxa"/>
              <w:right w:w="100" w:type="dxa"/>
            </w:tcMar>
          </w:tcPr>
          <w:p w14:paraId="44E23588" w14:textId="77777777" w:rsidR="00BB4760" w:rsidRDefault="00F91C53">
            <w:pPr>
              <w:widowControl w:val="0"/>
              <w:pBdr>
                <w:top w:val="nil"/>
                <w:left w:val="nil"/>
                <w:bottom w:val="nil"/>
                <w:right w:val="nil"/>
                <w:between w:val="nil"/>
              </w:pBdr>
              <w:bidi/>
            </w:pPr>
            <w:r>
              <w:rPr>
                <w:rtl/>
                <w:lang w:eastAsia="ar"/>
              </w:rPr>
              <w:t>للدعم والخدمات المباشرة، بما في ذلك المساعدة التقنية وإعداد الموظفين والتطوير والتدريب المهني.</w:t>
            </w:r>
          </w:p>
        </w:tc>
        <w:tc>
          <w:tcPr>
            <w:tcW w:w="3405" w:type="dxa"/>
            <w:tcMar>
              <w:top w:w="100" w:type="dxa"/>
              <w:left w:w="100" w:type="dxa"/>
              <w:bottom w:w="100" w:type="dxa"/>
              <w:right w:w="100" w:type="dxa"/>
            </w:tcMar>
          </w:tcPr>
          <w:p w14:paraId="352C822A" w14:textId="77777777" w:rsidR="00BB4760" w:rsidRDefault="00F91C53">
            <w:pPr>
              <w:widowControl w:val="0"/>
              <w:numPr>
                <w:ilvl w:val="0"/>
                <w:numId w:val="3"/>
              </w:numPr>
              <w:pBdr>
                <w:top w:val="nil"/>
                <w:left w:val="nil"/>
                <w:bottom w:val="nil"/>
                <w:right w:val="nil"/>
                <w:between w:val="nil"/>
              </w:pBdr>
              <w:bidi/>
            </w:pPr>
            <w:r>
              <w:rPr>
                <w:rtl/>
                <w:lang w:eastAsia="ar"/>
              </w:rPr>
              <w:t>توفير مستشارين رئيسيين للمعلمين وفرص للتدريب مع التركيز على تقديم تعليم خاص للمعلمين الحاليين.</w:t>
            </w:r>
          </w:p>
          <w:p w14:paraId="078A6458" w14:textId="77777777" w:rsidR="00BB4760" w:rsidRDefault="00F91C53">
            <w:pPr>
              <w:widowControl w:val="0"/>
              <w:numPr>
                <w:ilvl w:val="0"/>
                <w:numId w:val="3"/>
              </w:numPr>
              <w:pBdr>
                <w:top w:val="nil"/>
                <w:left w:val="nil"/>
                <w:bottom w:val="nil"/>
                <w:right w:val="nil"/>
                <w:between w:val="nil"/>
              </w:pBdr>
              <w:bidi/>
            </w:pPr>
            <w:r>
              <w:rPr>
                <w:rtl/>
                <w:lang w:eastAsia="ar"/>
              </w:rPr>
              <w:t>توفير الدعم للتطوير المهني للفريق الاستشاري للتعليم الخاص</w:t>
            </w:r>
          </w:p>
          <w:p w14:paraId="63384AB3" w14:textId="77777777" w:rsidR="00BB4760" w:rsidRDefault="00F91C53">
            <w:pPr>
              <w:widowControl w:val="0"/>
              <w:numPr>
                <w:ilvl w:val="0"/>
                <w:numId w:val="3"/>
              </w:numPr>
              <w:pBdr>
                <w:top w:val="nil"/>
                <w:left w:val="nil"/>
                <w:bottom w:val="nil"/>
                <w:right w:val="nil"/>
                <w:between w:val="nil"/>
              </w:pBdr>
              <w:bidi/>
            </w:pPr>
            <w:r>
              <w:rPr>
                <w:rtl/>
                <w:lang w:eastAsia="ar"/>
              </w:rPr>
              <w:t xml:space="preserve">المساعدة الفنية الإقليمية لدعم أسر الطلاب ذوي الإعاقة </w:t>
            </w:r>
          </w:p>
          <w:p w14:paraId="0196A0DA" w14:textId="77777777" w:rsidR="00BB4760" w:rsidRDefault="00F91C53">
            <w:pPr>
              <w:widowControl w:val="0"/>
              <w:numPr>
                <w:ilvl w:val="0"/>
                <w:numId w:val="3"/>
              </w:numPr>
              <w:pBdr>
                <w:top w:val="nil"/>
                <w:left w:val="nil"/>
                <w:bottom w:val="nil"/>
                <w:right w:val="nil"/>
                <w:between w:val="nil"/>
              </w:pBdr>
              <w:bidi/>
            </w:pPr>
            <w:r>
              <w:rPr>
                <w:rtl/>
                <w:lang w:eastAsia="ar"/>
              </w:rPr>
              <w:t>أدوات وموارد للأسر وأفراد المجتمع لفهم المكونات الحاسمة للتربية الخاصة ، مثل المسح الخاص بالوالدين</w:t>
            </w:r>
          </w:p>
          <w:p w14:paraId="0AA58D49" w14:textId="77777777" w:rsidR="00BB4760" w:rsidRDefault="00F91C53">
            <w:pPr>
              <w:widowControl w:val="0"/>
              <w:numPr>
                <w:ilvl w:val="0"/>
                <w:numId w:val="3"/>
              </w:numPr>
              <w:pBdr>
                <w:top w:val="nil"/>
                <w:left w:val="nil"/>
                <w:bottom w:val="nil"/>
                <w:right w:val="nil"/>
                <w:between w:val="nil"/>
              </w:pBdr>
              <w:bidi/>
            </w:pPr>
            <w:r>
              <w:rPr>
                <w:rtl/>
                <w:lang w:eastAsia="ar"/>
              </w:rPr>
              <w:t>أدوات وموارد للأسر وأفراد المجتمع لفهم المكونات الحاسمة للتربية الخاصة ، مثل مسح الوالدين</w:t>
            </w:r>
          </w:p>
          <w:p w14:paraId="0C29E4F1" w14:textId="77777777" w:rsidR="00BB4760" w:rsidRDefault="00F91C53">
            <w:pPr>
              <w:widowControl w:val="0"/>
              <w:numPr>
                <w:ilvl w:val="0"/>
                <w:numId w:val="3"/>
              </w:numPr>
              <w:pBdr>
                <w:top w:val="nil"/>
                <w:left w:val="nil"/>
                <w:bottom w:val="nil"/>
                <w:right w:val="nil"/>
                <w:between w:val="nil"/>
              </w:pBdr>
              <w:bidi/>
            </w:pPr>
            <w:r>
              <w:rPr>
                <w:rtl/>
                <w:lang w:eastAsia="ar"/>
              </w:rPr>
              <w:t xml:space="preserve">ملاحظات وتعليقات صنف </w:t>
            </w:r>
            <w:r>
              <w:rPr>
                <w:lang w:eastAsia="ar" w:bidi="en-US"/>
              </w:rPr>
              <w:t xml:space="preserve">K-2 </w:t>
            </w:r>
            <w:r>
              <w:rPr>
                <w:lang w:eastAsia="ar" w:bidi="en-US"/>
              </w:rPr>
              <w:lastRenderedPageBreak/>
              <w:t>CLASS</w:t>
            </w:r>
            <w:r>
              <w:rPr>
                <w:rtl/>
                <w:lang w:eastAsia="ar"/>
              </w:rPr>
              <w:t xml:space="preserve"> لدعم الخدمات عالية الجودة</w:t>
            </w:r>
          </w:p>
          <w:p w14:paraId="3E40B21A" w14:textId="77777777" w:rsidR="00BB4760" w:rsidRDefault="00F91C53">
            <w:pPr>
              <w:widowControl w:val="0"/>
              <w:numPr>
                <w:ilvl w:val="0"/>
                <w:numId w:val="3"/>
              </w:numPr>
              <w:pBdr>
                <w:top w:val="nil"/>
                <w:left w:val="nil"/>
                <w:bottom w:val="nil"/>
                <w:right w:val="nil"/>
                <w:between w:val="nil"/>
              </w:pBdr>
              <w:bidi/>
            </w:pPr>
            <w:r>
              <w:rPr>
                <w:rtl/>
                <w:lang w:eastAsia="ar"/>
              </w:rPr>
              <w:t>التطوير المهني للمعلمين الخاصين وتقييم التلاميذ ومقدمي الخدمات ذوي الصلة</w:t>
            </w:r>
          </w:p>
        </w:tc>
        <w:tc>
          <w:tcPr>
            <w:tcW w:w="690" w:type="dxa"/>
            <w:tcMar>
              <w:top w:w="100" w:type="dxa"/>
              <w:left w:w="100" w:type="dxa"/>
              <w:bottom w:w="100" w:type="dxa"/>
              <w:right w:w="100" w:type="dxa"/>
            </w:tcMar>
          </w:tcPr>
          <w:p w14:paraId="52FD68A6" w14:textId="77777777" w:rsidR="00BB4760" w:rsidRDefault="00F91C53">
            <w:pPr>
              <w:widowControl w:val="0"/>
              <w:pBdr>
                <w:top w:val="nil"/>
                <w:left w:val="nil"/>
                <w:bottom w:val="nil"/>
                <w:right w:val="nil"/>
                <w:between w:val="nil"/>
              </w:pBdr>
              <w:bidi/>
            </w:pPr>
            <w:r>
              <w:rPr>
                <w:rtl/>
                <w:lang w:eastAsia="ar"/>
              </w:rPr>
              <w:lastRenderedPageBreak/>
              <w:t>(ي)</w:t>
            </w:r>
          </w:p>
        </w:tc>
        <w:tc>
          <w:tcPr>
            <w:tcW w:w="2475" w:type="dxa"/>
            <w:shd w:val="clear" w:color="auto" w:fill="auto"/>
            <w:tcMar>
              <w:top w:w="100" w:type="dxa"/>
              <w:left w:w="100" w:type="dxa"/>
              <w:bottom w:w="100" w:type="dxa"/>
              <w:right w:w="100" w:type="dxa"/>
            </w:tcMar>
          </w:tcPr>
          <w:p w14:paraId="5EA47854" w14:textId="77777777" w:rsidR="00BB4760" w:rsidRDefault="00F91C53">
            <w:pPr>
              <w:widowControl w:val="0"/>
              <w:bidi/>
              <w:jc w:val="right"/>
              <w:rPr>
                <w:highlight w:val="white"/>
              </w:rPr>
            </w:pPr>
            <w:r>
              <w:rPr>
                <w:highlight w:val="white"/>
                <w:rtl/>
                <w:lang w:eastAsia="ar"/>
              </w:rPr>
              <w:t>1,826,419دولار</w:t>
            </w:r>
          </w:p>
          <w:p w14:paraId="66A9080E" w14:textId="77777777" w:rsidR="00BB4760" w:rsidRDefault="00BB4760">
            <w:pPr>
              <w:widowControl w:val="0"/>
              <w:pBdr>
                <w:top w:val="nil"/>
                <w:left w:val="nil"/>
                <w:bottom w:val="nil"/>
                <w:right w:val="nil"/>
                <w:between w:val="nil"/>
              </w:pBdr>
              <w:bidi/>
              <w:jc w:val="right"/>
            </w:pPr>
          </w:p>
        </w:tc>
      </w:tr>
      <w:tr w:rsidR="00BB4760" w14:paraId="70FB7971" w14:textId="77777777">
        <w:tc>
          <w:tcPr>
            <w:tcW w:w="3750" w:type="dxa"/>
            <w:tcMar>
              <w:top w:w="100" w:type="dxa"/>
              <w:left w:w="100" w:type="dxa"/>
              <w:bottom w:w="100" w:type="dxa"/>
              <w:right w:w="100" w:type="dxa"/>
            </w:tcMar>
          </w:tcPr>
          <w:p w14:paraId="0582A3C4" w14:textId="77777777" w:rsidR="00BB4760" w:rsidRDefault="00F91C53">
            <w:pPr>
              <w:widowControl w:val="0"/>
              <w:pBdr>
                <w:top w:val="nil"/>
                <w:left w:val="nil"/>
                <w:bottom w:val="nil"/>
                <w:right w:val="nil"/>
                <w:between w:val="nil"/>
              </w:pBdr>
              <w:bidi/>
            </w:pPr>
            <w:r>
              <w:rPr>
                <w:rtl/>
                <w:lang w:eastAsia="ar"/>
              </w:rPr>
              <w:t>لمساعدة الوكالات التعليمية المحلية في توفير التدخلات السلوكية الإيجابية والدعم وخدمات الصحة النفسية المناسبة للأطفال ذوي الإعاقة.</w:t>
            </w:r>
          </w:p>
        </w:tc>
        <w:tc>
          <w:tcPr>
            <w:tcW w:w="3405" w:type="dxa"/>
            <w:tcMar>
              <w:top w:w="100" w:type="dxa"/>
              <w:left w:w="100" w:type="dxa"/>
              <w:bottom w:w="100" w:type="dxa"/>
              <w:right w:w="100" w:type="dxa"/>
            </w:tcMar>
          </w:tcPr>
          <w:p w14:paraId="7FD13CA3" w14:textId="77777777" w:rsidR="00BB4760" w:rsidRDefault="00F91C53">
            <w:pPr>
              <w:widowControl w:val="0"/>
              <w:numPr>
                <w:ilvl w:val="0"/>
                <w:numId w:val="8"/>
              </w:numPr>
              <w:pBdr>
                <w:top w:val="nil"/>
                <w:left w:val="nil"/>
                <w:bottom w:val="nil"/>
                <w:right w:val="nil"/>
                <w:between w:val="nil"/>
              </w:pBdr>
              <w:bidi/>
            </w:pPr>
            <w:r>
              <w:rPr>
                <w:rtl/>
                <w:lang w:eastAsia="ar"/>
              </w:rPr>
              <w:t>تنفيذ التدخلات السلوكية القائمة على الأدلة والدعم والاستراتيجيات.</w:t>
            </w:r>
          </w:p>
          <w:p w14:paraId="19104063" w14:textId="77777777" w:rsidR="00BB4760" w:rsidRDefault="00F91C53">
            <w:pPr>
              <w:widowControl w:val="0"/>
              <w:numPr>
                <w:ilvl w:val="0"/>
                <w:numId w:val="8"/>
              </w:numPr>
              <w:pBdr>
                <w:top w:val="nil"/>
                <w:left w:val="nil"/>
                <w:bottom w:val="nil"/>
                <w:right w:val="nil"/>
                <w:between w:val="nil"/>
              </w:pBdr>
              <w:bidi/>
            </w:pPr>
            <w:r>
              <w:rPr>
                <w:rtl/>
                <w:lang w:eastAsia="ar"/>
              </w:rPr>
              <w:t>توجيه المعلم والتطوير المهني لدعم احتياجات السلوك / الصحة العقلية للطلاب</w:t>
            </w:r>
          </w:p>
          <w:p w14:paraId="1F82E385" w14:textId="77777777" w:rsidR="00BB4760" w:rsidRDefault="00BB4760">
            <w:pPr>
              <w:widowControl w:val="0"/>
              <w:pBdr>
                <w:top w:val="nil"/>
                <w:left w:val="nil"/>
                <w:bottom w:val="nil"/>
                <w:right w:val="nil"/>
                <w:between w:val="nil"/>
              </w:pBdr>
              <w:bidi/>
            </w:pPr>
          </w:p>
        </w:tc>
        <w:tc>
          <w:tcPr>
            <w:tcW w:w="690" w:type="dxa"/>
            <w:tcMar>
              <w:top w:w="100" w:type="dxa"/>
              <w:left w:w="100" w:type="dxa"/>
              <w:bottom w:w="100" w:type="dxa"/>
              <w:right w:w="100" w:type="dxa"/>
            </w:tcMar>
          </w:tcPr>
          <w:p w14:paraId="7B5F18B7" w14:textId="77777777" w:rsidR="00BB4760" w:rsidRDefault="00F91C53">
            <w:pPr>
              <w:widowControl w:val="0"/>
              <w:pBdr>
                <w:top w:val="nil"/>
                <w:left w:val="nil"/>
                <w:bottom w:val="nil"/>
                <w:right w:val="nil"/>
                <w:between w:val="nil"/>
              </w:pBdr>
              <w:bidi/>
            </w:pPr>
            <w:r>
              <w:rPr>
                <w:rtl/>
                <w:lang w:eastAsia="ar"/>
              </w:rPr>
              <w:t>(ك)</w:t>
            </w:r>
          </w:p>
        </w:tc>
        <w:tc>
          <w:tcPr>
            <w:tcW w:w="2475" w:type="dxa"/>
            <w:tcMar>
              <w:top w:w="100" w:type="dxa"/>
              <w:left w:w="100" w:type="dxa"/>
              <w:bottom w:w="100" w:type="dxa"/>
              <w:right w:w="100" w:type="dxa"/>
            </w:tcMar>
          </w:tcPr>
          <w:p w14:paraId="0A44158D" w14:textId="77777777" w:rsidR="00BB4760" w:rsidRDefault="00F91C53">
            <w:pPr>
              <w:widowControl w:val="0"/>
              <w:pBdr>
                <w:top w:val="nil"/>
                <w:left w:val="nil"/>
                <w:bottom w:val="nil"/>
                <w:right w:val="nil"/>
                <w:between w:val="nil"/>
              </w:pBdr>
              <w:bidi/>
              <w:jc w:val="right"/>
            </w:pPr>
            <w:r>
              <w:rPr>
                <w:rtl/>
                <w:lang w:eastAsia="ar"/>
              </w:rPr>
              <w:t>425,000 دولار</w:t>
            </w:r>
          </w:p>
        </w:tc>
      </w:tr>
      <w:tr w:rsidR="00BB4760" w14:paraId="5B5BCEA6" w14:textId="77777777">
        <w:tc>
          <w:tcPr>
            <w:tcW w:w="3750" w:type="dxa"/>
            <w:tcMar>
              <w:top w:w="100" w:type="dxa"/>
              <w:left w:w="100" w:type="dxa"/>
              <w:bottom w:w="100" w:type="dxa"/>
              <w:right w:w="100" w:type="dxa"/>
            </w:tcMar>
          </w:tcPr>
          <w:p w14:paraId="7A6EDF3B" w14:textId="77777777" w:rsidR="00BB4760" w:rsidRDefault="00F91C53">
            <w:pPr>
              <w:widowControl w:val="0"/>
              <w:pBdr>
                <w:top w:val="nil"/>
                <w:left w:val="nil"/>
                <w:bottom w:val="nil"/>
                <w:right w:val="nil"/>
                <w:between w:val="nil"/>
              </w:pBdr>
              <w:bidi/>
            </w:pPr>
            <w:r>
              <w:rPr>
                <w:rtl/>
                <w:lang w:eastAsia="ar"/>
              </w:rPr>
              <w:t>لمساعدة الوكالات التعليمية المحلية في مواجهة النقص في الموظفين.</w:t>
            </w:r>
          </w:p>
        </w:tc>
        <w:tc>
          <w:tcPr>
            <w:tcW w:w="3405" w:type="dxa"/>
            <w:shd w:val="clear" w:color="auto" w:fill="auto"/>
            <w:tcMar>
              <w:top w:w="100" w:type="dxa"/>
              <w:left w:w="100" w:type="dxa"/>
              <w:bottom w:w="100" w:type="dxa"/>
              <w:right w:w="100" w:type="dxa"/>
            </w:tcMar>
          </w:tcPr>
          <w:p w14:paraId="0A76CBF4" w14:textId="77777777" w:rsidR="00BB4760" w:rsidRDefault="00F91C53">
            <w:pPr>
              <w:widowControl w:val="0"/>
              <w:numPr>
                <w:ilvl w:val="0"/>
                <w:numId w:val="10"/>
              </w:numPr>
              <w:pBdr>
                <w:top w:val="nil"/>
                <w:left w:val="nil"/>
                <w:bottom w:val="nil"/>
                <w:right w:val="nil"/>
                <w:between w:val="nil"/>
              </w:pBdr>
              <w:bidi/>
            </w:pPr>
            <w:r>
              <w:rPr>
                <w:rtl/>
                <w:lang w:eastAsia="ar"/>
              </w:rPr>
              <w:t>تحديد طرق مبتكرة لربط هيئات التعليم المحلية بمقدمي الخدمات ذات الصلة في المناطق التي تعاني من نقص في الموظفين</w:t>
            </w:r>
          </w:p>
          <w:p w14:paraId="0A7B0A50" w14:textId="77777777" w:rsidR="00BB4760" w:rsidRDefault="00F91C53">
            <w:pPr>
              <w:widowControl w:val="0"/>
              <w:numPr>
                <w:ilvl w:val="0"/>
                <w:numId w:val="10"/>
              </w:numPr>
              <w:bidi/>
            </w:pPr>
            <w:r>
              <w:rPr>
                <w:rtl/>
                <w:lang w:eastAsia="ar"/>
              </w:rPr>
              <w:t>دعم الإرشاد للمعلمين الطموحين الذين يخدمون الطلاب ذوي الإعاقة.</w:t>
            </w:r>
          </w:p>
        </w:tc>
        <w:tc>
          <w:tcPr>
            <w:tcW w:w="690" w:type="dxa"/>
            <w:tcMar>
              <w:top w:w="100" w:type="dxa"/>
              <w:left w:w="100" w:type="dxa"/>
              <w:bottom w:w="100" w:type="dxa"/>
              <w:right w:w="100" w:type="dxa"/>
            </w:tcMar>
          </w:tcPr>
          <w:p w14:paraId="2D475B28" w14:textId="77777777" w:rsidR="00BB4760" w:rsidRDefault="00F91C53">
            <w:pPr>
              <w:widowControl w:val="0"/>
              <w:pBdr>
                <w:top w:val="nil"/>
                <w:left w:val="nil"/>
                <w:bottom w:val="nil"/>
                <w:right w:val="nil"/>
                <w:between w:val="nil"/>
              </w:pBdr>
              <w:bidi/>
            </w:pPr>
            <w:r>
              <w:rPr>
                <w:rtl/>
                <w:lang w:eastAsia="ar"/>
              </w:rPr>
              <w:t>(ل)</w:t>
            </w:r>
          </w:p>
        </w:tc>
        <w:tc>
          <w:tcPr>
            <w:tcW w:w="2475" w:type="dxa"/>
            <w:shd w:val="clear" w:color="auto" w:fill="auto"/>
            <w:tcMar>
              <w:top w:w="100" w:type="dxa"/>
              <w:left w:w="100" w:type="dxa"/>
              <w:bottom w:w="100" w:type="dxa"/>
              <w:right w:w="100" w:type="dxa"/>
            </w:tcMar>
          </w:tcPr>
          <w:p w14:paraId="2580DAEF" w14:textId="77777777" w:rsidR="00BB4760" w:rsidRDefault="00F91C53">
            <w:pPr>
              <w:widowControl w:val="0"/>
              <w:pBdr>
                <w:top w:val="nil"/>
                <w:left w:val="nil"/>
                <w:bottom w:val="nil"/>
                <w:right w:val="nil"/>
                <w:between w:val="nil"/>
              </w:pBdr>
              <w:bidi/>
              <w:jc w:val="right"/>
            </w:pPr>
            <w:r>
              <w:rPr>
                <w:rtl/>
                <w:lang w:eastAsia="ar"/>
              </w:rPr>
              <w:t>330,000 دولار</w:t>
            </w:r>
          </w:p>
        </w:tc>
      </w:tr>
      <w:tr w:rsidR="00BB4760" w14:paraId="749CCA18" w14:textId="77777777">
        <w:tc>
          <w:tcPr>
            <w:tcW w:w="3750" w:type="dxa"/>
            <w:tcMar>
              <w:top w:w="100" w:type="dxa"/>
              <w:left w:w="100" w:type="dxa"/>
              <w:bottom w:w="100" w:type="dxa"/>
              <w:right w:w="100" w:type="dxa"/>
            </w:tcMar>
          </w:tcPr>
          <w:p w14:paraId="6C13AF9C" w14:textId="77777777" w:rsidR="00BB4760" w:rsidRDefault="00F91C53">
            <w:pPr>
              <w:widowControl w:val="0"/>
              <w:pBdr>
                <w:top w:val="nil"/>
                <w:left w:val="nil"/>
                <w:bottom w:val="nil"/>
                <w:right w:val="nil"/>
                <w:between w:val="nil"/>
              </w:pBdr>
              <w:bidi/>
            </w:pPr>
            <w:r>
              <w:rPr>
                <w:rtl/>
                <w:lang w:eastAsia="ar"/>
              </w:rPr>
              <w:t>لدعم أنشطة بناء القدرات وتحسين تقديم الخدمات من قبل الوكالات التعليمية المحلية لتحسين النتائج للأطفال ذوي الإعاقة.</w:t>
            </w:r>
          </w:p>
        </w:tc>
        <w:tc>
          <w:tcPr>
            <w:tcW w:w="3405" w:type="dxa"/>
            <w:tcMar>
              <w:top w:w="100" w:type="dxa"/>
              <w:left w:w="100" w:type="dxa"/>
              <w:bottom w:w="100" w:type="dxa"/>
              <w:right w:w="100" w:type="dxa"/>
            </w:tcMar>
          </w:tcPr>
          <w:p w14:paraId="4A44F6CC" w14:textId="77777777" w:rsidR="00BB4760" w:rsidRDefault="00F91C53">
            <w:pPr>
              <w:widowControl w:val="0"/>
              <w:numPr>
                <w:ilvl w:val="0"/>
                <w:numId w:val="1"/>
              </w:numPr>
              <w:pBdr>
                <w:top w:val="nil"/>
                <w:left w:val="nil"/>
                <w:bottom w:val="nil"/>
                <w:right w:val="nil"/>
                <w:between w:val="nil"/>
              </w:pBdr>
              <w:bidi/>
            </w:pPr>
            <w:r>
              <w:rPr>
                <w:rtl/>
                <w:lang w:eastAsia="ar"/>
              </w:rPr>
              <w:t>الدعم الإقليمي والمساعدة الفنية للهيئات التعليمية المحلية</w:t>
            </w:r>
          </w:p>
          <w:p w14:paraId="52BCC527" w14:textId="77777777" w:rsidR="00BB4760" w:rsidRDefault="00F91C53">
            <w:pPr>
              <w:widowControl w:val="0"/>
              <w:numPr>
                <w:ilvl w:val="0"/>
                <w:numId w:val="1"/>
              </w:numPr>
              <w:pBdr>
                <w:top w:val="nil"/>
                <w:left w:val="nil"/>
                <w:bottom w:val="nil"/>
                <w:right w:val="nil"/>
                <w:between w:val="nil"/>
              </w:pBdr>
              <w:bidi/>
            </w:pPr>
            <w:r>
              <w:rPr>
                <w:rtl/>
                <w:lang w:eastAsia="ar"/>
              </w:rPr>
              <w:t xml:space="preserve">الإرشاد والتطوير المهني لدعم المعلمين الذين يقدمون الدعم للطلاب الذين يعانون من التوحد </w:t>
            </w:r>
          </w:p>
          <w:p w14:paraId="2EE4493A" w14:textId="77777777" w:rsidR="00BB4760" w:rsidRDefault="00F91C53">
            <w:pPr>
              <w:widowControl w:val="0"/>
              <w:numPr>
                <w:ilvl w:val="0"/>
                <w:numId w:val="1"/>
              </w:numPr>
              <w:pBdr>
                <w:top w:val="nil"/>
                <w:left w:val="nil"/>
                <w:bottom w:val="nil"/>
                <w:right w:val="nil"/>
                <w:between w:val="nil"/>
              </w:pBdr>
              <w:bidi/>
            </w:pPr>
            <w:r>
              <w:rPr>
                <w:rtl/>
                <w:lang w:eastAsia="ar"/>
              </w:rPr>
              <w:t>الإرشاد والتطوير المهني لدعم المعلمين الذين يقدمون الدعم للطلاب ذوي الاحتياجات الطبية المعقدة</w:t>
            </w:r>
          </w:p>
          <w:p w14:paraId="06DA0AAB" w14:textId="77777777" w:rsidR="00BB4760" w:rsidRDefault="00F91C53">
            <w:pPr>
              <w:widowControl w:val="0"/>
              <w:numPr>
                <w:ilvl w:val="0"/>
                <w:numId w:val="1"/>
              </w:numPr>
              <w:pBdr>
                <w:top w:val="nil"/>
                <w:left w:val="nil"/>
                <w:bottom w:val="nil"/>
                <w:right w:val="nil"/>
                <w:between w:val="nil"/>
              </w:pBdr>
              <w:bidi/>
            </w:pPr>
            <w:r>
              <w:rPr>
                <w:rtl/>
                <w:lang w:eastAsia="ar"/>
              </w:rPr>
              <w:t>تنفيذ الخدمات لبناء قدرة المعلمين على تطوير وتنفيذ خطط تعليمية فردية واستخدام البيانات لدعم التدريس في الفصول الدراسية ؛ إعداد تقارير التعليم الخاص</w:t>
            </w:r>
          </w:p>
          <w:p w14:paraId="75D7F85E" w14:textId="77777777" w:rsidR="00BB4760" w:rsidRDefault="00F91C53">
            <w:pPr>
              <w:widowControl w:val="0"/>
              <w:numPr>
                <w:ilvl w:val="0"/>
                <w:numId w:val="1"/>
              </w:numPr>
              <w:pBdr>
                <w:top w:val="nil"/>
                <w:left w:val="nil"/>
                <w:bottom w:val="nil"/>
                <w:right w:val="nil"/>
                <w:between w:val="nil"/>
              </w:pBdr>
              <w:bidi/>
            </w:pPr>
            <w:r>
              <w:rPr>
                <w:rtl/>
                <w:lang w:eastAsia="ar"/>
              </w:rPr>
              <w:t>توفير المساعدة الفنية وإقامة شراكات للتطوير المهني لدعم تطوير قيادة التعليم الخاص ودعم التعليم المتخصص والخدمات ذات الصلة للطلاب ذوي الإعاقة</w:t>
            </w:r>
          </w:p>
        </w:tc>
        <w:tc>
          <w:tcPr>
            <w:tcW w:w="690" w:type="dxa"/>
            <w:tcMar>
              <w:top w:w="100" w:type="dxa"/>
              <w:left w:w="100" w:type="dxa"/>
              <w:bottom w:w="100" w:type="dxa"/>
              <w:right w:w="100" w:type="dxa"/>
            </w:tcMar>
          </w:tcPr>
          <w:p w14:paraId="79601B77" w14:textId="77777777" w:rsidR="00BB4760" w:rsidRDefault="00F91C53">
            <w:pPr>
              <w:widowControl w:val="0"/>
              <w:pBdr>
                <w:top w:val="nil"/>
                <w:left w:val="nil"/>
                <w:bottom w:val="nil"/>
                <w:right w:val="nil"/>
                <w:between w:val="nil"/>
              </w:pBdr>
              <w:bidi/>
            </w:pPr>
            <w:r>
              <w:rPr>
                <w:rtl/>
                <w:lang w:eastAsia="ar"/>
              </w:rPr>
              <w:t>(م)</w:t>
            </w:r>
          </w:p>
        </w:tc>
        <w:tc>
          <w:tcPr>
            <w:tcW w:w="2475" w:type="dxa"/>
            <w:shd w:val="clear" w:color="auto" w:fill="auto"/>
            <w:tcMar>
              <w:top w:w="100" w:type="dxa"/>
              <w:left w:w="100" w:type="dxa"/>
              <w:bottom w:w="100" w:type="dxa"/>
              <w:right w:w="100" w:type="dxa"/>
            </w:tcMar>
          </w:tcPr>
          <w:p w14:paraId="770AA507" w14:textId="77777777" w:rsidR="00BB4760" w:rsidRDefault="00F91C53">
            <w:pPr>
              <w:widowControl w:val="0"/>
              <w:bidi/>
              <w:jc w:val="right"/>
            </w:pPr>
            <w:r>
              <w:rPr>
                <w:rtl/>
                <w:lang w:eastAsia="ar"/>
              </w:rPr>
              <w:t>4,521,576 دولار</w:t>
            </w:r>
          </w:p>
          <w:p w14:paraId="6E6A0709" w14:textId="77777777" w:rsidR="00BB4760" w:rsidRDefault="00BB4760">
            <w:pPr>
              <w:widowControl w:val="0"/>
              <w:pBdr>
                <w:top w:val="nil"/>
                <w:left w:val="nil"/>
                <w:bottom w:val="nil"/>
                <w:right w:val="nil"/>
                <w:between w:val="nil"/>
              </w:pBdr>
              <w:bidi/>
              <w:jc w:val="right"/>
              <w:rPr>
                <w:rFonts w:ascii="Arial" w:eastAsia="Arial" w:hAnsi="Arial" w:cs="Arial"/>
                <w:sz w:val="20"/>
                <w:szCs w:val="20"/>
              </w:rPr>
            </w:pPr>
          </w:p>
        </w:tc>
      </w:tr>
      <w:tr w:rsidR="00BB4760" w14:paraId="16B05FE7" w14:textId="77777777">
        <w:tc>
          <w:tcPr>
            <w:tcW w:w="3750" w:type="dxa"/>
            <w:tcMar>
              <w:top w:w="100" w:type="dxa"/>
              <w:left w:w="100" w:type="dxa"/>
              <w:bottom w:w="100" w:type="dxa"/>
              <w:right w:w="100" w:type="dxa"/>
            </w:tcMar>
          </w:tcPr>
          <w:p w14:paraId="3E01F53A" w14:textId="77777777" w:rsidR="00BB4760" w:rsidRDefault="00F91C53">
            <w:pPr>
              <w:widowControl w:val="0"/>
              <w:pBdr>
                <w:top w:val="nil"/>
                <w:left w:val="nil"/>
                <w:bottom w:val="nil"/>
                <w:right w:val="nil"/>
                <w:between w:val="nil"/>
              </w:pBdr>
              <w:bidi/>
            </w:pPr>
            <w:r>
              <w:rPr>
                <w:rtl/>
                <w:lang w:eastAsia="ar"/>
              </w:rPr>
              <w:t>لدعم أنشطة الحد من الأعمال الورقية، بما في ذلك التوسع في استخدام التكنولوجيا في عمليات برنامج التعليم الفردي.</w:t>
            </w:r>
          </w:p>
        </w:tc>
        <w:tc>
          <w:tcPr>
            <w:tcW w:w="3405" w:type="dxa"/>
            <w:tcMar>
              <w:top w:w="100" w:type="dxa"/>
              <w:left w:w="100" w:type="dxa"/>
              <w:bottom w:w="100" w:type="dxa"/>
              <w:right w:w="100" w:type="dxa"/>
            </w:tcMar>
          </w:tcPr>
          <w:p w14:paraId="6C298B4F" w14:textId="77777777" w:rsidR="00BB4760" w:rsidRDefault="00BB4760">
            <w:pPr>
              <w:widowControl w:val="0"/>
              <w:pBdr>
                <w:top w:val="nil"/>
                <w:left w:val="nil"/>
                <w:bottom w:val="nil"/>
                <w:right w:val="nil"/>
                <w:between w:val="nil"/>
              </w:pBdr>
              <w:bidi/>
            </w:pPr>
          </w:p>
        </w:tc>
        <w:tc>
          <w:tcPr>
            <w:tcW w:w="690" w:type="dxa"/>
            <w:tcMar>
              <w:top w:w="100" w:type="dxa"/>
              <w:left w:w="100" w:type="dxa"/>
              <w:bottom w:w="100" w:type="dxa"/>
              <w:right w:w="100" w:type="dxa"/>
            </w:tcMar>
          </w:tcPr>
          <w:p w14:paraId="10D23C5B" w14:textId="77777777" w:rsidR="00BB4760" w:rsidRDefault="00F91C53">
            <w:pPr>
              <w:widowControl w:val="0"/>
              <w:pBdr>
                <w:top w:val="nil"/>
                <w:left w:val="nil"/>
                <w:bottom w:val="nil"/>
                <w:right w:val="nil"/>
                <w:between w:val="nil"/>
              </w:pBdr>
              <w:bidi/>
            </w:pPr>
            <w:r>
              <w:rPr>
                <w:rtl/>
                <w:lang w:eastAsia="ar"/>
              </w:rPr>
              <w:t>(ن)</w:t>
            </w:r>
          </w:p>
        </w:tc>
        <w:tc>
          <w:tcPr>
            <w:tcW w:w="2475" w:type="dxa"/>
            <w:tcMar>
              <w:top w:w="100" w:type="dxa"/>
              <w:left w:w="100" w:type="dxa"/>
              <w:bottom w:w="100" w:type="dxa"/>
              <w:right w:w="100" w:type="dxa"/>
            </w:tcMar>
          </w:tcPr>
          <w:p w14:paraId="6C621CD6" w14:textId="77777777" w:rsidR="00BB4760" w:rsidRDefault="00F91C53">
            <w:pPr>
              <w:widowControl w:val="0"/>
              <w:pBdr>
                <w:top w:val="nil"/>
                <w:left w:val="nil"/>
                <w:bottom w:val="nil"/>
                <w:right w:val="nil"/>
                <w:between w:val="nil"/>
              </w:pBdr>
              <w:bidi/>
              <w:jc w:val="right"/>
            </w:pPr>
            <w:r>
              <w:rPr>
                <w:rtl/>
                <w:lang w:eastAsia="ar"/>
              </w:rPr>
              <w:t>0 دولار</w:t>
            </w:r>
          </w:p>
          <w:p w14:paraId="0AF93D46" w14:textId="77777777" w:rsidR="00BB4760" w:rsidRDefault="00BB4760">
            <w:pPr>
              <w:widowControl w:val="0"/>
              <w:pBdr>
                <w:top w:val="nil"/>
                <w:left w:val="nil"/>
                <w:bottom w:val="nil"/>
                <w:right w:val="nil"/>
                <w:between w:val="nil"/>
              </w:pBdr>
              <w:bidi/>
              <w:jc w:val="right"/>
            </w:pPr>
          </w:p>
        </w:tc>
      </w:tr>
      <w:tr w:rsidR="00BB4760" w14:paraId="044A794E" w14:textId="77777777">
        <w:tc>
          <w:tcPr>
            <w:tcW w:w="3750" w:type="dxa"/>
            <w:tcMar>
              <w:top w:w="100" w:type="dxa"/>
              <w:left w:w="100" w:type="dxa"/>
              <w:bottom w:w="100" w:type="dxa"/>
              <w:right w:w="100" w:type="dxa"/>
            </w:tcMar>
          </w:tcPr>
          <w:p w14:paraId="075BE09C" w14:textId="77777777" w:rsidR="00BB4760" w:rsidRDefault="00F91C53">
            <w:pPr>
              <w:widowControl w:val="0"/>
              <w:pBdr>
                <w:top w:val="nil"/>
                <w:left w:val="nil"/>
                <w:bottom w:val="nil"/>
                <w:right w:val="nil"/>
                <w:between w:val="nil"/>
              </w:pBdr>
              <w:bidi/>
            </w:pPr>
            <w:r>
              <w:rPr>
                <w:rtl/>
                <w:lang w:eastAsia="ar"/>
              </w:rPr>
              <w:t xml:space="preserve">لتحسين استخدام الأطفال ذوي الإعاقة للتكنولوجيا داخل الفصول الدراسية بهدف </w:t>
            </w:r>
            <w:r>
              <w:rPr>
                <w:rtl/>
                <w:lang w:eastAsia="ar"/>
              </w:rPr>
              <w:lastRenderedPageBreak/>
              <w:t>تحسين التعلّم.</w:t>
            </w:r>
          </w:p>
        </w:tc>
        <w:tc>
          <w:tcPr>
            <w:tcW w:w="3405" w:type="dxa"/>
            <w:tcMar>
              <w:top w:w="100" w:type="dxa"/>
              <w:left w:w="100" w:type="dxa"/>
              <w:bottom w:w="100" w:type="dxa"/>
              <w:right w:w="100" w:type="dxa"/>
            </w:tcMar>
          </w:tcPr>
          <w:p w14:paraId="6AC48348" w14:textId="77777777" w:rsidR="00BB4760" w:rsidRDefault="00F91C53">
            <w:pPr>
              <w:widowControl w:val="0"/>
              <w:numPr>
                <w:ilvl w:val="0"/>
                <w:numId w:val="7"/>
              </w:numPr>
              <w:pBdr>
                <w:top w:val="nil"/>
                <w:left w:val="nil"/>
                <w:bottom w:val="nil"/>
                <w:right w:val="nil"/>
                <w:between w:val="nil"/>
              </w:pBdr>
              <w:bidi/>
            </w:pPr>
            <w:r>
              <w:rPr>
                <w:rtl/>
                <w:lang w:eastAsia="ar"/>
              </w:rPr>
              <w:lastRenderedPageBreak/>
              <w:t xml:space="preserve">التدريب وتوفير الموارد اللازمة حول استخدام التكنولوجيا لدعم </w:t>
            </w:r>
            <w:r>
              <w:rPr>
                <w:rtl/>
                <w:lang w:eastAsia="ar"/>
              </w:rPr>
              <w:lastRenderedPageBreak/>
              <w:t>احتياجات التعلم الفردية</w:t>
            </w:r>
          </w:p>
        </w:tc>
        <w:tc>
          <w:tcPr>
            <w:tcW w:w="690" w:type="dxa"/>
            <w:tcMar>
              <w:top w:w="100" w:type="dxa"/>
              <w:left w:w="100" w:type="dxa"/>
              <w:bottom w:w="100" w:type="dxa"/>
              <w:right w:w="100" w:type="dxa"/>
            </w:tcMar>
          </w:tcPr>
          <w:p w14:paraId="0FED4D5B" w14:textId="77777777" w:rsidR="00BB4760" w:rsidRDefault="00F91C53">
            <w:pPr>
              <w:widowControl w:val="0"/>
              <w:pBdr>
                <w:top w:val="nil"/>
                <w:left w:val="nil"/>
                <w:bottom w:val="nil"/>
                <w:right w:val="nil"/>
                <w:between w:val="nil"/>
              </w:pBdr>
              <w:bidi/>
            </w:pPr>
            <w:r>
              <w:rPr>
                <w:rtl/>
                <w:lang w:eastAsia="ar"/>
              </w:rPr>
              <w:lastRenderedPageBreak/>
              <w:t>(س)</w:t>
            </w:r>
          </w:p>
        </w:tc>
        <w:tc>
          <w:tcPr>
            <w:tcW w:w="2475" w:type="dxa"/>
            <w:tcMar>
              <w:top w:w="100" w:type="dxa"/>
              <w:left w:w="100" w:type="dxa"/>
              <w:bottom w:w="100" w:type="dxa"/>
              <w:right w:w="100" w:type="dxa"/>
            </w:tcMar>
          </w:tcPr>
          <w:p w14:paraId="1DBD5AA0" w14:textId="77777777" w:rsidR="00BB4760" w:rsidRDefault="00F91C53">
            <w:pPr>
              <w:widowControl w:val="0"/>
              <w:pBdr>
                <w:top w:val="nil"/>
                <w:left w:val="nil"/>
                <w:bottom w:val="nil"/>
                <w:right w:val="nil"/>
                <w:between w:val="nil"/>
              </w:pBdr>
              <w:bidi/>
              <w:jc w:val="right"/>
            </w:pPr>
            <w:r>
              <w:rPr>
                <w:rtl/>
                <w:lang w:eastAsia="ar"/>
              </w:rPr>
              <w:t>600,000 دولار</w:t>
            </w:r>
          </w:p>
        </w:tc>
      </w:tr>
      <w:tr w:rsidR="00BB4760" w14:paraId="0A1B33A3" w14:textId="77777777">
        <w:tc>
          <w:tcPr>
            <w:tcW w:w="3750" w:type="dxa"/>
            <w:tcMar>
              <w:top w:w="100" w:type="dxa"/>
              <w:left w:w="100" w:type="dxa"/>
              <w:bottom w:w="100" w:type="dxa"/>
              <w:right w:w="100" w:type="dxa"/>
            </w:tcMar>
          </w:tcPr>
          <w:p w14:paraId="381C5C42" w14:textId="77777777" w:rsidR="00BB4760" w:rsidRDefault="00F91C53">
            <w:pPr>
              <w:widowControl w:val="0"/>
              <w:pBdr>
                <w:top w:val="nil"/>
                <w:left w:val="nil"/>
                <w:bottom w:val="nil"/>
                <w:right w:val="nil"/>
                <w:between w:val="nil"/>
              </w:pBdr>
              <w:bidi/>
            </w:pPr>
            <w:r>
              <w:rPr>
                <w:rtl/>
                <w:lang w:eastAsia="ar"/>
              </w:rPr>
              <w:t>لدعم استخدام التكنولوجيا، بما في ذلك التكنولوجيا ذات مبادئ التصميم العالمية وأجهزة التكنولوجيا المساعدة، لإتاحة أكبر الفرص الوصول إلى مناهج التعليم العام للأطفال ذوي الإعاقة.</w:t>
            </w:r>
          </w:p>
        </w:tc>
        <w:tc>
          <w:tcPr>
            <w:tcW w:w="3405" w:type="dxa"/>
            <w:tcMar>
              <w:top w:w="100" w:type="dxa"/>
              <w:left w:w="100" w:type="dxa"/>
              <w:bottom w:w="100" w:type="dxa"/>
              <w:right w:w="100" w:type="dxa"/>
            </w:tcMar>
          </w:tcPr>
          <w:p w14:paraId="330C2F49" w14:textId="77777777" w:rsidR="00BB4760" w:rsidRDefault="00F91C53">
            <w:pPr>
              <w:widowControl w:val="0"/>
              <w:numPr>
                <w:ilvl w:val="0"/>
                <w:numId w:val="5"/>
              </w:numPr>
              <w:pBdr>
                <w:top w:val="nil"/>
                <w:left w:val="nil"/>
                <w:bottom w:val="nil"/>
                <w:right w:val="nil"/>
                <w:between w:val="nil"/>
              </w:pBdr>
              <w:bidi/>
            </w:pPr>
            <w:r>
              <w:rPr>
                <w:rtl/>
                <w:lang w:eastAsia="ar"/>
              </w:rPr>
              <w:t>التدريب وتوفير الموارد اللازمة حول استخدام التكنولوجيا لدعم التعليم المتميز داخل الفصول الدراسية</w:t>
            </w:r>
          </w:p>
        </w:tc>
        <w:tc>
          <w:tcPr>
            <w:tcW w:w="690" w:type="dxa"/>
            <w:tcMar>
              <w:top w:w="100" w:type="dxa"/>
              <w:left w:w="100" w:type="dxa"/>
              <w:bottom w:w="100" w:type="dxa"/>
              <w:right w:w="100" w:type="dxa"/>
            </w:tcMar>
          </w:tcPr>
          <w:p w14:paraId="757EDF27" w14:textId="77777777" w:rsidR="00BB4760" w:rsidRDefault="00F91C53">
            <w:pPr>
              <w:widowControl w:val="0"/>
              <w:pBdr>
                <w:top w:val="nil"/>
                <w:left w:val="nil"/>
                <w:bottom w:val="nil"/>
                <w:right w:val="nil"/>
                <w:between w:val="nil"/>
              </w:pBdr>
              <w:bidi/>
            </w:pPr>
            <w:r>
              <w:rPr>
                <w:rtl/>
                <w:lang w:eastAsia="ar"/>
              </w:rPr>
              <w:t>(ع)</w:t>
            </w:r>
          </w:p>
        </w:tc>
        <w:tc>
          <w:tcPr>
            <w:tcW w:w="2475" w:type="dxa"/>
            <w:tcMar>
              <w:top w:w="100" w:type="dxa"/>
              <w:left w:w="100" w:type="dxa"/>
              <w:bottom w:w="100" w:type="dxa"/>
              <w:right w:w="100" w:type="dxa"/>
            </w:tcMar>
          </w:tcPr>
          <w:p w14:paraId="1F43E0FE" w14:textId="77777777" w:rsidR="00BB4760" w:rsidRDefault="00F91C53">
            <w:pPr>
              <w:widowControl w:val="0"/>
              <w:pBdr>
                <w:top w:val="nil"/>
                <w:left w:val="nil"/>
                <w:bottom w:val="nil"/>
                <w:right w:val="nil"/>
                <w:between w:val="nil"/>
              </w:pBdr>
              <w:bidi/>
              <w:jc w:val="right"/>
            </w:pPr>
            <w:r>
              <w:rPr>
                <w:rtl/>
                <w:lang w:eastAsia="ar"/>
              </w:rPr>
              <w:t>500,000 دولار</w:t>
            </w:r>
          </w:p>
        </w:tc>
      </w:tr>
      <w:tr w:rsidR="00BB4760" w14:paraId="4573F9BF" w14:textId="77777777">
        <w:tc>
          <w:tcPr>
            <w:tcW w:w="3750" w:type="dxa"/>
            <w:tcMar>
              <w:top w:w="100" w:type="dxa"/>
              <w:left w:w="100" w:type="dxa"/>
              <w:bottom w:w="100" w:type="dxa"/>
              <w:right w:w="100" w:type="dxa"/>
            </w:tcMar>
          </w:tcPr>
          <w:p w14:paraId="5098B301" w14:textId="77777777" w:rsidR="00BB4760" w:rsidRDefault="00F91C53">
            <w:pPr>
              <w:widowControl w:val="0"/>
              <w:pBdr>
                <w:top w:val="nil"/>
                <w:left w:val="nil"/>
                <w:bottom w:val="nil"/>
                <w:right w:val="nil"/>
                <w:between w:val="nil"/>
              </w:pBdr>
              <w:bidi/>
            </w:pPr>
            <w:r>
              <w:rPr>
                <w:rtl/>
                <w:lang w:eastAsia="ar"/>
              </w:rPr>
              <w:t>تطوير البرامج الانتقالية وتنفيذها، بما في ذلك؛ تنسيق الخدمات مع الهيئات المشاركة في دعم انتقال الأطفال ذوي الإعاقة إلى أنشطة ما بعد المرحلة الثانوية.</w:t>
            </w:r>
          </w:p>
        </w:tc>
        <w:tc>
          <w:tcPr>
            <w:tcW w:w="3405" w:type="dxa"/>
            <w:tcMar>
              <w:top w:w="100" w:type="dxa"/>
              <w:left w:w="100" w:type="dxa"/>
              <w:bottom w:w="100" w:type="dxa"/>
              <w:right w:w="100" w:type="dxa"/>
            </w:tcMar>
          </w:tcPr>
          <w:p w14:paraId="0D180F73" w14:textId="77777777" w:rsidR="00BB4760" w:rsidRDefault="00F91C53">
            <w:pPr>
              <w:widowControl w:val="0"/>
              <w:numPr>
                <w:ilvl w:val="0"/>
                <w:numId w:val="2"/>
              </w:numPr>
              <w:pBdr>
                <w:top w:val="nil"/>
                <w:left w:val="nil"/>
                <w:bottom w:val="nil"/>
                <w:right w:val="nil"/>
                <w:between w:val="nil"/>
              </w:pBdr>
              <w:bidi/>
            </w:pPr>
            <w:r>
              <w:rPr>
                <w:rtl/>
                <w:lang w:eastAsia="ar"/>
              </w:rPr>
              <w:t>دعم تطوير القيادة والتأهيل الوظيفي مع انتقال الطلاب ذوي الإعاقة من المرحلة المتوسطة إلى المرحلة الثانوية</w:t>
            </w:r>
          </w:p>
          <w:p w14:paraId="6F155956" w14:textId="77777777" w:rsidR="00BB4760" w:rsidRDefault="00F91C53">
            <w:pPr>
              <w:widowControl w:val="0"/>
              <w:numPr>
                <w:ilvl w:val="0"/>
                <w:numId w:val="2"/>
              </w:numPr>
              <w:pBdr>
                <w:top w:val="nil"/>
                <w:left w:val="nil"/>
                <w:bottom w:val="nil"/>
                <w:right w:val="nil"/>
                <w:between w:val="nil"/>
              </w:pBdr>
              <w:bidi/>
            </w:pPr>
            <w:r>
              <w:rPr>
                <w:rtl/>
                <w:lang w:eastAsia="ar"/>
              </w:rPr>
              <w:t>منتدى القيادة الشبابية للطلاب ذوي الإعاقة شراكة</w:t>
            </w:r>
          </w:p>
          <w:p w14:paraId="211118AD" w14:textId="77777777" w:rsidR="00BB4760" w:rsidRDefault="00F91C53">
            <w:pPr>
              <w:widowControl w:val="0"/>
              <w:numPr>
                <w:ilvl w:val="0"/>
                <w:numId w:val="2"/>
              </w:numPr>
              <w:pBdr>
                <w:top w:val="nil"/>
                <w:left w:val="nil"/>
                <w:bottom w:val="nil"/>
                <w:right w:val="nil"/>
                <w:between w:val="nil"/>
              </w:pBdr>
              <w:bidi/>
            </w:pPr>
            <w:r>
              <w:rPr>
                <w:rtl/>
                <w:lang w:eastAsia="ar"/>
              </w:rPr>
              <w:t>توفير أدوات وموارد عبر الإنترنت للأسر وأفراد المجتمع لفهم العناصر الأساسية للتعليم الخاص</w:t>
            </w:r>
          </w:p>
        </w:tc>
        <w:tc>
          <w:tcPr>
            <w:tcW w:w="690" w:type="dxa"/>
            <w:tcMar>
              <w:top w:w="100" w:type="dxa"/>
              <w:left w:w="100" w:type="dxa"/>
              <w:bottom w:w="100" w:type="dxa"/>
              <w:right w:w="100" w:type="dxa"/>
            </w:tcMar>
          </w:tcPr>
          <w:p w14:paraId="27EC75FF" w14:textId="77777777" w:rsidR="00BB4760" w:rsidRDefault="00F91C53">
            <w:pPr>
              <w:widowControl w:val="0"/>
              <w:pBdr>
                <w:top w:val="nil"/>
                <w:left w:val="nil"/>
                <w:bottom w:val="nil"/>
                <w:right w:val="nil"/>
                <w:between w:val="nil"/>
              </w:pBdr>
              <w:bidi/>
            </w:pPr>
            <w:r>
              <w:rPr>
                <w:rtl/>
                <w:lang w:eastAsia="ar"/>
              </w:rPr>
              <w:t xml:space="preserve">(ف) </w:t>
            </w:r>
          </w:p>
        </w:tc>
        <w:tc>
          <w:tcPr>
            <w:tcW w:w="2475" w:type="dxa"/>
            <w:tcMar>
              <w:top w:w="100" w:type="dxa"/>
              <w:left w:w="100" w:type="dxa"/>
              <w:bottom w:w="100" w:type="dxa"/>
              <w:right w:w="100" w:type="dxa"/>
            </w:tcMar>
          </w:tcPr>
          <w:p w14:paraId="3577869D" w14:textId="77777777" w:rsidR="00BB4760" w:rsidRDefault="00F91C53">
            <w:pPr>
              <w:widowControl w:val="0"/>
              <w:pBdr>
                <w:top w:val="nil"/>
                <w:left w:val="nil"/>
                <w:bottom w:val="nil"/>
                <w:right w:val="nil"/>
                <w:between w:val="nil"/>
              </w:pBdr>
              <w:bidi/>
              <w:jc w:val="right"/>
            </w:pPr>
            <w:r>
              <w:rPr>
                <w:rtl/>
                <w:lang w:eastAsia="ar"/>
              </w:rPr>
              <w:t>1,700,000 دولار</w:t>
            </w:r>
          </w:p>
        </w:tc>
      </w:tr>
      <w:tr w:rsidR="00BB4760" w14:paraId="205486D7" w14:textId="77777777">
        <w:tc>
          <w:tcPr>
            <w:tcW w:w="3750" w:type="dxa"/>
            <w:tcMar>
              <w:top w:w="100" w:type="dxa"/>
              <w:left w:w="100" w:type="dxa"/>
              <w:bottom w:w="100" w:type="dxa"/>
              <w:right w:w="100" w:type="dxa"/>
            </w:tcMar>
          </w:tcPr>
          <w:p w14:paraId="0D40DD85" w14:textId="77777777" w:rsidR="00BB4760" w:rsidRDefault="00F91C53">
            <w:pPr>
              <w:widowControl w:val="0"/>
              <w:pBdr>
                <w:top w:val="nil"/>
                <w:left w:val="nil"/>
                <w:bottom w:val="nil"/>
                <w:right w:val="nil"/>
                <w:between w:val="nil"/>
              </w:pBdr>
              <w:bidi/>
            </w:pPr>
            <w:r>
              <w:rPr>
                <w:rtl/>
                <w:lang w:eastAsia="ar"/>
              </w:rPr>
              <w:t>توفير البرامج البديلة للأطفال ذوي الإعاقة الذين تم فصلهم من المدرسة، وتقديم الخدمات للأطفال ذوي الإعاقة في المرافق الإصلاحية، والأطفال المسجلين في المدارس التي تديرها أو تدعمها الولاية وكذلك الأطفال ذوي الإعاقة في المدارس المستقلة.</w:t>
            </w:r>
          </w:p>
        </w:tc>
        <w:tc>
          <w:tcPr>
            <w:tcW w:w="3405" w:type="dxa"/>
            <w:tcMar>
              <w:top w:w="100" w:type="dxa"/>
              <w:left w:w="100" w:type="dxa"/>
              <w:bottom w:w="100" w:type="dxa"/>
              <w:right w:w="100" w:type="dxa"/>
            </w:tcMar>
          </w:tcPr>
          <w:p w14:paraId="0C7EF596" w14:textId="77777777" w:rsidR="00BB4760" w:rsidRDefault="00BB4760">
            <w:pPr>
              <w:widowControl w:val="0"/>
              <w:pBdr>
                <w:top w:val="nil"/>
                <w:left w:val="nil"/>
                <w:bottom w:val="nil"/>
                <w:right w:val="nil"/>
                <w:between w:val="nil"/>
              </w:pBdr>
              <w:bidi/>
              <w:ind w:left="720"/>
            </w:pPr>
          </w:p>
        </w:tc>
        <w:tc>
          <w:tcPr>
            <w:tcW w:w="690" w:type="dxa"/>
            <w:tcMar>
              <w:top w:w="100" w:type="dxa"/>
              <w:left w:w="100" w:type="dxa"/>
              <w:bottom w:w="100" w:type="dxa"/>
              <w:right w:w="100" w:type="dxa"/>
            </w:tcMar>
          </w:tcPr>
          <w:p w14:paraId="7DA02CCB" w14:textId="77777777" w:rsidR="00BB4760" w:rsidRDefault="00F91C53">
            <w:pPr>
              <w:widowControl w:val="0"/>
              <w:pBdr>
                <w:top w:val="nil"/>
                <w:left w:val="nil"/>
                <w:bottom w:val="nil"/>
                <w:right w:val="nil"/>
                <w:between w:val="nil"/>
              </w:pBdr>
              <w:bidi/>
            </w:pPr>
            <w:r>
              <w:rPr>
                <w:rtl/>
                <w:lang w:eastAsia="ar"/>
              </w:rPr>
              <w:t>(ص)</w:t>
            </w:r>
          </w:p>
        </w:tc>
        <w:tc>
          <w:tcPr>
            <w:tcW w:w="2475" w:type="dxa"/>
            <w:tcMar>
              <w:top w:w="100" w:type="dxa"/>
              <w:left w:w="100" w:type="dxa"/>
              <w:bottom w:w="100" w:type="dxa"/>
              <w:right w:w="100" w:type="dxa"/>
            </w:tcMar>
          </w:tcPr>
          <w:p w14:paraId="04E35585" w14:textId="77777777" w:rsidR="00BB4760" w:rsidRDefault="00F91C53">
            <w:pPr>
              <w:widowControl w:val="0"/>
              <w:pBdr>
                <w:top w:val="nil"/>
                <w:left w:val="nil"/>
                <w:bottom w:val="nil"/>
                <w:right w:val="nil"/>
                <w:between w:val="nil"/>
              </w:pBdr>
              <w:bidi/>
              <w:jc w:val="right"/>
              <w:rPr>
                <w:highlight w:val="white"/>
              </w:rPr>
            </w:pPr>
            <w:r>
              <w:rPr>
                <w:highlight w:val="white"/>
                <w:rtl/>
                <w:lang w:eastAsia="ar"/>
              </w:rPr>
              <w:t>0 دولار</w:t>
            </w:r>
          </w:p>
        </w:tc>
      </w:tr>
      <w:tr w:rsidR="00BB4760" w14:paraId="08BD25B2" w14:textId="77777777">
        <w:tc>
          <w:tcPr>
            <w:tcW w:w="3750" w:type="dxa"/>
            <w:tcMar>
              <w:top w:w="100" w:type="dxa"/>
              <w:left w:w="100" w:type="dxa"/>
              <w:bottom w:w="100" w:type="dxa"/>
              <w:right w:w="100" w:type="dxa"/>
            </w:tcMar>
          </w:tcPr>
          <w:p w14:paraId="65C5B06F" w14:textId="77777777" w:rsidR="00BB4760" w:rsidRDefault="00F91C53">
            <w:pPr>
              <w:widowControl w:val="0"/>
              <w:pBdr>
                <w:top w:val="nil"/>
                <w:left w:val="nil"/>
                <w:bottom w:val="nil"/>
                <w:right w:val="nil"/>
                <w:between w:val="nil"/>
              </w:pBdr>
              <w:bidi/>
            </w:pPr>
            <w:r>
              <w:rPr>
                <w:rtl/>
                <w:lang w:eastAsia="ar"/>
              </w:rPr>
              <w:t>لدعم تطوير وتوفير المرافق المناسبة للأطفال ذوي الإعاقة أو تطوير تقييمات بديلة صالحة وموثوقة لتقييم أداء الأطفال ذوي الإعاقة وتوفيرها، وفقًا للمادتين 1111 (ب) و1201 من قانون تعليم المراحل الابتدائية والثانوية لعام 1965.</w:t>
            </w:r>
          </w:p>
        </w:tc>
        <w:tc>
          <w:tcPr>
            <w:tcW w:w="3405" w:type="dxa"/>
            <w:tcMar>
              <w:top w:w="100" w:type="dxa"/>
              <w:left w:w="100" w:type="dxa"/>
              <w:bottom w:w="100" w:type="dxa"/>
              <w:right w:w="100" w:type="dxa"/>
            </w:tcMar>
          </w:tcPr>
          <w:p w14:paraId="6C0E735B" w14:textId="77777777" w:rsidR="00BB4760" w:rsidRDefault="00F91C53">
            <w:pPr>
              <w:widowControl w:val="0"/>
              <w:numPr>
                <w:ilvl w:val="0"/>
                <w:numId w:val="6"/>
              </w:numPr>
              <w:pBdr>
                <w:top w:val="nil"/>
                <w:left w:val="nil"/>
                <w:bottom w:val="nil"/>
                <w:right w:val="nil"/>
                <w:between w:val="nil"/>
              </w:pBdr>
              <w:bidi/>
            </w:pPr>
            <w:r>
              <w:rPr>
                <w:rtl/>
                <w:lang w:eastAsia="ar"/>
              </w:rPr>
              <w:t>مرافق التقييم: توفر التمويل لتقديم مرافق للتقييمات المنتظمة للدولة</w:t>
            </w:r>
          </w:p>
          <w:p w14:paraId="016C4C85" w14:textId="77777777" w:rsidR="00BB4760" w:rsidRDefault="00F91C53">
            <w:pPr>
              <w:widowControl w:val="0"/>
              <w:numPr>
                <w:ilvl w:val="0"/>
                <w:numId w:val="6"/>
              </w:numPr>
              <w:pBdr>
                <w:top w:val="nil"/>
                <w:left w:val="nil"/>
                <w:bottom w:val="nil"/>
                <w:right w:val="nil"/>
                <w:between w:val="nil"/>
              </w:pBdr>
              <w:bidi/>
            </w:pPr>
            <w:r>
              <w:rPr>
                <w:rtl/>
                <w:lang w:eastAsia="ar"/>
              </w:rPr>
              <w:t>التقييم البديل: يوفر التمويل لتطوير وتقديم تقييمات بديلة</w:t>
            </w:r>
          </w:p>
        </w:tc>
        <w:tc>
          <w:tcPr>
            <w:tcW w:w="690" w:type="dxa"/>
            <w:shd w:val="clear" w:color="auto" w:fill="auto"/>
            <w:tcMar>
              <w:top w:w="100" w:type="dxa"/>
              <w:left w:w="100" w:type="dxa"/>
              <w:bottom w:w="100" w:type="dxa"/>
              <w:right w:w="100" w:type="dxa"/>
            </w:tcMar>
          </w:tcPr>
          <w:p w14:paraId="32C03181" w14:textId="77777777" w:rsidR="00BB4760" w:rsidRDefault="00F91C53">
            <w:pPr>
              <w:widowControl w:val="0"/>
              <w:pBdr>
                <w:top w:val="nil"/>
                <w:left w:val="nil"/>
                <w:bottom w:val="nil"/>
                <w:right w:val="nil"/>
                <w:between w:val="nil"/>
              </w:pBdr>
              <w:bidi/>
            </w:pPr>
            <w:r>
              <w:rPr>
                <w:rtl/>
                <w:lang w:eastAsia="ar"/>
              </w:rPr>
              <w:t>(ق)</w:t>
            </w:r>
          </w:p>
        </w:tc>
        <w:tc>
          <w:tcPr>
            <w:tcW w:w="2475" w:type="dxa"/>
            <w:shd w:val="clear" w:color="auto" w:fill="auto"/>
            <w:tcMar>
              <w:top w:w="100" w:type="dxa"/>
              <w:left w:w="100" w:type="dxa"/>
              <w:bottom w:w="100" w:type="dxa"/>
              <w:right w:w="100" w:type="dxa"/>
            </w:tcMar>
          </w:tcPr>
          <w:p w14:paraId="1237FBA2" w14:textId="77777777" w:rsidR="00BB4760" w:rsidRDefault="00F91C53">
            <w:pPr>
              <w:widowControl w:val="0"/>
              <w:pBdr>
                <w:top w:val="nil"/>
                <w:left w:val="nil"/>
                <w:bottom w:val="nil"/>
                <w:right w:val="nil"/>
                <w:between w:val="nil"/>
              </w:pBdr>
              <w:bidi/>
              <w:jc w:val="right"/>
            </w:pPr>
            <w:r>
              <w:rPr>
                <w:rtl/>
                <w:lang w:eastAsia="ar"/>
              </w:rPr>
              <w:t>6,279,820 دولار</w:t>
            </w:r>
          </w:p>
        </w:tc>
      </w:tr>
      <w:tr w:rsidR="00BB4760" w14:paraId="49B62F7F" w14:textId="77777777">
        <w:tc>
          <w:tcPr>
            <w:tcW w:w="3750" w:type="dxa"/>
            <w:tcMar>
              <w:top w:w="100" w:type="dxa"/>
              <w:left w:w="100" w:type="dxa"/>
              <w:bottom w:w="100" w:type="dxa"/>
              <w:right w:w="100" w:type="dxa"/>
            </w:tcMar>
          </w:tcPr>
          <w:p w14:paraId="5B5BE375" w14:textId="77777777" w:rsidR="00BB4760" w:rsidRDefault="00F91C53">
            <w:pPr>
              <w:widowControl w:val="0"/>
              <w:pBdr>
                <w:top w:val="nil"/>
                <w:left w:val="nil"/>
                <w:bottom w:val="nil"/>
                <w:right w:val="nil"/>
                <w:between w:val="nil"/>
              </w:pBdr>
              <w:bidi/>
            </w:pPr>
            <w:r>
              <w:rPr>
                <w:rtl/>
                <w:lang w:eastAsia="ar"/>
              </w:rPr>
              <w:t xml:space="preserve">لتقديم المساعدة الفنية للمدارس والهيئات التعليمية المحلية، والخدمات المباشرة، بما في ذلك خدمات الطلاب المباشرة الموضحة في القسم 1003أ (ج) (3) من قانون تعليم المراحل الابتدائية والثانوية للأطفال ذوي الإعاقة، للمدارس أو الهيئات التعليمية المحلية التي تنفذ أنشطة الدعم والتحسين الشاملة أو أنشطة الدعم والتحسين المستهدفين المنصوص عليها في القسم 1111 (د) من قانون التعليم في المرحلة الابتدائية والمرحلة الثانوية على أساس ضعف الأداء المتسق لدى المجموعة الفرعية المصنفة من الأطفال ذوي الإعاقة، بما في ذلك توفير التطوير المهني لمعلمي التعليم الخاص والمنتظم، الذين يقومون بتعليم الأطفال ذوي الإعاقة ، استنادًا إلى البحث العلمي لتحسين التعليم الدراسي، بهدف تحسين التحصيل الأكاديمي بناءً على المعايير الأكاديمية الصعبة المحددة في القسم 1111 (ب) (1) من قانون </w:t>
            </w:r>
            <w:r>
              <w:rPr>
                <w:rtl/>
                <w:lang w:eastAsia="ar"/>
              </w:rPr>
              <w:lastRenderedPageBreak/>
              <w:t>تعليم المراحل الابتدائية والثانوية.</w:t>
            </w:r>
          </w:p>
        </w:tc>
        <w:tc>
          <w:tcPr>
            <w:tcW w:w="3405" w:type="dxa"/>
            <w:tcMar>
              <w:top w:w="100" w:type="dxa"/>
              <w:left w:w="100" w:type="dxa"/>
              <w:bottom w:w="100" w:type="dxa"/>
              <w:right w:w="100" w:type="dxa"/>
            </w:tcMar>
          </w:tcPr>
          <w:p w14:paraId="6F31F421" w14:textId="77777777" w:rsidR="00BB4760" w:rsidRDefault="00F91C53">
            <w:pPr>
              <w:widowControl w:val="0"/>
              <w:numPr>
                <w:ilvl w:val="0"/>
                <w:numId w:val="9"/>
              </w:numPr>
              <w:pBdr>
                <w:top w:val="nil"/>
                <w:left w:val="nil"/>
                <w:bottom w:val="nil"/>
                <w:right w:val="nil"/>
                <w:between w:val="nil"/>
              </w:pBdr>
              <w:bidi/>
            </w:pPr>
            <w:r>
              <w:rPr>
                <w:rtl/>
                <w:lang w:eastAsia="ar"/>
              </w:rPr>
              <w:lastRenderedPageBreak/>
              <w:t xml:space="preserve">دعم خطط إعادة تصميم المدارس التي تقدم على وجه التحديد التعليم للطلاب ذوي الإعاقة في المدارس التي تم تحديدها على أنها "مدارس التدخل العاجل المطلوب" بناءً على استمرار انخفاض أداء المجموعة الفرعية من الطلاب ذوي الإعاقة </w:t>
            </w:r>
          </w:p>
        </w:tc>
        <w:tc>
          <w:tcPr>
            <w:tcW w:w="690" w:type="dxa"/>
            <w:tcMar>
              <w:top w:w="100" w:type="dxa"/>
              <w:left w:w="100" w:type="dxa"/>
              <w:bottom w:w="100" w:type="dxa"/>
              <w:right w:w="100" w:type="dxa"/>
            </w:tcMar>
          </w:tcPr>
          <w:p w14:paraId="6A6F7871" w14:textId="77777777" w:rsidR="00BB4760" w:rsidRDefault="00F91C53">
            <w:pPr>
              <w:widowControl w:val="0"/>
              <w:pBdr>
                <w:top w:val="nil"/>
                <w:left w:val="nil"/>
                <w:bottom w:val="nil"/>
                <w:right w:val="nil"/>
                <w:between w:val="nil"/>
              </w:pBdr>
              <w:bidi/>
            </w:pPr>
            <w:r>
              <w:rPr>
                <w:rtl/>
                <w:lang w:eastAsia="ar"/>
              </w:rPr>
              <w:t>(ر)</w:t>
            </w:r>
          </w:p>
        </w:tc>
        <w:tc>
          <w:tcPr>
            <w:tcW w:w="2475" w:type="dxa"/>
            <w:tcMar>
              <w:top w:w="100" w:type="dxa"/>
              <w:left w:w="100" w:type="dxa"/>
              <w:bottom w:w="100" w:type="dxa"/>
              <w:right w:w="100" w:type="dxa"/>
            </w:tcMar>
          </w:tcPr>
          <w:p w14:paraId="516C7AF7" w14:textId="77777777" w:rsidR="00BB4760" w:rsidRDefault="00F91C53">
            <w:pPr>
              <w:widowControl w:val="0"/>
              <w:pBdr>
                <w:top w:val="nil"/>
                <w:left w:val="nil"/>
                <w:bottom w:val="nil"/>
                <w:right w:val="nil"/>
                <w:between w:val="nil"/>
              </w:pBdr>
              <w:bidi/>
              <w:jc w:val="right"/>
            </w:pPr>
            <w:r>
              <w:rPr>
                <w:rtl/>
                <w:lang w:eastAsia="ar"/>
              </w:rPr>
              <w:t>1,865,726 دولار</w:t>
            </w:r>
          </w:p>
        </w:tc>
      </w:tr>
      <w:tr w:rsidR="00BB4760" w14:paraId="04CAF444" w14:textId="77777777">
        <w:tc>
          <w:tcPr>
            <w:tcW w:w="3750" w:type="dxa"/>
            <w:tcMar>
              <w:top w:w="100" w:type="dxa"/>
              <w:left w:w="100" w:type="dxa"/>
              <w:bottom w:w="100" w:type="dxa"/>
              <w:right w:w="100" w:type="dxa"/>
            </w:tcMar>
          </w:tcPr>
          <w:p w14:paraId="6D48E5D6" w14:textId="77777777" w:rsidR="00BB4760" w:rsidRDefault="00F91C53">
            <w:pPr>
              <w:widowControl w:val="0"/>
              <w:pBdr>
                <w:top w:val="nil"/>
                <w:left w:val="nil"/>
                <w:bottom w:val="nil"/>
                <w:right w:val="nil"/>
                <w:between w:val="nil"/>
              </w:pBdr>
              <w:bidi/>
            </w:pPr>
            <w:r>
              <w:rPr>
                <w:b/>
                <w:bCs/>
                <w:rtl/>
                <w:lang w:eastAsia="ar"/>
              </w:rPr>
              <w:t xml:space="preserve">تجمع مخاطر الوكالة التعليمية المحلية </w:t>
            </w:r>
            <w:r>
              <w:rPr>
                <w:rtl/>
                <w:lang w:eastAsia="ar"/>
              </w:rPr>
              <w:t xml:space="preserve">(20 </w:t>
            </w:r>
            <w:r>
              <w:rPr>
                <w:lang w:eastAsia="ar" w:bidi="en-US"/>
              </w:rPr>
              <w:t>U.S.C.1411 (e) (3) (A</w:t>
            </w:r>
            <w:r>
              <w:rPr>
                <w:rtl/>
                <w:lang w:eastAsia="ar"/>
              </w:rPr>
              <w:t xml:space="preserve">)): لغرض مساعدة الوكالات التعليمية المحلية (بما في ذلك المدرسة المستقلة التي هي وكالة تعليمية محلية أو مجموعة من الوكالات التعليمية المحلية) في تلبية احتياجات الأطفال ذوي الاحتياجات الخاصة ذوي الإعاقة ، يجب أن يكون لكل ولاية خيار الحجز لكل سنة مالية 10 في المائة من مبلغ الأموال التي تحتفظ بها الدولة للأنشطة على مستوى الدولة تحت 20 </w:t>
            </w:r>
            <w:r>
              <w:rPr>
                <w:lang w:eastAsia="ar" w:bidi="en-US"/>
              </w:rPr>
              <w:t>USC</w:t>
            </w:r>
            <w:r>
              <w:rPr>
                <w:rtl/>
                <w:lang w:eastAsia="ar"/>
              </w:rPr>
              <w:t xml:space="preserve"> 1411 (هـ) (2) (أ) ؛ قانون اللوائح الفيدرالية 34 </w:t>
            </w:r>
            <w:r>
              <w:rPr>
                <w:lang w:eastAsia="ar" w:bidi="en-US"/>
              </w:rPr>
              <w:t>CFR</w:t>
            </w:r>
            <w:r>
              <w:rPr>
                <w:rtl/>
                <w:lang w:eastAsia="ar"/>
              </w:rPr>
              <w:t xml:space="preserve"> § 300.704.</w:t>
            </w:r>
          </w:p>
        </w:tc>
        <w:tc>
          <w:tcPr>
            <w:tcW w:w="3405" w:type="dxa"/>
            <w:shd w:val="clear" w:color="auto" w:fill="CCCCCC"/>
            <w:tcMar>
              <w:top w:w="100" w:type="dxa"/>
              <w:left w:w="100" w:type="dxa"/>
              <w:bottom w:w="100" w:type="dxa"/>
              <w:right w:w="100" w:type="dxa"/>
            </w:tcMar>
          </w:tcPr>
          <w:p w14:paraId="20A6469E" w14:textId="77777777" w:rsidR="00BB4760" w:rsidRDefault="00BB4760">
            <w:pPr>
              <w:widowControl w:val="0"/>
              <w:pBdr>
                <w:top w:val="nil"/>
                <w:left w:val="nil"/>
                <w:bottom w:val="nil"/>
                <w:right w:val="nil"/>
                <w:between w:val="nil"/>
              </w:pBdr>
              <w:bidi/>
            </w:pPr>
          </w:p>
        </w:tc>
        <w:tc>
          <w:tcPr>
            <w:tcW w:w="690" w:type="dxa"/>
            <w:shd w:val="clear" w:color="auto" w:fill="CCCCCC"/>
            <w:tcMar>
              <w:top w:w="100" w:type="dxa"/>
              <w:left w:w="100" w:type="dxa"/>
              <w:bottom w:w="100" w:type="dxa"/>
              <w:right w:w="100" w:type="dxa"/>
            </w:tcMar>
          </w:tcPr>
          <w:p w14:paraId="25EFE940" w14:textId="77777777" w:rsidR="00BB4760" w:rsidRDefault="00BB4760">
            <w:pPr>
              <w:widowControl w:val="0"/>
              <w:pBdr>
                <w:top w:val="nil"/>
                <w:left w:val="nil"/>
                <w:bottom w:val="nil"/>
                <w:right w:val="nil"/>
                <w:between w:val="nil"/>
              </w:pBdr>
              <w:bidi/>
            </w:pPr>
          </w:p>
        </w:tc>
        <w:tc>
          <w:tcPr>
            <w:tcW w:w="2475" w:type="dxa"/>
            <w:shd w:val="clear" w:color="auto" w:fill="CCCCCC"/>
            <w:tcMar>
              <w:top w:w="100" w:type="dxa"/>
              <w:left w:w="100" w:type="dxa"/>
              <w:bottom w:w="100" w:type="dxa"/>
              <w:right w:w="100" w:type="dxa"/>
            </w:tcMar>
          </w:tcPr>
          <w:p w14:paraId="7FD40B85" w14:textId="77777777" w:rsidR="00BB4760" w:rsidRDefault="00BB4760">
            <w:pPr>
              <w:widowControl w:val="0"/>
              <w:pBdr>
                <w:top w:val="nil"/>
                <w:left w:val="nil"/>
                <w:bottom w:val="nil"/>
                <w:right w:val="nil"/>
                <w:between w:val="nil"/>
              </w:pBdr>
              <w:bidi/>
              <w:jc w:val="right"/>
            </w:pPr>
          </w:p>
        </w:tc>
      </w:tr>
      <w:tr w:rsidR="00BB4760" w14:paraId="03A4C1F5" w14:textId="77777777">
        <w:trPr>
          <w:trHeight w:val="1860"/>
        </w:trPr>
        <w:tc>
          <w:tcPr>
            <w:tcW w:w="3750" w:type="dxa"/>
            <w:tcMar>
              <w:top w:w="100" w:type="dxa"/>
              <w:left w:w="100" w:type="dxa"/>
              <w:bottom w:w="100" w:type="dxa"/>
              <w:right w:w="100" w:type="dxa"/>
            </w:tcMar>
          </w:tcPr>
          <w:p w14:paraId="79098D6C" w14:textId="77777777" w:rsidR="00BB4760" w:rsidRDefault="00F91C53">
            <w:pPr>
              <w:widowControl w:val="0"/>
              <w:pBdr>
                <w:top w:val="nil"/>
                <w:left w:val="nil"/>
                <w:bottom w:val="nil"/>
                <w:right w:val="nil"/>
                <w:between w:val="nil"/>
              </w:pBdr>
              <w:bidi/>
            </w:pPr>
            <w:r>
              <w:rPr>
                <w:rtl/>
                <w:lang w:eastAsia="ar"/>
              </w:rPr>
              <w:t>توفير وصرف الأموال من صندوق جمع الأموال عالي التكلفة للهيئات التعليمية المحلية وفقًا للقانون 20</w:t>
            </w:r>
            <w:r>
              <w:rPr>
                <w:lang w:eastAsia="ar" w:bidi="en-US"/>
              </w:rPr>
              <w:t>U.S.C</w:t>
            </w:r>
            <w:r>
              <w:rPr>
                <w:rtl/>
                <w:lang w:eastAsia="ar"/>
              </w:rPr>
              <w:t>1411 (هـ) (3) خلال السنوات المالية الأولى واللاحقة لصندوق جمع الأموال عالي التكلفة؛</w:t>
            </w:r>
          </w:p>
        </w:tc>
        <w:tc>
          <w:tcPr>
            <w:tcW w:w="3405" w:type="dxa"/>
            <w:tcMar>
              <w:top w:w="100" w:type="dxa"/>
              <w:left w:w="100" w:type="dxa"/>
              <w:bottom w:w="100" w:type="dxa"/>
              <w:right w:w="100" w:type="dxa"/>
            </w:tcMar>
          </w:tcPr>
          <w:p w14:paraId="7E835554" w14:textId="77777777" w:rsidR="00BB4760" w:rsidRDefault="00F91C53">
            <w:pPr>
              <w:widowControl w:val="0"/>
              <w:numPr>
                <w:ilvl w:val="0"/>
                <w:numId w:val="4"/>
              </w:numPr>
              <w:pBdr>
                <w:top w:val="nil"/>
                <w:left w:val="nil"/>
                <w:bottom w:val="nil"/>
                <w:right w:val="nil"/>
                <w:between w:val="nil"/>
              </w:pBdr>
              <w:bidi/>
            </w:pPr>
            <w:r>
              <w:rPr>
                <w:rtl/>
                <w:lang w:eastAsia="ar"/>
              </w:rPr>
              <w:t>صندوق عالي التكلفة لدعم التكاليف الإضافية المرتبطة بالطلاب ذوي الاحتياجات المعقدة</w:t>
            </w:r>
          </w:p>
        </w:tc>
        <w:tc>
          <w:tcPr>
            <w:tcW w:w="690" w:type="dxa"/>
            <w:tcMar>
              <w:top w:w="100" w:type="dxa"/>
              <w:left w:w="100" w:type="dxa"/>
              <w:bottom w:w="100" w:type="dxa"/>
              <w:right w:w="100" w:type="dxa"/>
            </w:tcMar>
          </w:tcPr>
          <w:p w14:paraId="0F6D6357" w14:textId="77777777" w:rsidR="00BB4760" w:rsidRDefault="00F91C53">
            <w:pPr>
              <w:widowControl w:val="0"/>
              <w:pBdr>
                <w:top w:val="nil"/>
                <w:left w:val="nil"/>
                <w:bottom w:val="nil"/>
                <w:right w:val="nil"/>
                <w:between w:val="nil"/>
              </w:pBdr>
              <w:bidi/>
            </w:pPr>
            <w:r>
              <w:rPr>
                <w:rtl/>
                <w:lang w:eastAsia="ar"/>
              </w:rPr>
              <w:t>(ش)</w:t>
            </w:r>
          </w:p>
        </w:tc>
        <w:tc>
          <w:tcPr>
            <w:tcW w:w="2475" w:type="dxa"/>
            <w:tcMar>
              <w:top w:w="100" w:type="dxa"/>
              <w:left w:w="100" w:type="dxa"/>
              <w:bottom w:w="100" w:type="dxa"/>
              <w:right w:w="100" w:type="dxa"/>
            </w:tcMar>
          </w:tcPr>
          <w:p w14:paraId="7288C2C4" w14:textId="77777777" w:rsidR="00BB4760" w:rsidRDefault="00F91C53">
            <w:pPr>
              <w:widowControl w:val="0"/>
              <w:pBdr>
                <w:top w:val="nil"/>
                <w:left w:val="nil"/>
                <w:bottom w:val="nil"/>
                <w:right w:val="nil"/>
                <w:between w:val="nil"/>
              </w:pBdr>
              <w:bidi/>
              <w:jc w:val="right"/>
            </w:pPr>
            <w:r>
              <w:rPr>
                <w:rtl/>
                <w:lang w:eastAsia="ar"/>
              </w:rPr>
              <w:t>4,400,000 دولار</w:t>
            </w:r>
          </w:p>
        </w:tc>
      </w:tr>
      <w:tr w:rsidR="00BB4760" w14:paraId="5F0658F1" w14:textId="77777777">
        <w:tc>
          <w:tcPr>
            <w:tcW w:w="3750" w:type="dxa"/>
            <w:tcMar>
              <w:top w:w="100" w:type="dxa"/>
              <w:left w:w="100" w:type="dxa"/>
              <w:bottom w:w="100" w:type="dxa"/>
              <w:right w:w="100" w:type="dxa"/>
            </w:tcMar>
          </w:tcPr>
          <w:p w14:paraId="62B18515" w14:textId="77777777" w:rsidR="00BB4760" w:rsidRDefault="00F91C53">
            <w:pPr>
              <w:widowControl w:val="0"/>
              <w:pBdr>
                <w:top w:val="nil"/>
                <w:left w:val="nil"/>
                <w:bottom w:val="nil"/>
                <w:right w:val="nil"/>
                <w:between w:val="nil"/>
              </w:pBdr>
              <w:bidi/>
            </w:pPr>
            <w:r>
              <w:rPr>
                <w:rtl/>
                <w:lang w:eastAsia="ar"/>
              </w:rPr>
              <w:t xml:space="preserve">لدعم طرق مبتكرة وفعالة لتقاسم التكاليف من قِبل الولاية أو من قِبل هيئة تعليمية محلية أو بين مجموعة من الهيئات التعليمية المحلية، </w:t>
            </w:r>
          </w:p>
          <w:p w14:paraId="4F4B4F7E" w14:textId="77777777" w:rsidR="00BB4760" w:rsidRDefault="00F91C53">
            <w:pPr>
              <w:widowControl w:val="0"/>
              <w:pBdr>
                <w:top w:val="nil"/>
                <w:left w:val="nil"/>
                <w:bottom w:val="nil"/>
                <w:right w:val="nil"/>
                <w:between w:val="nil"/>
              </w:pBdr>
              <w:bidi/>
            </w:pPr>
            <w:r>
              <w:rPr>
                <w:rtl/>
                <w:lang w:eastAsia="ar"/>
              </w:rPr>
              <w:t>على النحو الذي تحدده الدولة بالتنسيق مع ممثلين من الوكالات التعليمية المحلية ، خاضعة لـ 20</w:t>
            </w:r>
            <w:r>
              <w:rPr>
                <w:lang w:eastAsia="ar" w:bidi="en-US"/>
              </w:rPr>
              <w:t>U.S.C</w:t>
            </w:r>
            <w:r>
              <w:rPr>
                <w:rtl/>
                <w:lang w:eastAsia="ar"/>
              </w:rPr>
              <w:t xml:space="preserve">. 1411 (هـ) (3) (ب) (2) [لا يجوز أن يكون المبلغ أكثر من 5٪ من المبلغ المحجوز لتجمع مخاطر </w:t>
            </w:r>
            <w:r>
              <w:rPr>
                <w:lang w:eastAsia="ar" w:bidi="en-US"/>
              </w:rPr>
              <w:t>LEA</w:t>
            </w:r>
            <w:r>
              <w:rPr>
                <w:rtl/>
                <w:lang w:eastAsia="ar"/>
              </w:rPr>
              <w:t>.].</w:t>
            </w:r>
          </w:p>
        </w:tc>
        <w:tc>
          <w:tcPr>
            <w:tcW w:w="3405" w:type="dxa"/>
            <w:tcMar>
              <w:top w:w="100" w:type="dxa"/>
              <w:left w:w="100" w:type="dxa"/>
              <w:bottom w:w="100" w:type="dxa"/>
              <w:right w:w="100" w:type="dxa"/>
            </w:tcMar>
          </w:tcPr>
          <w:p w14:paraId="17357EF3" w14:textId="77777777" w:rsidR="00BB4760" w:rsidRDefault="00BB4760">
            <w:pPr>
              <w:widowControl w:val="0"/>
              <w:pBdr>
                <w:top w:val="nil"/>
                <w:left w:val="nil"/>
                <w:bottom w:val="nil"/>
                <w:right w:val="nil"/>
                <w:between w:val="nil"/>
              </w:pBdr>
              <w:bidi/>
            </w:pPr>
          </w:p>
        </w:tc>
        <w:tc>
          <w:tcPr>
            <w:tcW w:w="690" w:type="dxa"/>
            <w:tcMar>
              <w:top w:w="100" w:type="dxa"/>
              <w:left w:w="100" w:type="dxa"/>
              <w:bottom w:w="100" w:type="dxa"/>
              <w:right w:w="100" w:type="dxa"/>
            </w:tcMar>
          </w:tcPr>
          <w:p w14:paraId="7A53F283" w14:textId="77777777" w:rsidR="00BB4760" w:rsidRDefault="00F91C53">
            <w:pPr>
              <w:widowControl w:val="0"/>
              <w:pBdr>
                <w:top w:val="nil"/>
                <w:left w:val="nil"/>
                <w:bottom w:val="nil"/>
                <w:right w:val="nil"/>
                <w:between w:val="nil"/>
              </w:pBdr>
              <w:bidi/>
            </w:pPr>
            <w:r>
              <w:rPr>
                <w:rtl/>
                <w:lang w:eastAsia="ar"/>
              </w:rPr>
              <w:t>(ت)</w:t>
            </w:r>
          </w:p>
        </w:tc>
        <w:tc>
          <w:tcPr>
            <w:tcW w:w="2475" w:type="dxa"/>
            <w:tcMar>
              <w:top w:w="100" w:type="dxa"/>
              <w:left w:w="100" w:type="dxa"/>
              <w:bottom w:w="100" w:type="dxa"/>
              <w:right w:w="100" w:type="dxa"/>
            </w:tcMar>
          </w:tcPr>
          <w:p w14:paraId="018B7B50" w14:textId="77777777" w:rsidR="00BB4760" w:rsidRDefault="00F91C53">
            <w:pPr>
              <w:widowControl w:val="0"/>
              <w:pBdr>
                <w:top w:val="nil"/>
                <w:left w:val="nil"/>
                <w:bottom w:val="nil"/>
                <w:right w:val="nil"/>
                <w:between w:val="nil"/>
              </w:pBdr>
              <w:bidi/>
              <w:jc w:val="right"/>
            </w:pPr>
            <w:r>
              <w:rPr>
                <w:rtl/>
                <w:lang w:eastAsia="ar"/>
              </w:rPr>
              <w:t>0 دولار</w:t>
            </w:r>
          </w:p>
        </w:tc>
      </w:tr>
      <w:tr w:rsidR="00BB4760" w14:paraId="13ACAF06" w14:textId="77777777">
        <w:tc>
          <w:tcPr>
            <w:tcW w:w="3750" w:type="dxa"/>
            <w:tcMar>
              <w:top w:w="100" w:type="dxa"/>
              <w:left w:w="100" w:type="dxa"/>
              <w:bottom w:w="100" w:type="dxa"/>
              <w:right w:w="100" w:type="dxa"/>
            </w:tcMar>
          </w:tcPr>
          <w:p w14:paraId="118F0E31" w14:textId="77777777" w:rsidR="00BB4760" w:rsidRDefault="00F91C53">
            <w:pPr>
              <w:widowControl w:val="0"/>
              <w:pBdr>
                <w:top w:val="nil"/>
                <w:left w:val="nil"/>
                <w:bottom w:val="nil"/>
                <w:right w:val="nil"/>
                <w:between w:val="nil"/>
              </w:pBdr>
              <w:bidi/>
            </w:pPr>
            <w:r>
              <w:rPr>
                <w:rtl/>
                <w:lang w:eastAsia="ar"/>
              </w:rPr>
              <w:t xml:space="preserve">إنشاء صندوق عالي التكلفة بموجب القانون (20 </w:t>
            </w:r>
            <w:r>
              <w:rPr>
                <w:lang w:eastAsia="ar" w:bidi="en-US"/>
              </w:rPr>
              <w:t>U.S.C</w:t>
            </w:r>
            <w:r>
              <w:rPr>
                <w:rtl/>
                <w:lang w:eastAsia="ar"/>
              </w:rPr>
              <w:t>.1411(هـ)(3)(</w:t>
            </w:r>
            <w:r>
              <w:rPr>
                <w:lang w:eastAsia="ar" w:bidi="en-US"/>
              </w:rPr>
              <w:t>B</w:t>
            </w:r>
            <w:r>
              <w:rPr>
                <w:rtl/>
                <w:lang w:eastAsia="ar"/>
              </w:rPr>
              <w:t>)(1);34 (قانون اللوائح الفيدرالية) الفقرة رقم 300.704)</w:t>
            </w:r>
          </w:p>
        </w:tc>
        <w:tc>
          <w:tcPr>
            <w:tcW w:w="3405" w:type="dxa"/>
            <w:shd w:val="clear" w:color="auto" w:fill="CCCCCC"/>
            <w:tcMar>
              <w:top w:w="100" w:type="dxa"/>
              <w:left w:w="100" w:type="dxa"/>
              <w:bottom w:w="100" w:type="dxa"/>
              <w:right w:w="100" w:type="dxa"/>
            </w:tcMar>
          </w:tcPr>
          <w:p w14:paraId="38201750" w14:textId="77777777" w:rsidR="00BB4760" w:rsidRDefault="00BB4760">
            <w:pPr>
              <w:widowControl w:val="0"/>
              <w:pBdr>
                <w:top w:val="nil"/>
                <w:left w:val="nil"/>
                <w:bottom w:val="nil"/>
                <w:right w:val="nil"/>
                <w:between w:val="nil"/>
              </w:pBdr>
              <w:bidi/>
            </w:pPr>
          </w:p>
        </w:tc>
        <w:tc>
          <w:tcPr>
            <w:tcW w:w="690" w:type="dxa"/>
            <w:shd w:val="clear" w:color="auto" w:fill="CCCCCC"/>
            <w:tcMar>
              <w:top w:w="100" w:type="dxa"/>
              <w:left w:w="100" w:type="dxa"/>
              <w:bottom w:w="100" w:type="dxa"/>
              <w:right w:w="100" w:type="dxa"/>
            </w:tcMar>
          </w:tcPr>
          <w:p w14:paraId="422B23AA" w14:textId="77777777" w:rsidR="00BB4760" w:rsidRDefault="00BB4760">
            <w:pPr>
              <w:widowControl w:val="0"/>
              <w:pBdr>
                <w:top w:val="nil"/>
                <w:left w:val="nil"/>
                <w:bottom w:val="nil"/>
                <w:right w:val="nil"/>
                <w:between w:val="nil"/>
              </w:pBdr>
              <w:bidi/>
            </w:pPr>
          </w:p>
        </w:tc>
        <w:tc>
          <w:tcPr>
            <w:tcW w:w="2475" w:type="dxa"/>
            <w:shd w:val="clear" w:color="auto" w:fill="CCCCCC"/>
            <w:tcMar>
              <w:top w:w="100" w:type="dxa"/>
              <w:left w:w="100" w:type="dxa"/>
              <w:bottom w:w="100" w:type="dxa"/>
              <w:right w:w="100" w:type="dxa"/>
            </w:tcMar>
          </w:tcPr>
          <w:p w14:paraId="0C04152A" w14:textId="77777777" w:rsidR="00BB4760" w:rsidRDefault="00BB4760">
            <w:pPr>
              <w:widowControl w:val="0"/>
              <w:pBdr>
                <w:top w:val="nil"/>
                <w:left w:val="nil"/>
                <w:bottom w:val="nil"/>
                <w:right w:val="nil"/>
                <w:between w:val="nil"/>
              </w:pBdr>
              <w:bidi/>
            </w:pPr>
          </w:p>
        </w:tc>
      </w:tr>
      <w:tr w:rsidR="00BB4760" w14:paraId="58BF36F7" w14:textId="77777777">
        <w:tc>
          <w:tcPr>
            <w:tcW w:w="3750" w:type="dxa"/>
            <w:tcMar>
              <w:top w:w="100" w:type="dxa"/>
              <w:left w:w="100" w:type="dxa"/>
              <w:bottom w:w="100" w:type="dxa"/>
              <w:right w:w="100" w:type="dxa"/>
            </w:tcMar>
          </w:tcPr>
          <w:p w14:paraId="62C32696" w14:textId="77777777" w:rsidR="00BB4760" w:rsidRDefault="00F91C53">
            <w:pPr>
              <w:widowControl w:val="0"/>
              <w:pBdr>
                <w:top w:val="nil"/>
                <w:left w:val="nil"/>
                <w:bottom w:val="nil"/>
                <w:right w:val="nil"/>
                <w:between w:val="nil"/>
              </w:pBdr>
              <w:bidi/>
            </w:pPr>
            <w:r>
              <w:rPr>
                <w:rtl/>
                <w:lang w:eastAsia="ar"/>
              </w:rPr>
              <w:t xml:space="preserve">لا يجوز للولاية استخدام أي من الأموال التي تحتفظ بها الولاية وفقًا للقواعد 20 </w:t>
            </w:r>
            <w:r>
              <w:rPr>
                <w:lang w:eastAsia="ar" w:bidi="en-US"/>
              </w:rPr>
              <w:t>USC.1411 (e) (3) (A) (i</w:t>
            </w:r>
            <w:r>
              <w:rPr>
                <w:rtl/>
                <w:lang w:eastAsia="ar"/>
              </w:rPr>
              <w:t xml:space="preserve">) ؛ 34 </w:t>
            </w:r>
            <w:r>
              <w:rPr>
                <w:lang w:eastAsia="ar" w:bidi="en-US"/>
              </w:rPr>
              <w:t>CFR</w:t>
            </w:r>
            <w:r>
              <w:rPr>
                <w:rtl/>
                <w:lang w:eastAsia="ar"/>
              </w:rPr>
              <w:t xml:space="preserve"> §300.704 ، ولكن يجوز استخدام الأموال من احتياطيات الدولة بموجب قانون 20 </w:t>
            </w:r>
            <w:r>
              <w:rPr>
                <w:lang w:eastAsia="ar" w:bidi="en-US"/>
              </w:rPr>
              <w:t>U.S.C</w:t>
            </w:r>
            <w:r>
              <w:rPr>
                <w:rtl/>
                <w:lang w:eastAsia="ar"/>
              </w:rPr>
              <w:t xml:space="preserve">. 1411 (هـ) (1) ؛ قانون اللوائح الفيدرالية 34 </w:t>
            </w:r>
            <w:r>
              <w:rPr>
                <w:lang w:eastAsia="ar" w:bidi="en-US"/>
              </w:rPr>
              <w:t>CFR</w:t>
            </w:r>
            <w:r>
              <w:rPr>
                <w:rtl/>
                <w:lang w:eastAsia="ar"/>
              </w:rPr>
              <w:t xml:space="preserve"> § 300.704 ، لإنشاء ودعم صندوق التكلفة العالية.</w:t>
            </w:r>
          </w:p>
        </w:tc>
        <w:tc>
          <w:tcPr>
            <w:tcW w:w="3405" w:type="dxa"/>
            <w:shd w:val="clear" w:color="auto" w:fill="CCCCCC"/>
            <w:tcMar>
              <w:top w:w="100" w:type="dxa"/>
              <w:left w:w="100" w:type="dxa"/>
              <w:bottom w:w="100" w:type="dxa"/>
              <w:right w:w="100" w:type="dxa"/>
            </w:tcMar>
          </w:tcPr>
          <w:p w14:paraId="73AC252D" w14:textId="77777777" w:rsidR="00BB4760" w:rsidRDefault="00BB4760">
            <w:pPr>
              <w:widowControl w:val="0"/>
              <w:pBdr>
                <w:top w:val="nil"/>
                <w:left w:val="nil"/>
                <w:bottom w:val="nil"/>
                <w:right w:val="nil"/>
                <w:between w:val="nil"/>
              </w:pBdr>
              <w:bidi/>
            </w:pPr>
          </w:p>
        </w:tc>
        <w:tc>
          <w:tcPr>
            <w:tcW w:w="690" w:type="dxa"/>
            <w:shd w:val="clear" w:color="auto" w:fill="CCCCCC"/>
            <w:tcMar>
              <w:top w:w="100" w:type="dxa"/>
              <w:left w:w="100" w:type="dxa"/>
              <w:bottom w:w="100" w:type="dxa"/>
              <w:right w:w="100" w:type="dxa"/>
            </w:tcMar>
          </w:tcPr>
          <w:p w14:paraId="2E1B23A3" w14:textId="77777777" w:rsidR="00BB4760" w:rsidRDefault="00BB4760">
            <w:pPr>
              <w:widowControl w:val="0"/>
              <w:pBdr>
                <w:top w:val="nil"/>
                <w:left w:val="nil"/>
                <w:bottom w:val="nil"/>
                <w:right w:val="nil"/>
                <w:between w:val="nil"/>
              </w:pBdr>
              <w:bidi/>
            </w:pPr>
          </w:p>
        </w:tc>
        <w:tc>
          <w:tcPr>
            <w:tcW w:w="2475" w:type="dxa"/>
            <w:shd w:val="clear" w:color="auto" w:fill="CCCCCC"/>
            <w:tcMar>
              <w:top w:w="100" w:type="dxa"/>
              <w:left w:w="100" w:type="dxa"/>
              <w:bottom w:w="100" w:type="dxa"/>
              <w:right w:w="100" w:type="dxa"/>
            </w:tcMar>
          </w:tcPr>
          <w:p w14:paraId="6232FA75" w14:textId="77777777" w:rsidR="00BB4760" w:rsidRDefault="00BB4760">
            <w:pPr>
              <w:widowControl w:val="0"/>
              <w:pBdr>
                <w:top w:val="nil"/>
                <w:left w:val="nil"/>
                <w:bottom w:val="nil"/>
                <w:right w:val="nil"/>
                <w:between w:val="nil"/>
              </w:pBdr>
              <w:bidi/>
            </w:pPr>
          </w:p>
        </w:tc>
      </w:tr>
    </w:tbl>
    <w:p w14:paraId="3AAC811D" w14:textId="77777777" w:rsidR="00BB4760" w:rsidRDefault="00BB4760">
      <w:pPr>
        <w:bidi/>
      </w:pPr>
      <w:bookmarkStart w:id="4" w:name="_6kpmys74hr9e" w:colFirst="0" w:colLast="0"/>
      <w:bookmarkEnd w:id="4"/>
    </w:p>
    <w:sectPr w:rsidR="00BB4760">
      <w:headerReference w:type="default" r:id="rId9"/>
      <w:footerReference w:type="default" r:id="rId10"/>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EA3F" w14:textId="77777777" w:rsidR="00F91C53" w:rsidRDefault="00F91C53">
      <w:r>
        <w:separator/>
      </w:r>
    </w:p>
  </w:endnote>
  <w:endnote w:type="continuationSeparator" w:id="0">
    <w:p w14:paraId="41C05AB1" w14:textId="77777777" w:rsidR="00F91C53" w:rsidRDefault="00F9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66ED" w14:textId="77777777" w:rsidR="00BB4760" w:rsidRDefault="00BB4760">
    <w:pPr>
      <w:tabs>
        <w:tab w:val="center" w:pos="4680"/>
        <w:tab w:val="right" w:pos="9360"/>
      </w:tabs>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1825" w14:textId="77777777" w:rsidR="00F91C53" w:rsidRDefault="00F91C53">
      <w:r>
        <w:separator/>
      </w:r>
    </w:p>
  </w:footnote>
  <w:footnote w:type="continuationSeparator" w:id="0">
    <w:p w14:paraId="617AE474" w14:textId="77777777" w:rsidR="00F91C53" w:rsidRDefault="00F91C53">
      <w:r>
        <w:continuationSeparator/>
      </w:r>
    </w:p>
  </w:footnote>
  <w:footnote w:id="1">
    <w:p w14:paraId="5E256CC1" w14:textId="77777777" w:rsidR="00BB4760" w:rsidRDefault="00F91C53">
      <w:pPr>
        <w:bidi/>
        <w:rPr>
          <w:sz w:val="20"/>
          <w:szCs w:val="20"/>
        </w:rPr>
      </w:pPr>
      <w:r>
        <w:rPr>
          <w:vertAlign w:val="superscript"/>
          <w:rtl/>
          <w:lang w:eastAsia="ar"/>
        </w:rPr>
        <w:footnoteRef/>
      </w:r>
      <w:r>
        <w:rPr>
          <w:sz w:val="20"/>
          <w:szCs w:val="20"/>
          <w:rtl/>
          <w:lang w:eastAsia="ar"/>
        </w:rPr>
        <w:t xml:space="preserve"> </w:t>
      </w:r>
      <w:hyperlink r:id="rId1">
        <w:r>
          <w:rPr>
            <w:color w:val="1155CC"/>
            <w:sz w:val="20"/>
            <w:szCs w:val="20"/>
            <w:lang w:eastAsia="ar" w:bidi="en-US"/>
          </w:rPr>
          <w:t>OSEP National TA Call</w:t>
        </w:r>
        <w:r>
          <w:rPr>
            <w:color w:val="1155CC"/>
            <w:sz w:val="20"/>
            <w:szCs w:val="20"/>
            <w:rtl/>
            <w:lang w:eastAsia="ar"/>
          </w:rPr>
          <w:t xml:space="preserve"> ، 10 فبراير 2022</w:t>
        </w:r>
      </w:hyperlink>
      <w:hyperlink r:id="rId2">
        <w:r>
          <w:rPr>
            <w:color w:val="1155CC"/>
            <w:sz w:val="20"/>
            <w:szCs w:val="20"/>
            <w:u w:val="single"/>
            <w:rtl/>
            <w:lang w:eastAsia="ar"/>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7626" w14:textId="77777777" w:rsidR="00BB4760" w:rsidRDefault="00F91C53">
    <w:pPr>
      <w:pBdr>
        <w:top w:val="nil"/>
        <w:left w:val="nil"/>
        <w:bottom w:val="nil"/>
        <w:right w:val="nil"/>
        <w:between w:val="nil"/>
      </w:pBdr>
      <w:tabs>
        <w:tab w:val="center" w:pos="4680"/>
        <w:tab w:val="right" w:pos="9360"/>
      </w:tabs>
      <w:bidi/>
      <w:rPr>
        <w:color w:val="000000"/>
      </w:rPr>
    </w:pPr>
    <w:r>
      <w:rPr>
        <w:noProof/>
        <w:color w:val="000000"/>
        <w:rtl/>
        <w:lang w:eastAsia="ar"/>
      </w:rPr>
      <w:drawing>
        <wp:inline distT="0" distB="0" distL="0" distR="0" wp14:anchorId="20B27A4D" wp14:editId="7A0A93F1">
          <wp:extent cx="6858000" cy="701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701040"/>
                  </a:xfrm>
                  <a:prstGeom prst="rect">
                    <a:avLst/>
                  </a:prstGeom>
                  <a:ln/>
                </pic:spPr>
              </pic:pic>
            </a:graphicData>
          </a:graphic>
        </wp:inline>
      </w:drawing>
    </w:r>
    <w:r>
      <w:rPr>
        <w:noProof/>
        <w:color w:val="000000"/>
        <w:rtl/>
        <w:lang w:eastAsia="ar"/>
      </w:rPr>
      <mc:AlternateContent>
        <mc:Choice Requires="wps">
          <w:drawing>
            <wp:anchor distT="0" distB="0" distL="0" distR="0" simplePos="0" relativeHeight="251658240" behindDoc="0" locked="0" layoutInCell="1" hidden="0" allowOverlap="1" wp14:anchorId="02DA78B2" wp14:editId="1254E6C2">
              <wp:simplePos x="0" y="0"/>
              <wp:positionH relativeFrom="column">
                <wp:posOffset>2181225</wp:posOffset>
              </wp:positionH>
              <wp:positionV relativeFrom="paragraph">
                <wp:posOffset>28575</wp:posOffset>
              </wp:positionV>
              <wp:extent cx="4762500" cy="638649"/>
              <wp:effectExtent l="0" t="0" r="0" b="0"/>
              <wp:wrapNone/>
              <wp:docPr id="1" name="Rectangle 1"/>
              <wp:cNvGraphicFramePr/>
              <a:graphic xmlns:a="http://schemas.openxmlformats.org/drawingml/2006/main">
                <a:graphicData uri="http://schemas.microsoft.com/office/word/2010/wordprocessingShape">
                  <wps:wsp>
                    <wps:cNvSpPr/>
                    <wps:spPr>
                      <a:xfrm>
                        <a:off x="2868230" y="3455515"/>
                        <a:ext cx="4955540" cy="648970"/>
                      </a:xfrm>
                      <a:prstGeom prst="rect">
                        <a:avLst/>
                      </a:prstGeom>
                      <a:noFill/>
                      <a:ln>
                        <a:noFill/>
                      </a:ln>
                    </wps:spPr>
                    <wps:txbx>
                      <w:txbxContent>
                        <w:p w14:paraId="4FA7FD8F" w14:textId="77777777" w:rsidR="00BB4760" w:rsidRDefault="00F91C53">
                          <w:pPr>
                            <w:bidi/>
                            <w:jc w:val="right"/>
                            <w:textDirection w:val="btLr"/>
                          </w:pPr>
                          <w:r>
                            <w:rPr>
                              <w:b/>
                              <w:bCs/>
                              <w:color w:val="000000"/>
                              <w:sz w:val="28"/>
                              <w:szCs w:val="28"/>
                              <w:rtl/>
                              <w:lang w:eastAsia="ar"/>
                            </w:rPr>
                            <w:t xml:space="preserve">أنشطة تطبيق منحة </w:t>
                          </w:r>
                          <w:r>
                            <w:rPr>
                              <w:b/>
                              <w:bCs/>
                              <w:color w:val="000000"/>
                              <w:sz w:val="28"/>
                              <w:szCs w:val="28"/>
                              <w:lang w:eastAsia="ar" w:bidi="en-US"/>
                            </w:rPr>
                            <w:t>IDEA FFY 22 IDEA</w:t>
                          </w:r>
                        </w:p>
                      </w:txbxContent>
                    </wps:txbx>
                    <wps:bodyPr spcFirstLastPara="1" wrap="square" lIns="91425" tIns="45700" rIns="91425" bIns="45700" anchor="b" anchorCtr="0">
                      <a:noAutofit/>
                    </wps:bodyPr>
                  </wps:wsp>
                </a:graphicData>
              </a:graphic>
            </wp:anchor>
          </w:drawing>
        </mc:Choice>
        <mc:Fallback>
          <w:pict>
            <v:rect w14:anchorId="02DA78B2" id="Rectangle 1" o:spid="_x0000_s1026" style="position:absolute;left:0;text-align:left;margin-left:171.75pt;margin-top:2.25pt;width:375pt;height:50.3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" filled="f" stroked="f">
              <v:textbox inset="2.53958mm,1.2694mm,2.53958mm,1.2694mm">
                <w:txbxContent>
                  <w:p w14:paraId="4FA7FD8F" w14:textId="77777777" w:rsidR="00BB4760" w:rsidRDefault="00F91C53">
                    <w:pPr>
                      <w:bidi/>
                      <w:jc w:val="right"/>
                      <w:textDirection w:val="btLr"/>
                    </w:pPr>
                    <w:r>
                      <w:rPr>
                        <w:b/>
                        <w:bCs/>
                        <w:color w:val="000000"/>
                        <w:sz w:val="28"/>
                        <w:szCs w:val="28"/>
                        <w:rtl/>
                        <w:lang w:eastAsia="ar"/>
                      </w:rPr>
                      <w:t xml:space="preserve">أنشطة تطبيق منحة </w:t>
                    </w:r>
                    <w:r>
                      <w:rPr>
                        <w:b/>
                        <w:bCs/>
                        <w:color w:val="000000"/>
                        <w:sz w:val="28"/>
                        <w:szCs w:val="28"/>
                        <w:lang w:eastAsia="ar" w:bidi="en-US"/>
                      </w:rPr>
                      <w:t>IDEA FFY 22 IDEA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013"/>
    <w:multiLevelType w:val="multilevel"/>
    <w:tmpl w:val="97C2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D7BFF"/>
    <w:multiLevelType w:val="multilevel"/>
    <w:tmpl w:val="6B14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57610"/>
    <w:multiLevelType w:val="multilevel"/>
    <w:tmpl w:val="312E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70274"/>
    <w:multiLevelType w:val="multilevel"/>
    <w:tmpl w:val="9162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227F5"/>
    <w:multiLevelType w:val="multilevel"/>
    <w:tmpl w:val="2BB29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A63CED"/>
    <w:multiLevelType w:val="multilevel"/>
    <w:tmpl w:val="0BA63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1646B"/>
    <w:multiLevelType w:val="multilevel"/>
    <w:tmpl w:val="71EE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BD490E"/>
    <w:multiLevelType w:val="multilevel"/>
    <w:tmpl w:val="C590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207FAA"/>
    <w:multiLevelType w:val="multilevel"/>
    <w:tmpl w:val="06241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010DD"/>
    <w:multiLevelType w:val="multilevel"/>
    <w:tmpl w:val="50C61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9"/>
  </w:num>
  <w:num w:numId="5">
    <w:abstractNumId w:val="0"/>
  </w:num>
  <w:num w:numId="6">
    <w:abstractNumId w:val="2"/>
  </w:num>
  <w:num w:numId="7">
    <w:abstractNumId w:val="4"/>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4F3126"/>
    <w:rsid w:val="00BB4760"/>
    <w:rsid w:val="00E054CB"/>
    <w:rsid w:val="00F9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0A59"/>
  <w15:docId w15:val="{C7735DE6-C9E1-498F-B778-8871945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louisiana-believes/believe-to-achieve-educational-priorities.pdf" TargetMode="External"/><Relationship Id="rId3" Type="http://schemas.openxmlformats.org/officeDocument/2006/relationships/settings" Target="settings.xml"/><Relationship Id="rId7" Type="http://schemas.openxmlformats.org/officeDocument/2006/relationships/hyperlink" Target="https://www.louisianabelieves.com/docs/default-source/louisiana-believes/believe-to-achieve-educational-prioriti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sepideasthatwork.org/sites/default/files/January%202021%20MSIP%20National%20TA%20Call.pdf" TargetMode="External"/><Relationship Id="rId1" Type="http://schemas.openxmlformats.org/officeDocument/2006/relationships/hyperlink" Target="https://osepideasthatwork.org/sites/default/files/2.10_MSIP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Administrator</cp:lastModifiedBy>
  <cp:revision>2</cp:revision>
  <dcterms:created xsi:type="dcterms:W3CDTF">2022-03-24T10:44:00Z</dcterms:created>
  <dcterms:modified xsi:type="dcterms:W3CDTF">2022-03-24T10:44:00Z</dcterms:modified>
</cp:coreProperties>
</file>