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31E56" w14:textId="77777777" w:rsidR="007B35BE" w:rsidRPr="00781112" w:rsidRDefault="007B35BE" w:rsidP="0033429D">
      <w:pPr>
        <w:autoSpaceDE w:val="0"/>
        <w:autoSpaceDN w:val="0"/>
        <w:adjustRightInd w:val="0"/>
        <w:spacing w:before="1800"/>
        <w:jc w:val="center"/>
        <w:rPr>
          <w:rFonts w:cs="Arial"/>
          <w:b/>
          <w:bCs/>
          <w:smallCaps/>
          <w:color w:val="000000" w:themeColor="text1"/>
          <w:sz w:val="32"/>
          <w:szCs w:val="32"/>
        </w:rPr>
      </w:pPr>
      <w:bookmarkStart w:id="0" w:name="_Toc382082357"/>
      <w:bookmarkStart w:id="1" w:name="_Toc392159258"/>
      <w:bookmarkStart w:id="2" w:name="_GoBack"/>
      <w:bookmarkEnd w:id="2"/>
      <w:r w:rsidRPr="00781112">
        <w:rPr>
          <w:rFonts w:cs="Arial"/>
          <w:b/>
          <w:bCs/>
          <w:smallCaps/>
          <w:color w:val="000000" w:themeColor="text1"/>
          <w:sz w:val="32"/>
          <w:szCs w:val="32"/>
        </w:rPr>
        <w:t>State Performance Plan / Annual Performance Report: Part B</w:t>
      </w:r>
    </w:p>
    <w:p w14:paraId="775F9C1C" w14:textId="7777777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for STATE FORMULA GRANT PROGRAMS under the Individuals with Disabilities Education Act</w:t>
      </w:r>
    </w:p>
    <w:p w14:paraId="29F4DA54" w14:textId="25578F2B" w:rsidR="007B35BE" w:rsidRPr="00781112" w:rsidRDefault="007B35BE" w:rsidP="007B35BE">
      <w:pPr>
        <w:autoSpaceDE w:val="0"/>
        <w:autoSpaceDN w:val="0"/>
        <w:adjustRightInd w:val="0"/>
        <w:spacing w:before="360"/>
        <w:jc w:val="center"/>
        <w:rPr>
          <w:rFonts w:cs="Arial"/>
          <w:b/>
          <w:bCs/>
          <w:color w:val="000000" w:themeColor="text1"/>
          <w:sz w:val="28"/>
          <w:szCs w:val="28"/>
        </w:rPr>
      </w:pPr>
      <w:r w:rsidRPr="00781112">
        <w:rPr>
          <w:rFonts w:cs="Arial"/>
          <w:b/>
          <w:bCs/>
          <w:color w:val="000000" w:themeColor="text1"/>
          <w:sz w:val="24"/>
          <w:szCs w:val="24"/>
        </w:rPr>
        <w:t xml:space="preserve">For reporting on </w:t>
      </w:r>
      <w:r w:rsidRPr="00781112">
        <w:rPr>
          <w:rFonts w:cs="Arial"/>
          <w:b/>
          <w:bCs/>
          <w:color w:val="000000" w:themeColor="text1"/>
          <w:sz w:val="24"/>
          <w:szCs w:val="24"/>
        </w:rPr>
        <w:br/>
      </w:r>
      <w:r w:rsidRPr="00781112">
        <w:rPr>
          <w:rFonts w:cs="Arial"/>
          <w:b/>
          <w:bCs/>
          <w:color w:val="000000" w:themeColor="text1"/>
          <w:sz w:val="28"/>
          <w:szCs w:val="28"/>
        </w:rPr>
        <w:t xml:space="preserve">FFY </w:t>
      </w:r>
      <w:r w:rsidR="00E53761" w:rsidRPr="00781112">
        <w:rPr>
          <w:rFonts w:cs="Arial"/>
          <w:b/>
          <w:bCs/>
          <w:color w:val="000000" w:themeColor="text1"/>
          <w:sz w:val="28"/>
          <w:szCs w:val="28"/>
        </w:rPr>
        <w:t>2020</w:t>
      </w:r>
    </w:p>
    <w:p w14:paraId="3168A19B" w14:textId="77777777" w:rsidR="007B35BE" w:rsidRPr="00781112" w:rsidRDefault="007B35BE" w:rsidP="007B35BE">
      <w:pPr>
        <w:autoSpaceDE w:val="0"/>
        <w:autoSpaceDN w:val="0"/>
        <w:adjustRightInd w:val="0"/>
        <w:spacing w:before="360"/>
        <w:jc w:val="center"/>
        <w:rPr>
          <w:rFonts w:cs="Arial"/>
          <w:b/>
          <w:bCs/>
          <w:color w:val="000000" w:themeColor="text1"/>
          <w:sz w:val="32"/>
          <w:szCs w:val="32"/>
        </w:rPr>
      </w:pPr>
      <w:r w:rsidRPr="00781112">
        <w:rPr>
          <w:rFonts w:cs="Arial"/>
          <w:b/>
          <w:bCs/>
          <w:color w:val="000000" w:themeColor="text1"/>
          <w:sz w:val="32"/>
          <w:szCs w:val="32"/>
        </w:rPr>
        <w:t>Louisiana</w:t>
      </w:r>
    </w:p>
    <w:p w14:paraId="160C9007" w14:textId="7777777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noProof/>
          <w:color w:val="000000" w:themeColor="text1"/>
          <w:sz w:val="24"/>
          <w:szCs w:val="24"/>
        </w:rPr>
        <w:drawing>
          <wp:inline distT="0" distB="0" distL="0" distR="0" wp14:anchorId="135639EF" wp14:editId="6DF93301">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7AFE126A" w14:textId="2B1C2D9A"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PART B DUE February 1, 2022</w:t>
      </w:r>
    </w:p>
    <w:p w14:paraId="00155D5B" w14:textId="77777777" w:rsidR="007B35BE" w:rsidRPr="00781112" w:rsidRDefault="007B35BE" w:rsidP="007B35BE">
      <w:pPr>
        <w:autoSpaceDE w:val="0"/>
        <w:autoSpaceDN w:val="0"/>
        <w:adjustRightInd w:val="0"/>
        <w:spacing w:before="360"/>
        <w:jc w:val="center"/>
        <w:rPr>
          <w:rFonts w:cs="Arial"/>
          <w:b/>
          <w:bCs/>
          <w:color w:val="000000" w:themeColor="text1"/>
          <w:sz w:val="18"/>
          <w:szCs w:val="18"/>
        </w:rPr>
      </w:pPr>
      <w:r w:rsidRPr="00781112">
        <w:rPr>
          <w:rFonts w:cs="Arial"/>
          <w:b/>
          <w:bCs/>
          <w:color w:val="000000" w:themeColor="text1"/>
          <w:sz w:val="18"/>
          <w:szCs w:val="18"/>
        </w:rPr>
        <w:t>U.S. DEPARTMENT OF EDUCATION</w:t>
      </w:r>
    </w:p>
    <w:p w14:paraId="4EAB0E73" w14:textId="660D4F64" w:rsidR="007B35BE" w:rsidRPr="00781112" w:rsidRDefault="007B35BE" w:rsidP="007B35BE">
      <w:pPr>
        <w:jc w:val="center"/>
        <w:rPr>
          <w:rFonts w:cs="Arial"/>
          <w:b/>
          <w:bCs/>
          <w:color w:val="000000" w:themeColor="text1"/>
          <w:sz w:val="18"/>
          <w:szCs w:val="18"/>
        </w:rPr>
      </w:pPr>
      <w:r w:rsidRPr="00781112">
        <w:rPr>
          <w:rFonts w:cs="Arial"/>
          <w:b/>
          <w:bCs/>
          <w:color w:val="000000" w:themeColor="text1"/>
          <w:sz w:val="18"/>
          <w:szCs w:val="18"/>
        </w:rPr>
        <w:t>WASHINGTON, DC 20202</w:t>
      </w:r>
    </w:p>
    <w:p w14:paraId="27ABABDC" w14:textId="7FECEC69" w:rsidR="00AB39FB" w:rsidRPr="00781112" w:rsidRDefault="00AB39FB">
      <w:pPr>
        <w:spacing w:before="0" w:after="200" w:line="276" w:lineRule="auto"/>
        <w:rPr>
          <w:rFonts w:cs="Arial"/>
          <w:b/>
          <w:bCs/>
          <w:color w:val="000000" w:themeColor="text1"/>
          <w:sz w:val="18"/>
          <w:szCs w:val="18"/>
        </w:rPr>
      </w:pPr>
      <w:r w:rsidRPr="00781112">
        <w:rPr>
          <w:rFonts w:cs="Arial"/>
          <w:b/>
          <w:bCs/>
          <w:color w:val="000000" w:themeColor="text1"/>
          <w:sz w:val="18"/>
          <w:szCs w:val="18"/>
        </w:rPr>
        <w:br w:type="page"/>
      </w:r>
    </w:p>
    <w:p w14:paraId="3F368203" w14:textId="77777777" w:rsidR="00AB39FB" w:rsidRPr="00781112" w:rsidRDefault="00AB39FB" w:rsidP="007B35BE">
      <w:pPr>
        <w:jc w:val="center"/>
        <w:rPr>
          <w:rFonts w:cs="Arial"/>
          <w:b/>
          <w:bCs/>
          <w:color w:val="000000" w:themeColor="text1"/>
          <w:sz w:val="18"/>
          <w:szCs w:val="18"/>
        </w:rPr>
      </w:pPr>
    </w:p>
    <w:p w14:paraId="0E7D29A1" w14:textId="2C077CCB" w:rsidR="00AF5649" w:rsidRPr="00781112" w:rsidRDefault="00AF5649" w:rsidP="007D435F">
      <w:pPr>
        <w:pStyle w:val="Heading1"/>
        <w:rPr>
          <w:rFonts w:cs="Arial"/>
          <w:color w:val="000000" w:themeColor="text1"/>
          <w:szCs w:val="20"/>
        </w:rPr>
      </w:pPr>
      <w:r w:rsidRPr="00781112">
        <w:rPr>
          <w:rFonts w:cs="Arial"/>
          <w:color w:val="000000" w:themeColor="text1"/>
          <w:szCs w:val="20"/>
        </w:rPr>
        <w:t>Introduction</w:t>
      </w:r>
    </w:p>
    <w:p w14:paraId="5B9171B6" w14:textId="1B94FDAA" w:rsidR="007742F1" w:rsidRPr="00781112" w:rsidRDefault="007742F1" w:rsidP="00A018D4">
      <w:pPr>
        <w:rPr>
          <w:rFonts w:asciiTheme="majorHAnsi" w:hAnsiTheme="majorHAnsi"/>
          <w:color w:val="000000" w:themeColor="text1"/>
          <w:sz w:val="20"/>
          <w:szCs w:val="20"/>
        </w:rPr>
      </w:pPr>
      <w:r w:rsidRPr="00781112">
        <w:rPr>
          <w:b/>
          <w:color w:val="000000" w:themeColor="text1"/>
          <w:sz w:val="20"/>
          <w:szCs w:val="20"/>
        </w:rPr>
        <w:t>Instructions</w:t>
      </w:r>
    </w:p>
    <w:p w14:paraId="696881EF" w14:textId="783B44AF" w:rsidR="00AA4DAF" w:rsidRPr="00781112" w:rsidRDefault="00AA4DAF" w:rsidP="00A84FF8">
      <w:pPr>
        <w:rPr>
          <w:rFonts w:cs="Arial"/>
          <w:color w:val="000000" w:themeColor="text1"/>
          <w:szCs w:val="16"/>
        </w:rPr>
      </w:pPr>
      <w:r w:rsidRPr="00781112">
        <w:rPr>
          <w:rFonts w:cs="Arial"/>
          <w:color w:val="000000" w:themeColor="text1"/>
          <w:szCs w:val="16"/>
          <w:shd w:val="clear" w:color="auto" w:fill="FFFFFF"/>
        </w:rPr>
        <w:t>Provide sufficient detail to ensure that the Secretary and the public are informed of and understand the State’s systems designed to drive improved results for students with disabilities and to ensure that the State Educational Agency (SEA) and Local Educational Agencies (LEAs) meet the requirements of IDEA Part B. This introduction must include descriptions of the State’s General Supervision System, Technical Assistance System, Professional Development System, Stakeholder Involvement, and Reporting to the Public.</w:t>
      </w:r>
    </w:p>
    <w:p w14:paraId="4A333302" w14:textId="1EA6D8FF" w:rsidR="007742F1" w:rsidRPr="00781112" w:rsidRDefault="00684B51" w:rsidP="008645AD">
      <w:pPr>
        <w:pStyle w:val="Heading2"/>
      </w:pPr>
      <w:r w:rsidRPr="00781112">
        <w:t xml:space="preserve">Intro - </w:t>
      </w:r>
      <w:r w:rsidR="007742F1" w:rsidRPr="00781112">
        <w:t>Indicator Data</w:t>
      </w:r>
    </w:p>
    <w:p w14:paraId="72B2C3E7" w14:textId="767D9111" w:rsidR="00AF5649" w:rsidRPr="00781112" w:rsidRDefault="00AF5649" w:rsidP="004369B2">
      <w:pPr>
        <w:rPr>
          <w:color w:val="000000" w:themeColor="text1"/>
        </w:rPr>
      </w:pPr>
      <w:r w:rsidRPr="00781112">
        <w:rPr>
          <w:b/>
          <w:color w:val="000000" w:themeColor="text1"/>
        </w:rPr>
        <w:t>Executive Summary</w:t>
      </w:r>
    </w:p>
    <w:p w14:paraId="04B2974F" w14:textId="0DF01750" w:rsidR="000C24C2" w:rsidRPr="00781112" w:rsidRDefault="000C24C2" w:rsidP="00AF5649">
      <w:pPr>
        <w:rPr>
          <w:rFonts w:cs="Arial"/>
          <w:color w:val="000000" w:themeColor="text1"/>
          <w:szCs w:val="16"/>
        </w:rPr>
      </w:pPr>
    </w:p>
    <w:p w14:paraId="223A8781" w14:textId="77777777" w:rsidR="00757D21" w:rsidRPr="00781112" w:rsidRDefault="00757D21" w:rsidP="002536C1">
      <w:pPr>
        <w:rPr>
          <w:b/>
          <w:bCs/>
        </w:rPr>
      </w:pPr>
      <w:r w:rsidRPr="00781112">
        <w:rPr>
          <w:b/>
          <w:bCs/>
        </w:rPr>
        <w:t>Additional information related to data collection and reporting</w:t>
      </w:r>
    </w:p>
    <w:p w14:paraId="614EAC72" w14:textId="596641E7" w:rsidR="00757D21" w:rsidRPr="00781112" w:rsidRDefault="00757D21">
      <w:pPr>
        <w:rPr>
          <w:b/>
          <w:color w:val="000000" w:themeColor="text1"/>
        </w:rPr>
      </w:pPr>
    </w:p>
    <w:p w14:paraId="4ADBDC7F" w14:textId="2CA8C307" w:rsidR="00C01339" w:rsidRPr="00781112" w:rsidRDefault="00AF5649">
      <w:pPr>
        <w:rPr>
          <w:b/>
          <w:color w:val="000000" w:themeColor="text1"/>
        </w:rPr>
      </w:pPr>
      <w:r w:rsidRPr="00781112">
        <w:rPr>
          <w:b/>
          <w:color w:val="000000" w:themeColor="text1"/>
        </w:rPr>
        <w:t xml:space="preserve">Number of Districts in your State/Territory during reporting year </w:t>
      </w:r>
    </w:p>
    <w:p w14:paraId="36C38539" w14:textId="1E194795" w:rsidR="00AF5649" w:rsidRPr="00781112" w:rsidRDefault="002B7490" w:rsidP="004369B2">
      <w:pPr>
        <w:rPr>
          <w:color w:val="000000" w:themeColor="text1"/>
        </w:rPr>
      </w:pPr>
      <w:r w:rsidRPr="00781112">
        <w:rPr>
          <w:color w:val="000000" w:themeColor="text1"/>
        </w:rPr>
        <w:t>187</w:t>
      </w:r>
    </w:p>
    <w:p w14:paraId="785B8E3E" w14:textId="5E29FFD5" w:rsidR="00AF5649" w:rsidRPr="00781112" w:rsidRDefault="00AF5649" w:rsidP="004369B2">
      <w:pPr>
        <w:rPr>
          <w:color w:val="000000" w:themeColor="text1"/>
        </w:rPr>
      </w:pPr>
      <w:r w:rsidRPr="00781112">
        <w:rPr>
          <w:b/>
          <w:color w:val="000000" w:themeColor="text1"/>
        </w:rPr>
        <w:t>General Supervision System:</w:t>
      </w:r>
    </w:p>
    <w:p w14:paraId="6B6CEAB0" w14:textId="77777777" w:rsidR="00AF5649" w:rsidRPr="00781112" w:rsidRDefault="00AF5649" w:rsidP="00AF5649">
      <w:pPr>
        <w:rPr>
          <w:rFonts w:cs="Arial"/>
          <w:b/>
          <w:color w:val="000000" w:themeColor="text1"/>
          <w:szCs w:val="16"/>
        </w:rPr>
      </w:pPr>
      <w:r w:rsidRPr="00781112">
        <w:rPr>
          <w:rFonts w:cs="Arial"/>
          <w:b/>
          <w:color w:val="000000" w:themeColor="text1"/>
          <w:szCs w:val="16"/>
        </w:rPr>
        <w:t>The systems that are in place to ensure that IDEA Part B requirements are met, e.g., monitoring, dispute resolution, etc.</w:t>
      </w:r>
    </w:p>
    <w:p w14:paraId="7941FC2D" w14:textId="30866F75" w:rsidR="000C24C2" w:rsidRPr="00781112" w:rsidRDefault="002B7490" w:rsidP="00AF5649">
      <w:pPr>
        <w:rPr>
          <w:rFonts w:cs="Arial"/>
          <w:color w:val="000000" w:themeColor="text1"/>
          <w:szCs w:val="16"/>
        </w:rPr>
      </w:pPr>
      <w:r w:rsidRPr="00781112">
        <w:rPr>
          <w:rFonts w:cs="Arial"/>
          <w:color w:val="000000" w:themeColor="text1"/>
          <w:szCs w:val="16"/>
        </w:rPr>
        <w:t>MONITORING</w:t>
      </w:r>
      <w:r w:rsidRPr="00781112">
        <w:rPr>
          <w:rFonts w:cs="Arial"/>
          <w:color w:val="000000" w:themeColor="text1"/>
          <w:szCs w:val="16"/>
        </w:rPr>
        <w:br/>
      </w:r>
      <w:r w:rsidRPr="00781112">
        <w:rPr>
          <w:rFonts w:cs="Arial"/>
          <w:color w:val="000000" w:themeColor="text1"/>
          <w:szCs w:val="16"/>
        </w:rPr>
        <w:br/>
        <w:t>The Louisiana Department of Education, LDOE, recognizes its duty as a state education agency to ensure statutory and regulatory requirements related to federal education programs are followed and program activities, supports, and services are achieving intended outcomes. The LDOE, Office of Statewide Monitoring, monitors the Individuals with Disabilities Education Act (IDEA), Part B programs. The LDOE’s monitoring process is a model of Continuous Improvement Monitoring. The process includes a tiered system of ranking using a risk-based selection process, and more diverse, meaningful monitoring experiences. Through this process, LDOE can uncover the root cause for systemic issues of non-compliance.</w:t>
      </w:r>
      <w:r w:rsidRPr="00781112">
        <w:rPr>
          <w:rFonts w:cs="Arial"/>
          <w:color w:val="000000" w:themeColor="text1"/>
          <w:szCs w:val="16"/>
        </w:rPr>
        <w:br/>
      </w:r>
      <w:r w:rsidRPr="00781112">
        <w:rPr>
          <w:rFonts w:cs="Arial"/>
          <w:color w:val="000000" w:themeColor="text1"/>
          <w:szCs w:val="16"/>
        </w:rPr>
        <w:br/>
        <w:t>The risk-based process evaluates every school system every year for monitoring support. Risk indicators are determined through annual consultation with stakeholders, experts, and LDOE staff who lead the State's academic planning, accountability, and program support structures. Factors considered during the monitoring selection process currently include a growth analysis component for subgroup performance on statewide assessments, graduate and dropout rates. Other factors considered during the monitoring selection process may include one or more of the following components: LEA Determinations, federally required compliance indicators, performance indicators, state complaints, fiscal audits, and/or other agency established goals and priorities such as those identified in the State Systemic Improvement Plan (SSIP). Results from the ranking process informs the level and type of monitoring which is most appropriate.</w:t>
      </w:r>
      <w:r w:rsidRPr="00781112">
        <w:rPr>
          <w:rFonts w:cs="Arial"/>
          <w:color w:val="000000" w:themeColor="text1"/>
          <w:szCs w:val="16"/>
        </w:rPr>
        <w:br/>
      </w:r>
      <w:r w:rsidRPr="00781112">
        <w:rPr>
          <w:rFonts w:cs="Arial"/>
          <w:color w:val="000000" w:themeColor="text1"/>
          <w:szCs w:val="16"/>
        </w:rPr>
        <w:br/>
        <w:t>The primary focus of the State’s monitoring activities are on: (1) improving educational results and functional outcomes for all children with disabilities; and (2) ensuring that Louisiana meets the program requirements under IDEA Part B, with a particular emphasis on those requirements that are most closely related to improving educational results for children with disabilities. The risk-based monitoring structure co-exist alongside the required APR monitoring and reporting requirements. This data-driven differentiated system of monitoring help elevate and target areas that directly impact student performance and serves as a major component of the State’s overall General Supervision structure.</w:t>
      </w:r>
      <w:r w:rsidRPr="00781112">
        <w:rPr>
          <w:rFonts w:cs="Arial"/>
          <w:color w:val="000000" w:themeColor="text1"/>
          <w:szCs w:val="16"/>
        </w:rPr>
        <w:br/>
      </w:r>
      <w:r w:rsidRPr="00781112">
        <w:rPr>
          <w:rFonts w:cs="Arial"/>
          <w:color w:val="000000" w:themeColor="text1"/>
          <w:szCs w:val="16"/>
        </w:rPr>
        <w:br/>
        <w:t>DISPUTE RESOLUTION</w:t>
      </w:r>
      <w:r w:rsidRPr="00781112">
        <w:rPr>
          <w:rFonts w:cs="Arial"/>
          <w:color w:val="000000" w:themeColor="text1"/>
          <w:szCs w:val="16"/>
        </w:rPr>
        <w:br/>
      </w:r>
      <w:r w:rsidRPr="00781112">
        <w:rPr>
          <w:rFonts w:cs="Arial"/>
          <w:color w:val="000000" w:themeColor="text1"/>
          <w:szCs w:val="16"/>
        </w:rPr>
        <w:br/>
        <w:t>LDOE is committed to assisting schools and parents in their efforts to resolve disagreements in the least adversarial manner possible. Therefore, LDOE has developed several processes, including those described below, for resolving disagreements about the provision of a free appropriate public education, payment for services obtained, or a child's eligibility, evaluation, level of services, or placement.</w:t>
      </w:r>
      <w:r w:rsidRPr="00781112">
        <w:rPr>
          <w:rFonts w:cs="Arial"/>
          <w:color w:val="000000" w:themeColor="text1"/>
          <w:szCs w:val="16"/>
        </w:rPr>
        <w:br/>
      </w:r>
      <w:r w:rsidRPr="00781112">
        <w:rPr>
          <w:rFonts w:cs="Arial"/>
          <w:color w:val="000000" w:themeColor="text1"/>
          <w:szCs w:val="16"/>
        </w:rPr>
        <w:br/>
        <w:t>IEP FACILITATION</w:t>
      </w:r>
      <w:r w:rsidRPr="00781112">
        <w:rPr>
          <w:rFonts w:cs="Arial"/>
          <w:color w:val="000000" w:themeColor="text1"/>
          <w:szCs w:val="16"/>
        </w:rPr>
        <w:br/>
        <w:t>IEP facilitation is available to parents and school systems. Typically, an Individualized Education Plan (IEP) Facilitator is brought in when parents and school system staff are having difficulties communicating with one another regarding the needs of the student. The IEP Facilitator is an independent professional, trained to assist in creating an atmosphere for fair communication who also oversees the successful drafting of an IEP for the student. Either the parent or the school system can request IEP facilitation; however, since the process is voluntary, both sides must agree to participate. The process can be initiated by request to the Legal Division of the State Department of Education, and the service is provided at no cost to the parent or the school system.</w:t>
      </w:r>
      <w:r w:rsidRPr="00781112">
        <w:rPr>
          <w:rFonts w:cs="Arial"/>
          <w:color w:val="000000" w:themeColor="text1"/>
          <w:szCs w:val="16"/>
        </w:rPr>
        <w:br/>
      </w:r>
      <w:r w:rsidRPr="00781112">
        <w:rPr>
          <w:rFonts w:cs="Arial"/>
          <w:color w:val="000000" w:themeColor="text1"/>
          <w:szCs w:val="16"/>
        </w:rPr>
        <w:br/>
        <w:t>INFORMAL COMPLAINTS / EARLY RESOLUTION PROCESS</w:t>
      </w:r>
      <w:r w:rsidRPr="00781112">
        <w:rPr>
          <w:rFonts w:cs="Arial"/>
          <w:color w:val="000000" w:themeColor="text1"/>
          <w:szCs w:val="16"/>
        </w:rPr>
        <w:br/>
        <w:t>Parents of children with disabilities may file informal complaints. The implementation of the informal complaint/Early Resolution Process (ERP) draws on the traditional model of parents and school systems working cooperatively in the educational interest of children to achieve their shared goals of meeting the educational needs of students with disabilities.</w:t>
      </w:r>
      <w:r w:rsidRPr="00781112">
        <w:rPr>
          <w:rFonts w:cs="Arial"/>
          <w:color w:val="000000" w:themeColor="text1"/>
          <w:szCs w:val="16"/>
        </w:rPr>
        <w:br/>
      </w:r>
      <w:r w:rsidRPr="00781112">
        <w:rPr>
          <w:rFonts w:cs="Arial"/>
          <w:color w:val="000000" w:themeColor="text1"/>
          <w:szCs w:val="16"/>
        </w:rPr>
        <w:br/>
        <w:t>FORMAL COMPLAINT INVESTIGATION</w:t>
      </w:r>
      <w:r w:rsidRPr="00781112">
        <w:rPr>
          <w:rFonts w:cs="Arial"/>
          <w:color w:val="000000" w:themeColor="text1"/>
          <w:szCs w:val="16"/>
        </w:rPr>
        <w:br/>
        <w:t>A parent, adult student, individual, or organization may file a signed written request with LDOE to begin a formal complaint investigation. Formal complaint investigation procedures are developed under the supervisory jurisdiction of the LDOE to address allegations that a school system is violating a requirement of Part B of the IDEA. The formal complaint investigation request is also limited by regulations to action(s) occurring within one year before the formal complaint was filed.</w:t>
      </w:r>
      <w:r w:rsidRPr="00781112">
        <w:rPr>
          <w:rFonts w:cs="Arial"/>
          <w:color w:val="000000" w:themeColor="text1"/>
          <w:szCs w:val="16"/>
        </w:rPr>
        <w:br/>
      </w:r>
      <w:r w:rsidRPr="00781112">
        <w:rPr>
          <w:rFonts w:cs="Arial"/>
          <w:color w:val="000000" w:themeColor="text1"/>
          <w:szCs w:val="16"/>
        </w:rPr>
        <w:br/>
        <w:t>MEDIATION</w:t>
      </w:r>
      <w:r w:rsidRPr="00781112">
        <w:rPr>
          <w:rFonts w:cs="Arial"/>
          <w:color w:val="000000" w:themeColor="text1"/>
          <w:szCs w:val="16"/>
        </w:rPr>
        <w:br/>
        <w:t>Mediation is available to resolve a disagreement between parents and the school systems regarding the identification, evaluation, placement, services, or the provision of a FAPE to a child with a disability. Parents or school systems may request mediation independent of, before, at the same time, or after requesting a due process hearing or complaint investigation. Requesting mediation will not prevent or delay a due process hearing or complaint investigation, and participating in mediation will not impair or waive any other rights of parents.</w:t>
      </w:r>
      <w:r w:rsidRPr="00781112">
        <w:rPr>
          <w:rFonts w:cs="Arial"/>
          <w:color w:val="000000" w:themeColor="text1"/>
          <w:szCs w:val="16"/>
        </w:rPr>
        <w:br/>
      </w:r>
      <w:r w:rsidRPr="00781112">
        <w:rPr>
          <w:rFonts w:cs="Arial"/>
          <w:color w:val="000000" w:themeColor="text1"/>
          <w:szCs w:val="16"/>
        </w:rPr>
        <w:br/>
        <w:t xml:space="preserve">Mediation is a method for discussing and resolving disagreements between parents and school systems with the help of an impartial third person who has been trained in effective mediation techniques. Mediation is a voluntary process, and all parties must agree to participate in order for the mediation </w:t>
      </w:r>
      <w:r w:rsidRPr="00781112">
        <w:rPr>
          <w:rFonts w:cs="Arial"/>
          <w:color w:val="000000" w:themeColor="text1"/>
          <w:szCs w:val="16"/>
        </w:rPr>
        <w:lastRenderedPageBreak/>
        <w:t>session to occur. The mediation sessions are scheduled in a timely manner and held in a location that is convenient to the parties in the dispute. Mediation services are provided by LDOE at no cost to parents and school systems.</w:t>
      </w:r>
      <w:r w:rsidRPr="00781112">
        <w:rPr>
          <w:rFonts w:cs="Arial"/>
          <w:color w:val="000000" w:themeColor="text1"/>
          <w:szCs w:val="16"/>
        </w:rPr>
        <w:br/>
      </w:r>
      <w:r w:rsidRPr="00781112">
        <w:rPr>
          <w:rFonts w:cs="Arial"/>
          <w:color w:val="000000" w:themeColor="text1"/>
          <w:szCs w:val="16"/>
        </w:rPr>
        <w:br/>
        <w:t>A mediator does not make decisions; instead, he or she facilitates discussion and decision-making. The discussions in a mediation session are confidential and may not be used as evidence in subsequent due process hearings or civil court proceedings. If the mediation process results in full or partial agreement, the mediator will prepare a written mediation agreement that must be signed by both parties. In addition to describing agreements made in the course of mediation, the mediation agreement will state that all discussions that occurred during the mediation are confidential and may not be used as evidence in a due process hearing or civil court proceeding. The signed agreement shall be legally binding on both parties and enforceable in a court of competent jurisdiction.</w:t>
      </w:r>
      <w:r w:rsidRPr="00781112">
        <w:rPr>
          <w:rFonts w:cs="Arial"/>
          <w:color w:val="000000" w:themeColor="text1"/>
          <w:szCs w:val="16"/>
        </w:rPr>
        <w:br/>
      </w:r>
      <w:r w:rsidRPr="00781112">
        <w:rPr>
          <w:rFonts w:cs="Arial"/>
          <w:color w:val="000000" w:themeColor="text1"/>
          <w:szCs w:val="16"/>
        </w:rPr>
        <w:br/>
        <w:t>DUE PROCESS HEARING</w:t>
      </w:r>
      <w:r w:rsidRPr="00781112">
        <w:rPr>
          <w:rFonts w:cs="Arial"/>
          <w:color w:val="000000" w:themeColor="text1"/>
          <w:szCs w:val="16"/>
        </w:rPr>
        <w:br/>
        <w:t>A due process hearing is a formal proceeding in which evidence is presented to an administrative law judge (ALJ) to resolve a dispute between the parents of a child with a disability and the school system regarding the identification, evaluation, eligibility, or placement of or the provision of a free appropriate public education to a child with a disability. Only the parent of a child with a disability, an attorney representing the parent, or a school system may request a due process hearing regarding a student with a disability within one year of the date that the alleged action forming the basis of the hearing request was known or should have been known. This one-year limit does not apply if the parents were prevented from requesting the hearing because the school system specifically misrepresented that it had resolved the problem or the school system withheld pertinent information that it was required to provide under the Individuals with Disabilities Act (IDEA).</w:t>
      </w:r>
      <w:r w:rsidRPr="00781112">
        <w:rPr>
          <w:rFonts w:cs="Arial"/>
          <w:color w:val="000000" w:themeColor="text1"/>
          <w:szCs w:val="16"/>
        </w:rPr>
        <w:br/>
      </w:r>
      <w:r w:rsidRPr="00781112">
        <w:rPr>
          <w:rFonts w:cs="Arial"/>
          <w:color w:val="000000" w:themeColor="text1"/>
          <w:szCs w:val="16"/>
        </w:rPr>
        <w:br/>
        <w:t>Once a request for a hearing is received, LDOE will issue an acknowledgement of receipt and forward the request to the Division of Administrative Law, an independent state agency that conducts due process hearings for LDOE. The Division of Administrative Law will assign an ALJ to the case, and he or she will be provided with a copy of the hearing request. Otherwise, the request remains confidential. The ALJ will then coordinate a prehearing conference to discuss the hearing process and establish a schedule for activities related to the hearing. Please see Introduction attachment for additional information.</w:t>
      </w:r>
    </w:p>
    <w:p w14:paraId="26D57A13" w14:textId="589F2D22" w:rsidR="00AF5649" w:rsidRPr="00781112" w:rsidRDefault="00AF5649" w:rsidP="004369B2">
      <w:pPr>
        <w:rPr>
          <w:color w:val="000000" w:themeColor="text1"/>
        </w:rPr>
      </w:pPr>
      <w:r w:rsidRPr="00781112">
        <w:rPr>
          <w:b/>
          <w:color w:val="000000" w:themeColor="text1"/>
        </w:rPr>
        <w:t>Technical Assistance System:</w:t>
      </w:r>
    </w:p>
    <w:p w14:paraId="66B8EA84" w14:textId="2BA80156" w:rsidR="00AF5649" w:rsidRPr="00781112" w:rsidRDefault="00AF5649" w:rsidP="00AF5649">
      <w:pPr>
        <w:rPr>
          <w:rFonts w:cs="Arial"/>
          <w:b/>
          <w:color w:val="000000" w:themeColor="text1"/>
          <w:szCs w:val="16"/>
        </w:rPr>
      </w:pPr>
      <w:r w:rsidRPr="00781112">
        <w:rPr>
          <w:rFonts w:cs="Arial"/>
          <w:b/>
          <w:color w:val="000000" w:themeColor="text1"/>
          <w:szCs w:val="16"/>
        </w:rPr>
        <w:t>The mechanisms that the State has in place to ensure the timely delivery of high quality, evidenced based technical assistance and support to LEAs.</w:t>
      </w:r>
    </w:p>
    <w:p w14:paraId="46AFA65A" w14:textId="31299B5B" w:rsidR="000C24C2" w:rsidRPr="00781112" w:rsidRDefault="002B7490" w:rsidP="007925C6">
      <w:pPr>
        <w:rPr>
          <w:rFonts w:cs="Arial"/>
          <w:color w:val="000000" w:themeColor="text1"/>
          <w:szCs w:val="16"/>
        </w:rPr>
      </w:pPr>
      <w:r w:rsidRPr="00781112">
        <w:rPr>
          <w:rFonts w:cs="Arial"/>
          <w:color w:val="000000" w:themeColor="text1"/>
          <w:szCs w:val="16"/>
        </w:rPr>
        <w:t>LDOE employs two primary mechanisms to provide technical assistance that ensures the timely delivery of high quality, evidence based technical assistance and support to LEAs: field support and planning resources.</w:t>
      </w:r>
      <w:r w:rsidRPr="00781112">
        <w:rPr>
          <w:rFonts w:cs="Arial"/>
          <w:color w:val="000000" w:themeColor="text1"/>
          <w:szCs w:val="16"/>
        </w:rPr>
        <w:br/>
      </w:r>
      <w:r w:rsidRPr="00781112">
        <w:rPr>
          <w:rFonts w:cs="Arial"/>
          <w:color w:val="000000" w:themeColor="text1"/>
          <w:szCs w:val="16"/>
        </w:rPr>
        <w:br/>
        <w:t>FIELD SUPPORT</w:t>
      </w:r>
      <w:r w:rsidRPr="00781112">
        <w:rPr>
          <w:rFonts w:cs="Arial"/>
          <w:color w:val="000000" w:themeColor="text1"/>
          <w:szCs w:val="16"/>
        </w:rPr>
        <w:br/>
      </w:r>
      <w:r w:rsidRPr="00781112">
        <w:rPr>
          <w:rFonts w:cs="Arial"/>
          <w:color w:val="000000" w:themeColor="text1"/>
          <w:szCs w:val="16"/>
        </w:rPr>
        <w:br/>
        <w:t xml:space="preserve">SCHOOL IMPROVEMENT TEAM </w:t>
      </w:r>
      <w:r w:rsidRPr="00781112">
        <w:rPr>
          <w:rFonts w:cs="Arial"/>
          <w:color w:val="000000" w:themeColor="text1"/>
          <w:szCs w:val="16"/>
        </w:rPr>
        <w:br/>
        <w:t xml:space="preserve">The School Improvement Team is the primary support vehicle for school systems, providing immediate, differentiated, targeted assistance to school systems. The Team targets Comprehensive Intervention Required (CIR) schools, and the Team includes School Improvement Support Specialists (SISS) who work collaboratively with school system leaders to draft cooperative agreements, analyze data, and determine the School Improvement Best Practice(s) that best meet the needs of school system, educators, and students. These leaders assess the unique needs and approaches of their school systems and build upon those strengths to support implementation of the School Improvement Best Practices through collaboratively analyzing data, strengths and opportunities for growth, a school improvement plan, observations and reflective feedback. The School Improvement Best Practices strategy is designed to support schools in adopting the essential components that drive professional and student growth and will continue during the 2022-2023 school year. LDOE has partnered with the National Institute for Excellence in Teaching (NIET) to develop, implement, and support five School Improvement Best Practices. The five best practices are: </w:t>
      </w:r>
      <w:r w:rsidRPr="00781112">
        <w:rPr>
          <w:rFonts w:cs="Arial"/>
          <w:color w:val="000000" w:themeColor="text1"/>
          <w:szCs w:val="16"/>
        </w:rPr>
        <w:br/>
      </w:r>
      <w:r w:rsidRPr="00781112">
        <w:rPr>
          <w:rFonts w:cs="Arial"/>
          <w:color w:val="000000" w:themeColor="text1"/>
          <w:szCs w:val="16"/>
        </w:rPr>
        <w:br/>
        <w:t>-instructional leadership team support,</w:t>
      </w:r>
      <w:r w:rsidRPr="00781112">
        <w:rPr>
          <w:rFonts w:cs="Arial"/>
          <w:color w:val="000000" w:themeColor="text1"/>
          <w:szCs w:val="16"/>
        </w:rPr>
        <w:br/>
        <w:t>-teacher collaboration support,</w:t>
      </w:r>
      <w:r w:rsidRPr="00781112">
        <w:rPr>
          <w:rFonts w:cs="Arial"/>
          <w:color w:val="000000" w:themeColor="text1"/>
          <w:szCs w:val="16"/>
        </w:rPr>
        <w:br/>
        <w:t>-teaching standards support,</w:t>
      </w:r>
      <w:r w:rsidRPr="00781112">
        <w:rPr>
          <w:rFonts w:cs="Arial"/>
          <w:color w:val="000000" w:themeColor="text1"/>
          <w:szCs w:val="16"/>
        </w:rPr>
        <w:br/>
        <w:t xml:space="preserve">-principal standards support, and </w:t>
      </w:r>
      <w:r w:rsidRPr="00781112">
        <w:rPr>
          <w:rFonts w:cs="Arial"/>
          <w:color w:val="000000" w:themeColor="text1"/>
          <w:szCs w:val="16"/>
        </w:rPr>
        <w:br/>
        <w:t>-career pipeline support.</w:t>
      </w:r>
      <w:r w:rsidRPr="00781112">
        <w:rPr>
          <w:rFonts w:cs="Arial"/>
          <w:color w:val="000000" w:themeColor="text1"/>
          <w:szCs w:val="16"/>
        </w:rPr>
        <w:br/>
      </w:r>
      <w:r w:rsidRPr="00781112">
        <w:rPr>
          <w:rFonts w:cs="Arial"/>
          <w:color w:val="000000" w:themeColor="text1"/>
          <w:szCs w:val="16"/>
        </w:rPr>
        <w:br/>
        <w:t xml:space="preserve">158 school systems are currently receiving support with instructional leadership teams, and of those, 70 are also receiving support in teacher collaboration. Additionally, the SISS is the the school system's primary point of contact, and they answer all programmatic questions—including IDEA-related questions, accommodating the needs of the school system. </w:t>
      </w:r>
      <w:r w:rsidRPr="00781112">
        <w:rPr>
          <w:rFonts w:cs="Arial"/>
          <w:color w:val="000000" w:themeColor="text1"/>
          <w:szCs w:val="16"/>
        </w:rPr>
        <w:br/>
      </w:r>
      <w:r w:rsidRPr="00781112">
        <w:rPr>
          <w:rFonts w:cs="Arial"/>
          <w:color w:val="000000" w:themeColor="text1"/>
          <w:szCs w:val="16"/>
        </w:rPr>
        <w:br/>
        <w:t>Teacher Leaders</w:t>
      </w:r>
      <w:r w:rsidRPr="00781112">
        <w:rPr>
          <w:rFonts w:cs="Arial"/>
          <w:color w:val="000000" w:themeColor="text1"/>
          <w:szCs w:val="16"/>
        </w:rPr>
        <w:br/>
        <w:t>This program supports a cohort of 5,000 LEA-selected staff that receives training and ongoing support from LDOE, and serves as the chief liaisons between the LDOE and the School Implementation Teams. Teacher Leaders receive a variety of resources and training throughout the school year. This training includes: 1) Annual Teacher Leader Summit – a three-day conference that kicks off instructional planning for the following school year; and 2) School Support Institutes - a training sequence during the school year to support school leadership teams in ensuring teachers plan for and deliver instruction in a way that meets the needs of their students. Teacher Leaders leverage this professional development and support within their schools, not only through training and monitoring, but also through modeling lessons and instructional strategies and by encouraging data analysis to inform instruction. LDOE also expanded Teacher Leaders to incorporate targeted resources and content specifically for special education professionals including teachers, guidance counselors and special education directors. By leveraging this successful statewide program with the special education population, Louisiana is able provide access to high-quality professional development and support that helps all students achieve.</w:t>
      </w:r>
      <w:r w:rsidRPr="00781112">
        <w:rPr>
          <w:rFonts w:cs="Arial"/>
          <w:color w:val="000000" w:themeColor="text1"/>
          <w:szCs w:val="16"/>
        </w:rPr>
        <w:br/>
      </w:r>
      <w:r w:rsidRPr="00781112">
        <w:rPr>
          <w:rFonts w:cs="Arial"/>
          <w:color w:val="000000" w:themeColor="text1"/>
          <w:szCs w:val="16"/>
        </w:rPr>
        <w:br/>
        <w:t>Teacher Leader Advisors</w:t>
      </w:r>
      <w:r w:rsidRPr="00781112">
        <w:rPr>
          <w:rFonts w:cs="Arial"/>
          <w:color w:val="000000" w:themeColor="text1"/>
          <w:szCs w:val="16"/>
        </w:rPr>
        <w:br/>
        <w:t xml:space="preserve">Teacher Leader Advisors are a group of exceptionally talented group of educators who play an influential role in raising expectations for students and ensuring that fellow educators have access to high-quality instructional materials and resources, and curriculum-aligned professional development. Teacher Leader Advisors participate in the LDOE's instructional materials review and create tools for the Teacher Support Toolbox. Additionally, they develop and lead professional development for educators across the state. </w:t>
      </w:r>
      <w:r w:rsidRPr="00781112">
        <w:rPr>
          <w:rFonts w:cs="Arial"/>
          <w:color w:val="000000" w:themeColor="text1"/>
          <w:szCs w:val="16"/>
        </w:rPr>
        <w:br/>
      </w:r>
      <w:r w:rsidRPr="00781112">
        <w:rPr>
          <w:rFonts w:cs="Arial"/>
          <w:color w:val="000000" w:themeColor="text1"/>
          <w:szCs w:val="16"/>
        </w:rPr>
        <w:br/>
        <w:t>PLANNING RESOURCES</w:t>
      </w:r>
      <w:r w:rsidRPr="00781112">
        <w:rPr>
          <w:rFonts w:cs="Arial"/>
          <w:color w:val="000000" w:themeColor="text1"/>
          <w:szCs w:val="16"/>
        </w:rPr>
        <w:br/>
      </w:r>
      <w:r w:rsidRPr="00781112">
        <w:rPr>
          <w:rFonts w:cs="Arial"/>
          <w:color w:val="000000" w:themeColor="text1"/>
          <w:szCs w:val="16"/>
        </w:rPr>
        <w:br/>
        <w:t>LDOE provides school systems with robust, forward-focused assistance through a variety of planning resources. These include:</w:t>
      </w:r>
      <w:r w:rsidRPr="00781112">
        <w:rPr>
          <w:rFonts w:cs="Arial"/>
          <w:color w:val="000000" w:themeColor="text1"/>
          <w:szCs w:val="16"/>
        </w:rPr>
        <w:br/>
      </w:r>
      <w:r w:rsidRPr="00781112">
        <w:rPr>
          <w:rFonts w:cs="Arial"/>
          <w:color w:val="000000" w:themeColor="text1"/>
          <w:szCs w:val="16"/>
        </w:rPr>
        <w:br/>
        <w:t>1) School System Planning Framework - serves as the primary planning tool for school systems. The Framework includes the key priorities LDOE has established in partnership with school systems, and school systems should use this Framework to identify their own priorities for student improvement.</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 xml:space="preserve">2) Super App - is a new online application that communicates school system priorities for the next school year and consolidates the process for approval of formula and competitive funds. </w:t>
      </w:r>
      <w:r w:rsidRPr="00781112">
        <w:rPr>
          <w:rFonts w:cs="Arial"/>
          <w:color w:val="000000" w:themeColor="text1"/>
          <w:szCs w:val="16"/>
        </w:rPr>
        <w:br/>
      </w:r>
      <w:r w:rsidRPr="00781112">
        <w:rPr>
          <w:rFonts w:cs="Arial"/>
          <w:color w:val="000000" w:themeColor="text1"/>
          <w:szCs w:val="16"/>
        </w:rPr>
        <w:br/>
        <w:t>3) School System Planning Guide - provides crucial guidance on how a school system will build a plan and submit a Super App for formula and competitive funds to support that plan. This includes the additional resources needed to build a plan that aligns to priorities highlighted in the Framework.</w:t>
      </w:r>
      <w:r w:rsidRPr="00781112">
        <w:rPr>
          <w:rFonts w:cs="Arial"/>
          <w:color w:val="000000" w:themeColor="text1"/>
          <w:szCs w:val="16"/>
        </w:rPr>
        <w:br/>
      </w:r>
      <w:r w:rsidRPr="00781112">
        <w:rPr>
          <w:rFonts w:cs="Arial"/>
          <w:color w:val="000000" w:themeColor="text1"/>
          <w:szCs w:val="16"/>
        </w:rPr>
        <w:br/>
        <w:t>4) Strategies for Success: A Guidebook for Supporting Students with Disabilities - provides principals and school system leaders with resources to create strong support plans. It is organized around four proven strategies for improving the academic achievement of students with disabilities: 1) identify disabilities early and accurately, 2) provide high-quality instruction to ensure the achievement of ambitious IEP goals, 3) strengthen instruction with specialized supports and related services, and 4) coordinate effective transition planning and implementation.</w:t>
      </w:r>
      <w:r w:rsidRPr="00781112">
        <w:rPr>
          <w:rFonts w:cs="Arial"/>
          <w:color w:val="000000" w:themeColor="text1"/>
          <w:szCs w:val="16"/>
        </w:rPr>
        <w:br/>
      </w:r>
      <w:r w:rsidRPr="00781112">
        <w:rPr>
          <w:rFonts w:cs="Arial"/>
          <w:color w:val="000000" w:themeColor="text1"/>
          <w:szCs w:val="16"/>
        </w:rPr>
        <w:br/>
        <w:t>5) School System Planning Calls - scheduled throughout the school year to discuss topics and resources in the School System Planning Guide with school system planning teams. These calls provide continuous, ongoing support to LEA superintendents, as well as senior staff in technology, assessment and curriculum, and special education. During these calls, LDOE provides more in-depth support, fields questions in real time, and integrates high-priority policies and other topics. In FFY 2019, LDOE regularly integrated support for special education professionals including training and policy guidance on the alternate assessment, Louisiana's Connector standards for students with significant cognitive disabilities, high cost services, alternative pathways to promotion and graduation, and other priorities.</w:t>
      </w:r>
      <w:r w:rsidRPr="00781112">
        <w:rPr>
          <w:rFonts w:cs="Arial"/>
          <w:color w:val="000000" w:themeColor="text1"/>
          <w:szCs w:val="16"/>
        </w:rPr>
        <w:br/>
      </w:r>
      <w:r w:rsidRPr="00781112">
        <w:rPr>
          <w:rFonts w:cs="Arial"/>
          <w:color w:val="000000" w:themeColor="text1"/>
          <w:szCs w:val="16"/>
        </w:rPr>
        <w:br/>
        <w:t xml:space="preserve">More information on LDOE’s School System Support Structure can be found on LDOE's website: </w:t>
      </w:r>
      <w:r w:rsidRPr="00781112">
        <w:rPr>
          <w:rFonts w:cs="Arial"/>
          <w:color w:val="000000" w:themeColor="text1"/>
          <w:szCs w:val="16"/>
        </w:rPr>
        <w:br/>
      </w:r>
      <w:r w:rsidRPr="00781112">
        <w:rPr>
          <w:rFonts w:cs="Arial"/>
          <w:color w:val="000000" w:themeColor="text1"/>
          <w:szCs w:val="16"/>
        </w:rPr>
        <w:br/>
        <w:t>https://www.louisianabelieves.com/resources/classroom-support/school-system-support-toolbox</w:t>
      </w:r>
    </w:p>
    <w:p w14:paraId="31C31C58" w14:textId="6D9367D0" w:rsidR="00AF5649" w:rsidRPr="00781112" w:rsidRDefault="00AF5649" w:rsidP="004369B2">
      <w:pPr>
        <w:rPr>
          <w:color w:val="000000" w:themeColor="text1"/>
        </w:rPr>
      </w:pPr>
      <w:r w:rsidRPr="00781112">
        <w:rPr>
          <w:b/>
          <w:color w:val="000000" w:themeColor="text1"/>
        </w:rPr>
        <w:t>Professional Development System:</w:t>
      </w:r>
    </w:p>
    <w:p w14:paraId="25232CAB" w14:textId="27BBB727" w:rsidR="00AF5649" w:rsidRPr="00781112" w:rsidRDefault="00AF5649" w:rsidP="00AF5649">
      <w:pPr>
        <w:rPr>
          <w:rFonts w:cs="Arial"/>
          <w:b/>
          <w:color w:val="000000" w:themeColor="text1"/>
          <w:szCs w:val="16"/>
        </w:rPr>
      </w:pPr>
      <w:r w:rsidRPr="00781112">
        <w:rPr>
          <w:rFonts w:cs="Arial"/>
          <w:b/>
          <w:color w:val="000000" w:themeColor="text1"/>
          <w:szCs w:val="16"/>
        </w:rPr>
        <w:t>The mechanisms the State has in place to ensure that service providers have the skills to effectively provide services that improve results for children with disabilities.</w:t>
      </w:r>
    </w:p>
    <w:p w14:paraId="0B77B8C1" w14:textId="3CE3A35D" w:rsidR="007742F1" w:rsidRPr="00781112" w:rsidRDefault="002B7490" w:rsidP="007925C6">
      <w:pPr>
        <w:rPr>
          <w:rFonts w:cs="Arial"/>
          <w:color w:val="000000" w:themeColor="text1"/>
          <w:szCs w:val="16"/>
        </w:rPr>
      </w:pPr>
      <w:r w:rsidRPr="00781112">
        <w:rPr>
          <w:rFonts w:cs="Arial"/>
          <w:color w:val="000000" w:themeColor="text1"/>
          <w:szCs w:val="16"/>
        </w:rPr>
        <w:t>EDUCATOR-FOCUSED PROFESSIONAL DEVELOPMENT SYSTEM</w:t>
      </w:r>
      <w:r w:rsidRPr="00781112">
        <w:rPr>
          <w:rFonts w:cs="Arial"/>
          <w:color w:val="000000" w:themeColor="text1"/>
          <w:szCs w:val="16"/>
        </w:rPr>
        <w:br/>
      </w:r>
      <w:r w:rsidRPr="00781112">
        <w:rPr>
          <w:rFonts w:cs="Arial"/>
          <w:color w:val="000000" w:themeColor="text1"/>
          <w:szCs w:val="16"/>
        </w:rPr>
        <w:br/>
        <w:t>LOUISIANA TEACHER LEADERS and TEACHER LEADER ADVISORS</w:t>
      </w:r>
      <w:r w:rsidRPr="00781112">
        <w:rPr>
          <w:rFonts w:cs="Arial"/>
          <w:color w:val="000000" w:themeColor="text1"/>
          <w:szCs w:val="16"/>
        </w:rPr>
        <w:br/>
      </w:r>
      <w:r w:rsidRPr="00781112">
        <w:rPr>
          <w:rFonts w:cs="Arial"/>
          <w:color w:val="000000" w:themeColor="text1"/>
          <w:szCs w:val="16"/>
        </w:rPr>
        <w:br/>
        <w:t>LDOE believes that those closest to students, educators and parents, are best positioned to support students and thus the implementation of the standards. Given this belief, LDOE invests in the Teacher Leaders initiative to provide educators with resources and training so that they can make local, empowered decisions to support their unique students.</w:t>
      </w:r>
      <w:r w:rsidRPr="00781112">
        <w:rPr>
          <w:rFonts w:cs="Arial"/>
          <w:color w:val="000000" w:themeColor="text1"/>
          <w:szCs w:val="16"/>
        </w:rPr>
        <w:br/>
      </w:r>
      <w:r w:rsidRPr="00781112">
        <w:rPr>
          <w:rFonts w:cs="Arial"/>
          <w:color w:val="000000" w:themeColor="text1"/>
          <w:szCs w:val="16"/>
        </w:rPr>
        <w:br/>
        <w:t>The Louisiana Teacher Leaders make up a group of over 6,000 outstanding educators from around the state who are focused on high expectations for students. This group was born out of three core beliefs: 1) those closest to students are best positioned to make instructional decisions, 2) the State has a role in providing resources and training directly to teachers, and 3) Teacher Leaders are a powerful voice in training fellow teachers.</w:t>
      </w:r>
      <w:r w:rsidRPr="00781112">
        <w:rPr>
          <w:rFonts w:cs="Arial"/>
          <w:color w:val="000000" w:themeColor="text1"/>
          <w:szCs w:val="16"/>
        </w:rPr>
        <w:br/>
      </w:r>
      <w:r w:rsidRPr="00781112">
        <w:rPr>
          <w:rFonts w:cs="Arial"/>
          <w:color w:val="000000" w:themeColor="text1"/>
          <w:szCs w:val="16"/>
        </w:rPr>
        <w:br/>
        <w:t>LDOE offers Teacher Leaders a blend of high-quality tools and resources along with in-person and virtual trainings to help them achieve ambitious results with their students.</w:t>
      </w:r>
      <w:r w:rsidRPr="00781112">
        <w:rPr>
          <w:rFonts w:cs="Arial"/>
          <w:color w:val="000000" w:themeColor="text1"/>
          <w:szCs w:val="16"/>
        </w:rPr>
        <w:br/>
      </w:r>
      <w:r w:rsidRPr="00781112">
        <w:rPr>
          <w:rFonts w:cs="Arial"/>
          <w:color w:val="000000" w:themeColor="text1"/>
          <w:szCs w:val="16"/>
        </w:rPr>
        <w:br/>
        <w:t xml:space="preserve">Teacher Support Toolbox provides educators with direct links to the tools and resources to continue raising the bar for students in Louisiana. </w:t>
      </w:r>
      <w:r w:rsidRPr="00781112">
        <w:rPr>
          <w:rFonts w:cs="Arial"/>
          <w:color w:val="000000" w:themeColor="text1"/>
          <w:szCs w:val="16"/>
        </w:rPr>
        <w:br/>
        <w:t>https://www.louisianabelieves.com/resources/classroom-support/teacher-support-toolbox</w:t>
      </w:r>
      <w:r w:rsidRPr="00781112">
        <w:rPr>
          <w:rFonts w:cs="Arial"/>
          <w:color w:val="000000" w:themeColor="text1"/>
          <w:szCs w:val="16"/>
        </w:rPr>
        <w:br/>
      </w:r>
      <w:r w:rsidRPr="00781112">
        <w:rPr>
          <w:rFonts w:cs="Arial"/>
          <w:color w:val="000000" w:themeColor="text1"/>
          <w:szCs w:val="16"/>
        </w:rPr>
        <w:br/>
        <w:t>Teacher Leader Library</w:t>
      </w:r>
      <w:r w:rsidRPr="00781112">
        <w:rPr>
          <w:rFonts w:cs="Arial"/>
          <w:color w:val="000000" w:themeColor="text1"/>
          <w:szCs w:val="16"/>
        </w:rPr>
        <w:br/>
        <w:t xml:space="preserve">https://www.louisianabelieves.com/resources/library/louisiana-teacher-leaders </w:t>
      </w:r>
      <w:r w:rsidRPr="00781112">
        <w:rPr>
          <w:rFonts w:cs="Arial"/>
          <w:color w:val="000000" w:themeColor="text1"/>
          <w:szCs w:val="16"/>
        </w:rPr>
        <w:br/>
      </w:r>
      <w:r w:rsidRPr="00781112">
        <w:rPr>
          <w:rFonts w:cs="Arial"/>
          <w:color w:val="000000" w:themeColor="text1"/>
          <w:szCs w:val="16"/>
        </w:rPr>
        <w:br/>
        <w:t xml:space="preserve">School System Support Calendar, a supplement to the School System Planning Guide, provides the schedule of in-person trainings, virtual support, tools and resources, and communication streams designed to support educators as they establish high expectations for teaching and learning to ensure that every student succeeds. </w:t>
      </w:r>
      <w:r w:rsidRPr="00781112">
        <w:rPr>
          <w:rFonts w:cs="Arial"/>
          <w:color w:val="000000" w:themeColor="text1"/>
          <w:szCs w:val="16"/>
        </w:rPr>
        <w:br/>
        <w:t>https://www.louisianabelieves.com/docs/default-source/teacher-toolbox-resources/school-system-support-calendar.pdf?sfvrsn=112</w:t>
      </w:r>
      <w:r w:rsidRPr="00781112">
        <w:rPr>
          <w:rFonts w:cs="Arial"/>
          <w:color w:val="000000" w:themeColor="text1"/>
          <w:szCs w:val="16"/>
        </w:rPr>
        <w:br/>
      </w:r>
      <w:r w:rsidRPr="00781112">
        <w:rPr>
          <w:rFonts w:cs="Arial"/>
          <w:color w:val="000000" w:themeColor="text1"/>
          <w:szCs w:val="16"/>
        </w:rPr>
        <w:br/>
        <w:t>Teacher Leader Newsletter</w:t>
      </w:r>
      <w:r w:rsidRPr="00781112">
        <w:rPr>
          <w:rFonts w:cs="Arial"/>
          <w:color w:val="000000" w:themeColor="text1"/>
          <w:szCs w:val="16"/>
        </w:rPr>
        <w:br/>
        <w:t>https://docs.google.com/forms/d/e/1FAIpQLSfOZaIZLI80PZiGpayxJVpa7EAw7gDW1x9C6POnF_--toCHzA/viewform</w:t>
      </w:r>
      <w:r w:rsidRPr="00781112">
        <w:rPr>
          <w:rFonts w:cs="Arial"/>
          <w:color w:val="000000" w:themeColor="text1"/>
          <w:szCs w:val="16"/>
        </w:rPr>
        <w:br/>
      </w:r>
      <w:r w:rsidRPr="00781112">
        <w:rPr>
          <w:rFonts w:cs="Arial"/>
          <w:color w:val="000000" w:themeColor="text1"/>
          <w:szCs w:val="16"/>
        </w:rPr>
        <w:br/>
        <w:t>Teacher Leader Summit is an annual event that brings together educators and content experts from across the state to share knowledge, learn new skills, and prepare for the upcoming school year. Educators have the opportunity to choose from a wide variety of sessions covering role-specific topics.</w:t>
      </w:r>
      <w:r w:rsidRPr="00781112">
        <w:rPr>
          <w:rFonts w:cs="Arial"/>
          <w:color w:val="000000" w:themeColor="text1"/>
          <w:szCs w:val="16"/>
        </w:rPr>
        <w:br/>
      </w:r>
      <w:r w:rsidRPr="00781112">
        <w:rPr>
          <w:rFonts w:cs="Arial"/>
          <w:color w:val="000000" w:themeColor="text1"/>
          <w:szCs w:val="16"/>
        </w:rPr>
        <w:br/>
        <w:t>CONTENT LEADER</w:t>
      </w:r>
      <w:r w:rsidRPr="00781112">
        <w:rPr>
          <w:rFonts w:cs="Arial"/>
          <w:color w:val="000000" w:themeColor="text1"/>
          <w:szCs w:val="16"/>
        </w:rPr>
        <w:br/>
      </w:r>
      <w:r w:rsidRPr="00781112">
        <w:rPr>
          <w:rFonts w:cs="Arial"/>
          <w:color w:val="000000" w:themeColor="text1"/>
          <w:szCs w:val="16"/>
        </w:rPr>
        <w:br/>
        <w:t>Content Leaders are local educators who have the knowledge, skills, and concrete resources to provide high-quality, content-rich, and curriculum specific professional development to new and current teachers in their school system. The Content Leader program builds on the success of the Teacher Leader project and has two main goals: 1) equip a cadre of talented educators with the knowledge and skills to coach and support other teachers within their</w:t>
      </w:r>
      <w:r w:rsidRPr="00781112">
        <w:rPr>
          <w:rFonts w:cs="Arial"/>
          <w:color w:val="000000" w:themeColor="text1"/>
          <w:szCs w:val="16"/>
        </w:rPr>
        <w:br/>
        <w:t>schools and school systems, and 2) grow local leadership pipelines for schools and school systems by developing talented teachers within the system. The Content Leader role is also an important step in the leadership pipeline for talented local educators.</w:t>
      </w:r>
      <w:r w:rsidRPr="00781112">
        <w:rPr>
          <w:rFonts w:cs="Arial"/>
          <w:color w:val="000000" w:themeColor="text1"/>
          <w:szCs w:val="16"/>
        </w:rPr>
        <w:br/>
        <w:t>https://louisianabelieves.com/docs/default-source/professional-development/content-leader-training-application-guide.pdf?sfvrsn=eb7f9a1f_4</w:t>
      </w:r>
      <w:r w:rsidRPr="00781112">
        <w:rPr>
          <w:rFonts w:cs="Arial"/>
          <w:color w:val="000000" w:themeColor="text1"/>
          <w:szCs w:val="16"/>
        </w:rPr>
        <w:br/>
      </w:r>
      <w:r w:rsidRPr="00781112">
        <w:rPr>
          <w:rFonts w:cs="Arial"/>
          <w:color w:val="000000" w:themeColor="text1"/>
          <w:szCs w:val="16"/>
        </w:rPr>
        <w:br/>
        <w:t>INTERVENTION CONTENT LEADER</w:t>
      </w:r>
      <w:r w:rsidRPr="00781112">
        <w:rPr>
          <w:rFonts w:cs="Arial"/>
          <w:color w:val="000000" w:themeColor="text1"/>
          <w:szCs w:val="16"/>
        </w:rPr>
        <w:br/>
      </w:r>
      <w:r w:rsidRPr="00781112">
        <w:rPr>
          <w:rFonts w:cs="Arial"/>
          <w:color w:val="000000" w:themeColor="text1"/>
          <w:szCs w:val="16"/>
        </w:rPr>
        <w:br/>
        <w:t>Expanding on Louisiana's Content Leader initiative, Intervention Content Leaders are educators with expertise in providing effective intervention for struggling students. The Intervention Content Leader program builds an understanding of how to best support struggling students through high-quality intervention that provides access to standards-aligned curriculum. The role of the Intervention Content Leader is to: 1) train teachers to use core instruction and intervention time ensuring all students can access a high quality curriculum, and 2) support school leadership to ensure all teachers in the school use effective intervention strategies.</w:t>
      </w:r>
      <w:r w:rsidRPr="00781112">
        <w:rPr>
          <w:rFonts w:cs="Arial"/>
          <w:color w:val="000000" w:themeColor="text1"/>
          <w:szCs w:val="16"/>
        </w:rPr>
        <w:br/>
        <w:t>https://louisianabelieves.com/docs/default-source/professional-development/intervention-content-leader-overview.pdf?sfvrsn=4c1f911f_6</w:t>
      </w:r>
      <w:r w:rsidRPr="00781112">
        <w:rPr>
          <w:rFonts w:cs="Arial"/>
          <w:color w:val="000000" w:themeColor="text1"/>
          <w:szCs w:val="16"/>
        </w:rPr>
        <w:br/>
      </w:r>
      <w:r w:rsidRPr="00781112">
        <w:rPr>
          <w:rFonts w:cs="Arial"/>
          <w:color w:val="000000" w:themeColor="text1"/>
          <w:szCs w:val="16"/>
        </w:rPr>
        <w:br/>
        <w:t>SCHOOL SUPPORT INSTITUTES</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School leadership teams play an important role in ensuring teachers plan for and deliver instruction in a way that meets the needs of their students. The School Support Institutes support school leadership to play this role. Each school system and school are assigned to a cohort geographically, and participants are asked to attend all three sessions of their assigned cohort. Participants can choose one of three pathways for the entire training sequence. School teams can choose different pathways for team members to attend or select one pathway to attend together.</w:t>
      </w:r>
      <w:r w:rsidRPr="00781112">
        <w:rPr>
          <w:rFonts w:cs="Arial"/>
          <w:color w:val="000000" w:themeColor="text1"/>
          <w:szCs w:val="16"/>
        </w:rPr>
        <w:br/>
        <w:t>https://louisianabelieves.com/docs/default-source/school-redesign/2019-summit-school-support-institutes.pdf?sfvrsn=d1889c1f_6</w:t>
      </w:r>
      <w:r w:rsidRPr="00781112">
        <w:rPr>
          <w:rFonts w:cs="Arial"/>
          <w:color w:val="000000" w:themeColor="text1"/>
          <w:szCs w:val="16"/>
        </w:rPr>
        <w:br/>
      </w:r>
      <w:r w:rsidRPr="00781112">
        <w:rPr>
          <w:rFonts w:cs="Arial"/>
          <w:color w:val="000000" w:themeColor="text1"/>
          <w:szCs w:val="16"/>
        </w:rPr>
        <w:br/>
        <w:t>SPED FELLOW ACADEMY</w:t>
      </w:r>
      <w:r w:rsidRPr="00781112">
        <w:rPr>
          <w:rFonts w:cs="Arial"/>
          <w:color w:val="000000" w:themeColor="text1"/>
          <w:szCs w:val="16"/>
        </w:rPr>
        <w:br/>
      </w:r>
      <w:r w:rsidRPr="00781112">
        <w:rPr>
          <w:rFonts w:cs="Arial"/>
          <w:color w:val="000000" w:themeColor="text1"/>
          <w:szCs w:val="16"/>
        </w:rPr>
        <w:br/>
        <w:t xml:space="preserve">The SPED Fellow Academy is a year-long, comprehensive development program for novice special education leaders across the state. The fellowship provides in-person training (currently virtually due to the COVID-19 pandemic), coaching, and a community of practice that instills the knowledge and skills the next generation of leaders need to lead and sustain change to improve outcomes for students with disabilities. </w:t>
      </w:r>
      <w:r w:rsidRPr="00781112">
        <w:rPr>
          <w:rFonts w:cs="Arial"/>
          <w:color w:val="000000" w:themeColor="text1"/>
          <w:szCs w:val="16"/>
        </w:rPr>
        <w:br/>
        <w:t>https://www.louisianabelieves.com/students-with-disabilities/sped-fellow</w:t>
      </w:r>
      <w:r w:rsidRPr="00781112">
        <w:rPr>
          <w:rFonts w:cs="Arial"/>
          <w:color w:val="000000" w:themeColor="text1"/>
          <w:szCs w:val="16"/>
        </w:rPr>
        <w:br/>
      </w:r>
      <w:r w:rsidRPr="00781112">
        <w:rPr>
          <w:rFonts w:cs="Arial"/>
          <w:color w:val="000000" w:themeColor="text1"/>
          <w:szCs w:val="16"/>
        </w:rPr>
        <w:br/>
        <w:t>PARTNERSHIPS FOR SUCCESS GUIDE</w:t>
      </w:r>
      <w:r w:rsidRPr="00781112">
        <w:rPr>
          <w:rFonts w:cs="Arial"/>
          <w:color w:val="000000" w:themeColor="text1"/>
          <w:szCs w:val="16"/>
        </w:rPr>
        <w:br/>
      </w:r>
      <w:r w:rsidRPr="00781112">
        <w:rPr>
          <w:rFonts w:cs="Arial"/>
          <w:color w:val="000000" w:themeColor="text1"/>
          <w:szCs w:val="16"/>
        </w:rPr>
        <w:br/>
        <w:t>LDOE believes all students should spend the majority of their time reading, speaking, writing, and solving curriculum-based tasks. To be successful, students with disabilities often require additional support. They need educators equipped to deliver specialized supports to meet the unique needs of students with disabilities, and direct services from certified providers to accomplish specific goals outlined in a student’s individualized education program.</w:t>
      </w:r>
      <w:r w:rsidRPr="00781112">
        <w:rPr>
          <w:rFonts w:cs="Arial"/>
          <w:color w:val="000000" w:themeColor="text1"/>
          <w:szCs w:val="16"/>
        </w:rPr>
        <w:br/>
      </w:r>
      <w:r w:rsidRPr="00781112">
        <w:rPr>
          <w:rFonts w:cs="Arial"/>
          <w:color w:val="000000" w:themeColor="text1"/>
          <w:szCs w:val="16"/>
        </w:rPr>
        <w:br/>
        <w:t>The Partnerships for Success Guide provides school systems with a list of partners that can provide professional development to develop the capacity of educators to deliver specialized supports and organizations that can fulfill the direct service needs often required to support students with disabilities. When equipped with knowledge and strategies to deliver specialized support and direct services, school systems can more adequately address the unique needs of students with disabilities and ensure meaningful engagement in the classroom every day.</w:t>
      </w:r>
      <w:r w:rsidRPr="00781112">
        <w:rPr>
          <w:rFonts w:cs="Arial"/>
          <w:color w:val="000000" w:themeColor="text1"/>
          <w:szCs w:val="16"/>
        </w:rPr>
        <w:br/>
        <w:t>https://www.louisianabelieves.com/docs/default-source/students-with-disabilities/partnerships-for-success-guide.pdf?sfvrsn=3af99d1f_2</w:t>
      </w:r>
    </w:p>
    <w:p w14:paraId="0D25C7E9" w14:textId="3ADA39B6" w:rsidR="00AF5649" w:rsidRPr="00781112" w:rsidRDefault="00F72E24" w:rsidP="004369B2">
      <w:pPr>
        <w:rPr>
          <w:color w:val="000000" w:themeColor="text1"/>
        </w:rPr>
      </w:pPr>
      <w:r w:rsidRPr="00781112">
        <w:rPr>
          <w:b/>
          <w:color w:val="000000" w:themeColor="text1"/>
        </w:rPr>
        <w:t>Broad Stakeholder Input:</w:t>
      </w:r>
    </w:p>
    <w:p w14:paraId="0EB1658A" w14:textId="77777777" w:rsidR="006457D1" w:rsidRPr="006457D1" w:rsidRDefault="006457D1" w:rsidP="006457D1">
      <w:pPr>
        <w:rPr>
          <w:rFonts w:cs="Arial"/>
          <w:b/>
          <w:color w:val="000000" w:themeColor="text1"/>
          <w:szCs w:val="16"/>
        </w:rPr>
      </w:pPr>
      <w:r w:rsidRPr="006457D1">
        <w:rPr>
          <w:rFonts w:cs="Arial"/>
          <w:b/>
          <w:color w:val="000000" w:themeColor="text1"/>
          <w:szCs w:val="16"/>
        </w:rPr>
        <w:t>The mechanisms for soliciting broad stakeholder input on the State’s targets in the SPP/APR and any subsequent revisions that the State has made to those targets, and the development and implementation of Indicator 17, the State’s Systemic Improvement Plan (SSIP).</w:t>
      </w:r>
    </w:p>
    <w:p w14:paraId="7621D9ED" w14:textId="6E2BA22E" w:rsidR="000C24C2" w:rsidRPr="00781112" w:rsidRDefault="002B7490" w:rsidP="000C24C2">
      <w:pPr>
        <w:rPr>
          <w:rFonts w:cs="Arial"/>
          <w:color w:val="000000" w:themeColor="text1"/>
          <w:szCs w:val="16"/>
        </w:rPr>
      </w:pPr>
      <w:r w:rsidRPr="00781112">
        <w:rPr>
          <w:rFonts w:cs="Arial"/>
          <w:color w:val="000000" w:themeColor="text1"/>
          <w:szCs w:val="16"/>
        </w:rPr>
        <w:t>Louisiana has developed a comprehensive vision for the future of education in our state—Louisiana Believes. The driving force of this vision is that every one of Louisiana’s children should be on track to a college degree or a professional career. This inclusive vision and Louisiana’s values were apparent in the development of the SPP as we solicited and received broad stakeholder input to inform the target setting process for FFY 2020 - FFY 2025. The LDOE used three phases to develop the SPP targets for FFY 2020 - FFY 2025: 1) internal review, 2) external stakeholder feedback, and 3) Special Education Advisory Panel (SEAP) integration.</w:t>
      </w:r>
      <w:r w:rsidRPr="00781112">
        <w:rPr>
          <w:rFonts w:cs="Arial"/>
          <w:color w:val="000000" w:themeColor="text1"/>
          <w:szCs w:val="16"/>
        </w:rPr>
        <w:br/>
      </w:r>
      <w:r w:rsidRPr="00781112">
        <w:rPr>
          <w:rFonts w:cs="Arial"/>
          <w:color w:val="000000" w:themeColor="text1"/>
          <w:szCs w:val="16"/>
        </w:rPr>
        <w:br/>
        <w:t xml:space="preserve">Internal Review </w:t>
      </w:r>
      <w:r w:rsidRPr="00781112">
        <w:rPr>
          <w:rFonts w:cs="Arial"/>
          <w:color w:val="000000" w:themeColor="text1"/>
          <w:szCs w:val="16"/>
        </w:rPr>
        <w:br/>
        <w:t xml:space="preserve">The LDOE's Division for Diverse Learners reviewed historical data and LDOE policies, procedures, and practices; and collaborated with internal teams to develop targets that were rigorous and attainable. </w:t>
      </w:r>
      <w:r w:rsidRPr="00781112">
        <w:rPr>
          <w:rFonts w:cs="Arial"/>
          <w:color w:val="000000" w:themeColor="text1"/>
          <w:szCs w:val="16"/>
        </w:rPr>
        <w:br/>
      </w:r>
      <w:r w:rsidRPr="00781112">
        <w:rPr>
          <w:rFonts w:cs="Arial"/>
          <w:color w:val="000000" w:themeColor="text1"/>
          <w:szCs w:val="16"/>
        </w:rPr>
        <w:br/>
        <w:t>External Stakeholder Feedback</w:t>
      </w:r>
      <w:r w:rsidRPr="00781112">
        <w:rPr>
          <w:rFonts w:cs="Arial"/>
          <w:color w:val="000000" w:themeColor="text1"/>
          <w:szCs w:val="16"/>
        </w:rPr>
        <w:br/>
        <w:t xml:space="preserve">The Division for Diverse Learners developed and executed an SPP/APR target setting engagement strategy to solicit broad stakeholder feedback on the FFY 2020 - FFY 2025 targets. The LDOE developed a State Performance Plan / Annual Performance Report Target Setting webpage on the Louisiana Believes website. The webpage contains an overview document with an explanation of each indicator, historical data for each indicator, and tables to clearly identify whether or not the State met targets for each indicator. After review of the overview document, a target setting survey was available for stakeholders to provide input on targets. </w:t>
      </w:r>
      <w:r w:rsidRPr="00781112">
        <w:rPr>
          <w:rFonts w:cs="Arial"/>
          <w:color w:val="000000" w:themeColor="text1"/>
          <w:szCs w:val="16"/>
        </w:rPr>
        <w:br/>
      </w:r>
      <w:r w:rsidRPr="00781112">
        <w:rPr>
          <w:rFonts w:cs="Arial"/>
          <w:color w:val="000000" w:themeColor="text1"/>
          <w:szCs w:val="16"/>
        </w:rPr>
        <w:br/>
        <w:t>SEAP Integration</w:t>
      </w:r>
      <w:r w:rsidRPr="00781112">
        <w:rPr>
          <w:rFonts w:cs="Arial"/>
          <w:color w:val="000000" w:themeColor="text1"/>
          <w:szCs w:val="16"/>
        </w:rPr>
        <w:br/>
        <w:t>The LDOE informed the SEAP on the target setting process at two separate meetings. LDOE provided an overview of each indicator along with historical data to SEAP members who provided input. SEAP's structure also allows for public comments, which were exercised at the meetings, providing external stakeholder feedback.</w:t>
      </w:r>
      <w:r w:rsidRPr="00781112">
        <w:rPr>
          <w:rFonts w:cs="Arial"/>
          <w:color w:val="000000" w:themeColor="text1"/>
          <w:szCs w:val="16"/>
        </w:rPr>
        <w:br/>
      </w:r>
      <w:r w:rsidRPr="00781112">
        <w:rPr>
          <w:rFonts w:cs="Arial"/>
          <w:color w:val="000000" w:themeColor="text1"/>
          <w:szCs w:val="16"/>
        </w:rPr>
        <w:br/>
        <w:t>The LDOE set targets based on feedback, historical data, and whether previous targets set were met. LDOE will continue to monitor data, targets, and changes to Indicator methodology, and may revise targets in the future, as necessary. Any revisions will incorporate stakeholder feedback, including, but not limited to, SEAP.</w:t>
      </w:r>
    </w:p>
    <w:p w14:paraId="159721AE" w14:textId="7E456FC5" w:rsidR="00084FF1" w:rsidRPr="00781112" w:rsidRDefault="00084FF1" w:rsidP="000C24C2">
      <w:pPr>
        <w:rPr>
          <w:rFonts w:cs="Arial"/>
          <w:b/>
          <w:color w:val="000000" w:themeColor="text1"/>
          <w:szCs w:val="16"/>
        </w:rPr>
      </w:pPr>
      <w:r w:rsidRPr="00781112">
        <w:rPr>
          <w:rFonts w:cs="Arial"/>
          <w:b/>
          <w:color w:val="000000" w:themeColor="text1"/>
          <w:szCs w:val="16"/>
        </w:rPr>
        <w:t>Apply stakeholder involvement from introduction to all Part B results indicators (y/n)</w:t>
      </w:r>
    </w:p>
    <w:p w14:paraId="2E10E7B0" w14:textId="00B67F00" w:rsidR="00FB0D0A" w:rsidRPr="00781112" w:rsidRDefault="002B7490" w:rsidP="004369B2">
      <w:pPr>
        <w:rPr>
          <w:color w:val="000000" w:themeColor="text1"/>
        </w:rPr>
      </w:pPr>
      <w:r w:rsidRPr="00781112">
        <w:rPr>
          <w:color w:val="000000" w:themeColor="text1"/>
        </w:rPr>
        <w:t>YES</w:t>
      </w:r>
    </w:p>
    <w:p w14:paraId="039304C3" w14:textId="77777777" w:rsidR="00F72E24" w:rsidRPr="00781112" w:rsidRDefault="00F72E24" w:rsidP="00F72E24">
      <w:pPr>
        <w:rPr>
          <w:b/>
          <w:color w:val="000000" w:themeColor="text1"/>
        </w:rPr>
      </w:pPr>
      <w:r w:rsidRPr="00781112">
        <w:rPr>
          <w:b/>
          <w:color w:val="000000" w:themeColor="text1"/>
        </w:rPr>
        <w:t>Number of Parent Members:</w:t>
      </w:r>
    </w:p>
    <w:p w14:paraId="3A2A60D7" w14:textId="5F5224C2" w:rsidR="00F72E24" w:rsidRPr="00781112" w:rsidRDefault="00F72E24" w:rsidP="00F72E24">
      <w:pPr>
        <w:rPr>
          <w:color w:val="000000" w:themeColor="text1"/>
          <w:szCs w:val="16"/>
        </w:rPr>
      </w:pPr>
      <w:r w:rsidRPr="00781112">
        <w:rPr>
          <w:color w:val="000000" w:themeColor="text1"/>
          <w:szCs w:val="16"/>
        </w:rPr>
        <w:t>7</w:t>
      </w:r>
    </w:p>
    <w:p w14:paraId="06D1F432" w14:textId="77777777" w:rsidR="00F72E24" w:rsidRPr="00781112" w:rsidRDefault="00F72E24" w:rsidP="00F72E24">
      <w:pPr>
        <w:rPr>
          <w:b/>
          <w:color w:val="000000" w:themeColor="text1"/>
        </w:rPr>
      </w:pPr>
      <w:r w:rsidRPr="00781112">
        <w:rPr>
          <w:b/>
          <w:color w:val="000000" w:themeColor="text1"/>
        </w:rPr>
        <w:t>Parent Members Engagement:</w:t>
      </w:r>
    </w:p>
    <w:p w14:paraId="243421D1" w14:textId="676E0957" w:rsidR="00F72E24" w:rsidRPr="00781112" w:rsidRDefault="00F72E24" w:rsidP="00F72E24">
      <w:pPr>
        <w:rPr>
          <w:b/>
          <w:color w:val="000000" w:themeColor="text1"/>
        </w:rPr>
      </w:pPr>
      <w:r w:rsidRPr="00781112">
        <w:rPr>
          <w:b/>
          <w:color w:val="000000" w:themeColor="text1"/>
        </w:rPr>
        <w:t>Describe how the parent members of the State Advisory Panel, parent center staff, parents from local and statewide advocacy and advisory committees, and individual parents were engaged in setting targets, analyzing data, developing improvement strategies, and evaluating progress.</w:t>
      </w:r>
    </w:p>
    <w:p w14:paraId="5A19969A" w14:textId="0D5C2CEC" w:rsidR="00F72E24" w:rsidRPr="00781112" w:rsidRDefault="00F72E24" w:rsidP="00F72E24">
      <w:pPr>
        <w:rPr>
          <w:color w:val="000000" w:themeColor="text1"/>
          <w:szCs w:val="16"/>
        </w:rPr>
      </w:pPr>
      <w:r w:rsidRPr="00781112">
        <w:rPr>
          <w:color w:val="000000" w:themeColor="text1"/>
          <w:szCs w:val="16"/>
        </w:rPr>
        <w:t>Throughout 2020-2021 many stakeholder groups were engaged, experts, state commissions, educators and parents. This broad engagement was an improved stakeholder engagement effort that focused on more frequent, detailed input. Parent engagement mostly occurred via the following:</w:t>
      </w:r>
      <w:r w:rsidRPr="00781112">
        <w:rPr>
          <w:color w:val="000000" w:themeColor="text1"/>
          <w:szCs w:val="16"/>
        </w:rPr>
        <w:br/>
      </w:r>
      <w:r w:rsidRPr="00781112">
        <w:rPr>
          <w:color w:val="000000" w:themeColor="text1"/>
          <w:szCs w:val="16"/>
        </w:rPr>
        <w:br/>
        <w:t xml:space="preserve">Special Education Advisory Panel (SEAP) </w:t>
      </w:r>
      <w:r w:rsidRPr="00781112">
        <w:rPr>
          <w:color w:val="000000" w:themeColor="text1"/>
          <w:szCs w:val="16"/>
        </w:rPr>
        <w:br/>
        <w:t>Teacher Leader Advisors</w:t>
      </w:r>
      <w:r w:rsidRPr="00781112">
        <w:rPr>
          <w:color w:val="000000" w:themeColor="text1"/>
          <w:szCs w:val="16"/>
        </w:rPr>
        <w:br/>
        <w:t>Families Helping Families</w:t>
      </w:r>
      <w:r w:rsidRPr="00781112">
        <w:rPr>
          <w:color w:val="000000" w:themeColor="text1"/>
          <w:szCs w:val="16"/>
        </w:rPr>
        <w:br/>
        <w:t>Louisiana Developmental Disabilities Council</w:t>
      </w:r>
      <w:r w:rsidRPr="00781112">
        <w:rPr>
          <w:color w:val="000000" w:themeColor="text1"/>
          <w:szCs w:val="16"/>
        </w:rPr>
        <w:br/>
        <w:t xml:space="preserve">Statewide stakeholder engagement partnerships </w:t>
      </w:r>
    </w:p>
    <w:p w14:paraId="22B36B69" w14:textId="77777777" w:rsidR="00F72E24" w:rsidRPr="00781112" w:rsidRDefault="00F72E24" w:rsidP="00F72E24">
      <w:pPr>
        <w:rPr>
          <w:b/>
          <w:color w:val="000000" w:themeColor="text1"/>
        </w:rPr>
      </w:pPr>
      <w:r w:rsidRPr="00781112">
        <w:rPr>
          <w:b/>
          <w:color w:val="000000" w:themeColor="text1"/>
        </w:rPr>
        <w:t>Activities to Improve Outcomes for Children with Disabilities:</w:t>
      </w:r>
    </w:p>
    <w:p w14:paraId="362D1ECF" w14:textId="77777777" w:rsidR="006457D1" w:rsidRPr="006457D1" w:rsidRDefault="006457D1" w:rsidP="006457D1">
      <w:pPr>
        <w:rPr>
          <w:b/>
          <w:color w:val="000000" w:themeColor="text1"/>
        </w:rPr>
      </w:pPr>
      <w:r w:rsidRPr="006457D1">
        <w:rPr>
          <w:b/>
          <w:color w:val="000000" w:themeColor="text1"/>
        </w:rPr>
        <w:t>The activities conducted to increase the capacity of diverse groups of parents to support the development of implementation activities designed to improve outcomes for children with disabilities.</w:t>
      </w:r>
    </w:p>
    <w:p w14:paraId="3BDE813D" w14:textId="522F6FB0" w:rsidR="00F72E24" w:rsidRPr="00781112" w:rsidRDefault="00F72E24" w:rsidP="00F72E24">
      <w:pPr>
        <w:rPr>
          <w:color w:val="000000" w:themeColor="text1"/>
          <w:szCs w:val="16"/>
        </w:rPr>
      </w:pPr>
      <w:r w:rsidRPr="00781112">
        <w:rPr>
          <w:color w:val="000000" w:themeColor="text1"/>
          <w:szCs w:val="16"/>
        </w:rPr>
        <w:t>The LDOE solicited feedback from the following groups to increase parent diversity:</w:t>
      </w:r>
      <w:r w:rsidRPr="00781112">
        <w:rPr>
          <w:color w:val="000000" w:themeColor="text1"/>
          <w:szCs w:val="16"/>
        </w:rPr>
        <w:br/>
      </w:r>
      <w:r w:rsidRPr="00781112">
        <w:rPr>
          <w:color w:val="000000" w:themeColor="text1"/>
          <w:szCs w:val="16"/>
        </w:rPr>
        <w:br/>
      </w:r>
      <w:r w:rsidRPr="00781112">
        <w:rPr>
          <w:color w:val="000000" w:themeColor="text1"/>
          <w:szCs w:val="16"/>
        </w:rPr>
        <w:lastRenderedPageBreak/>
        <w:t xml:space="preserve">Special Education Advisory Panel (SEAP) </w:t>
      </w:r>
      <w:r w:rsidRPr="00781112">
        <w:rPr>
          <w:color w:val="000000" w:themeColor="text1"/>
          <w:szCs w:val="16"/>
        </w:rPr>
        <w:br/>
        <w:t xml:space="preserve">Families Helping Families, Louisiana's parent centers </w:t>
      </w:r>
      <w:r w:rsidRPr="00781112">
        <w:rPr>
          <w:color w:val="000000" w:themeColor="text1"/>
          <w:szCs w:val="16"/>
        </w:rPr>
        <w:br/>
        <w:t>Louisiana Developmental Disabilities Council</w:t>
      </w:r>
      <w:r w:rsidRPr="00781112">
        <w:rPr>
          <w:color w:val="000000" w:themeColor="text1"/>
          <w:szCs w:val="16"/>
        </w:rPr>
        <w:br/>
      </w:r>
      <w:r w:rsidRPr="00781112">
        <w:rPr>
          <w:color w:val="000000" w:themeColor="text1"/>
          <w:szCs w:val="16"/>
        </w:rPr>
        <w:br/>
        <w:t>Additionally, the LDOE used the School System Planning Monthly Calls and the Superintendent's Weekly Newsletter to promote and encourage relevant stakeholders to participate in implementation activities.</w:t>
      </w:r>
    </w:p>
    <w:p w14:paraId="6210CD83" w14:textId="77777777" w:rsidR="00F72E24" w:rsidRPr="00781112" w:rsidRDefault="00F72E24" w:rsidP="00F72E24">
      <w:pPr>
        <w:rPr>
          <w:b/>
          <w:color w:val="000000" w:themeColor="text1"/>
        </w:rPr>
      </w:pPr>
      <w:r w:rsidRPr="00781112">
        <w:rPr>
          <w:b/>
          <w:color w:val="000000" w:themeColor="text1"/>
        </w:rPr>
        <w:t>Soliciting Public Input:</w:t>
      </w:r>
    </w:p>
    <w:p w14:paraId="39A8F7F4" w14:textId="036934F6" w:rsidR="00F72E24" w:rsidRPr="00781112" w:rsidRDefault="00F72E24" w:rsidP="00F72E24">
      <w:pPr>
        <w:rPr>
          <w:b/>
          <w:color w:val="000000" w:themeColor="text1"/>
        </w:rPr>
      </w:pPr>
      <w:r w:rsidRPr="00781112">
        <w:rPr>
          <w:b/>
          <w:color w:val="000000" w:themeColor="text1"/>
        </w:rPr>
        <w:t>The mechanisms and timelines for soliciting public input for setting targets, analyzing data, developing improvement strategies, and evaluating progress.</w:t>
      </w:r>
    </w:p>
    <w:p w14:paraId="223D0B8E" w14:textId="16A98311" w:rsidR="00F72E24" w:rsidRPr="00781112" w:rsidRDefault="00F72E24" w:rsidP="00F72E24">
      <w:pPr>
        <w:rPr>
          <w:color w:val="000000" w:themeColor="text1"/>
          <w:szCs w:val="16"/>
        </w:rPr>
      </w:pPr>
      <w:r w:rsidRPr="00781112">
        <w:rPr>
          <w:color w:val="000000" w:themeColor="text1"/>
          <w:szCs w:val="16"/>
        </w:rPr>
        <w:t>Louisiana remains committed to a comprehensive vision for student success in our state with every child on track to a college degree or professional career. Since this year was also a target setting cycle, Louisiana began engaging stakeholders in the fall of 2021 at our Special Education Advisory Panel meetings and continued in the spring engaging other commissions and all stakeholders through our special education reporting and funding website:https://louisianabelieves.com/resources/library/special-education-reporting-and-funding.</w:t>
      </w:r>
    </w:p>
    <w:p w14:paraId="60517C6B" w14:textId="77777777" w:rsidR="001628C0" w:rsidRPr="00781112" w:rsidRDefault="001628C0" w:rsidP="001628C0">
      <w:pPr>
        <w:rPr>
          <w:b/>
          <w:color w:val="000000" w:themeColor="text1"/>
        </w:rPr>
      </w:pPr>
      <w:r w:rsidRPr="00781112">
        <w:rPr>
          <w:b/>
          <w:color w:val="000000" w:themeColor="text1"/>
        </w:rPr>
        <w:t>Making Results Available to the Public:</w:t>
      </w:r>
    </w:p>
    <w:p w14:paraId="311EF023" w14:textId="34EDFFF0" w:rsidR="001628C0" w:rsidRPr="00781112" w:rsidRDefault="001628C0" w:rsidP="001628C0">
      <w:pPr>
        <w:rPr>
          <w:b/>
          <w:color w:val="000000" w:themeColor="text1"/>
        </w:rPr>
      </w:pPr>
      <w:r w:rsidRPr="00781112">
        <w:rPr>
          <w:b/>
          <w:color w:val="000000" w:themeColor="text1"/>
        </w:rPr>
        <w:t>The mechanisms and timelines for making the results of the target setting, data analysis, development of the improvement strategies, and evaluation available to the public.</w:t>
      </w:r>
    </w:p>
    <w:p w14:paraId="0AEF38F9" w14:textId="1C0CFAA1" w:rsidR="001628C0" w:rsidRPr="00781112" w:rsidRDefault="001628C0" w:rsidP="001628C0">
      <w:pPr>
        <w:rPr>
          <w:color w:val="000000" w:themeColor="text1"/>
          <w:szCs w:val="16"/>
        </w:rPr>
      </w:pPr>
      <w:r w:rsidRPr="00781112">
        <w:rPr>
          <w:color w:val="000000" w:themeColor="text1"/>
          <w:szCs w:val="16"/>
        </w:rPr>
        <w:t xml:space="preserve">The LDOE developed a State Performance Plan / Annual Performance Report Target Setting webpage on the Louisiana Believes website. The webpage contains an overview document with an explanation of each indicator, historical data for each indicator, and tables to clearly identify whether or not the State met targets for each indicator. After review of the overview document, a target setting survey was available for stakeholders to provide input on targets. The target setting results, data analysis, development and evaluation of improvement strategies will be available to the public using this Target Setting webpage. </w:t>
      </w:r>
    </w:p>
    <w:p w14:paraId="7432C5B0" w14:textId="77777777" w:rsidR="00F72E24" w:rsidRPr="00781112" w:rsidRDefault="00F72E24" w:rsidP="004369B2">
      <w:pPr>
        <w:rPr>
          <w:color w:val="000000" w:themeColor="text1"/>
        </w:rPr>
      </w:pPr>
    </w:p>
    <w:p w14:paraId="41976EFD" w14:textId="52C6C218" w:rsidR="00AF5649" w:rsidRPr="00781112" w:rsidRDefault="00AF5649" w:rsidP="004369B2">
      <w:pPr>
        <w:rPr>
          <w:color w:val="000000" w:themeColor="text1"/>
        </w:rPr>
      </w:pPr>
      <w:r w:rsidRPr="00781112">
        <w:rPr>
          <w:b/>
          <w:color w:val="000000" w:themeColor="text1"/>
        </w:rPr>
        <w:t>Reporting to the Public</w:t>
      </w:r>
    </w:p>
    <w:p w14:paraId="6989C68F" w14:textId="7621797C" w:rsidR="00AF5649" w:rsidRPr="00781112" w:rsidRDefault="00AF5649" w:rsidP="004369B2">
      <w:pPr>
        <w:rPr>
          <w:b/>
          <w:color w:val="000000" w:themeColor="text1"/>
        </w:rPr>
      </w:pPr>
      <w:r w:rsidRPr="00781112">
        <w:rPr>
          <w:b/>
          <w:color w:val="000000" w:themeColor="text1"/>
        </w:rPr>
        <w:t>How and where the State reported to the public on the FFY 2019 performance of each LEA located in the State on the targets in the SPP/APR as soon as practicable, but no later than 120 days following the State’s submission of its FFY 2019 APR, as required by 34 CFR §300.602(b)(1)(i)(A); and a description of where, on its Web site, a complete copy of the State’s SPP/APR, including any revision if the State has revised the targets that it submitted with its FFY 2019 APR in 2021, is available.</w:t>
      </w:r>
    </w:p>
    <w:p w14:paraId="4B111ECA" w14:textId="48A73890" w:rsidR="000C24C2" w:rsidRPr="00781112" w:rsidRDefault="002B7490" w:rsidP="007925C6">
      <w:pPr>
        <w:rPr>
          <w:rFonts w:cs="Arial"/>
          <w:color w:val="000000" w:themeColor="text1"/>
          <w:szCs w:val="16"/>
        </w:rPr>
      </w:pPr>
      <w:r w:rsidRPr="00781112">
        <w:rPr>
          <w:rFonts w:cs="Arial"/>
          <w:color w:val="000000" w:themeColor="text1"/>
          <w:szCs w:val="16"/>
        </w:rPr>
        <w:t>LDOE reports annually to the public on the performance of each school system on the targets in the SPP/APR in the Special Education Reporting and Funding library on the State's website. This information is labeled Performance Profiles and is located under the Performance Profiles section. The Special Education Reporting and Funding library also publicly reports the State's SPP, including any revisions. This information is labeled LA SPP/APR and is located under the State Performance Plan / Annual Performance Report section. To access this information, please use the following web link and locate the sections titled Performance Profiles and State Performance Plan/Annual Performance Report, respectively.</w:t>
      </w:r>
      <w:r w:rsidRPr="00781112">
        <w:rPr>
          <w:rFonts w:cs="Arial"/>
          <w:color w:val="000000" w:themeColor="text1"/>
          <w:szCs w:val="16"/>
        </w:rPr>
        <w:br/>
      </w:r>
      <w:r w:rsidRPr="00781112">
        <w:rPr>
          <w:rFonts w:cs="Arial"/>
          <w:color w:val="000000" w:themeColor="text1"/>
          <w:szCs w:val="16"/>
        </w:rPr>
        <w:br/>
        <w:t>https://louisianabelieves.com/resources/library/special-education-reporting-and-funding</w:t>
      </w:r>
    </w:p>
    <w:p w14:paraId="5231B97D" w14:textId="77777777" w:rsidR="00466646" w:rsidRPr="00781112" w:rsidRDefault="00466646" w:rsidP="007925C6">
      <w:pPr>
        <w:rPr>
          <w:rFonts w:cs="Arial"/>
          <w:color w:val="000000" w:themeColor="text1"/>
          <w:szCs w:val="16"/>
        </w:rPr>
      </w:pPr>
    </w:p>
    <w:p w14:paraId="149B9F3D" w14:textId="71D786D9" w:rsidR="00AA4DAF" w:rsidRPr="00781112" w:rsidRDefault="00684B51" w:rsidP="008645AD">
      <w:pPr>
        <w:pStyle w:val="Heading2"/>
      </w:pPr>
      <w:r w:rsidRPr="00781112">
        <w:t xml:space="preserve">Intro - </w:t>
      </w:r>
      <w:r w:rsidR="006B0FD9" w:rsidRPr="00781112">
        <w:t xml:space="preserve">Prior FFY Required </w:t>
      </w:r>
      <w:r w:rsidR="00AA4DAF" w:rsidRPr="00781112">
        <w:t xml:space="preserve">Actions </w:t>
      </w:r>
    </w:p>
    <w:p w14:paraId="66CEC339" w14:textId="2D6DB901" w:rsidR="000C24C2" w:rsidRPr="00781112" w:rsidRDefault="002B7490" w:rsidP="000B4AA4">
      <w:pPr>
        <w:rPr>
          <w:rFonts w:cs="Arial"/>
          <w:color w:val="000000" w:themeColor="text1"/>
          <w:szCs w:val="16"/>
        </w:rPr>
      </w:pPr>
      <w:r w:rsidRPr="00781112">
        <w:rPr>
          <w:rFonts w:cs="Arial"/>
          <w:color w:val="000000" w:themeColor="text1"/>
          <w:szCs w:val="16"/>
        </w:rPr>
        <w:t>The State's IDEA Part B determination for both 2020 and 2021 is Needs Assistance. In the State's 2021 determination letter, the Department advised the State of available sources of technical assistance, including OSEP-funded technical assistance centers, and required the State to work with appropriate entities. The Department directed the State to determine the results elements and/or compliance indicators, and improvement strategies, on which it will focus its use of available technical assistance, in order to improve its performance. The State must report, with its FFY 2020 SPP/APR submission, due February 1, 2022, on: (1) the technical assistance sources from which the State received assistance; and (2) the actions the State took as a result of that technical assistance.</w:t>
      </w:r>
    </w:p>
    <w:p w14:paraId="6ECA4985" w14:textId="77777777" w:rsidR="008C56EE" w:rsidRPr="00781112" w:rsidRDefault="008C56EE" w:rsidP="000B4AA4">
      <w:pPr>
        <w:rPr>
          <w:rFonts w:cs="Arial"/>
          <w:color w:val="000000" w:themeColor="text1"/>
          <w:szCs w:val="16"/>
        </w:rPr>
      </w:pPr>
    </w:p>
    <w:p w14:paraId="615D9F24" w14:textId="22661F18" w:rsidR="009F764E" w:rsidRPr="00781112" w:rsidRDefault="009F764E" w:rsidP="004369B2">
      <w:pPr>
        <w:rPr>
          <w:b/>
          <w:color w:val="000000" w:themeColor="text1"/>
        </w:rPr>
      </w:pPr>
      <w:r w:rsidRPr="00781112">
        <w:rPr>
          <w:b/>
          <w:color w:val="000000" w:themeColor="text1"/>
        </w:rPr>
        <w:t>Response to actions required in FFY 2019 SPP/APR</w:t>
      </w:r>
    </w:p>
    <w:p w14:paraId="3302C1DF" w14:textId="2D8F36EA" w:rsidR="000C24C2" w:rsidRPr="00781112" w:rsidRDefault="000C24C2" w:rsidP="000E33D0">
      <w:pPr>
        <w:rPr>
          <w:rFonts w:cs="Arial"/>
          <w:color w:val="000000" w:themeColor="text1"/>
          <w:szCs w:val="16"/>
        </w:rPr>
      </w:pPr>
    </w:p>
    <w:p w14:paraId="4A252D01" w14:textId="7879CF0B" w:rsidR="00CE6EB0" w:rsidRPr="00781112" w:rsidRDefault="00684B51" w:rsidP="008645AD">
      <w:pPr>
        <w:pStyle w:val="Heading2"/>
      </w:pPr>
      <w:r w:rsidRPr="00781112">
        <w:t xml:space="preserve">Intro - </w:t>
      </w:r>
      <w:r w:rsidR="00CE6EB0" w:rsidRPr="00781112">
        <w:t>OSEP Response</w:t>
      </w:r>
    </w:p>
    <w:p w14:paraId="75883DD0" w14:textId="26E7A768" w:rsidR="000C24C2" w:rsidRPr="00781112" w:rsidRDefault="002B7490" w:rsidP="001F692C">
      <w:pPr>
        <w:rPr>
          <w:rFonts w:cs="Arial"/>
          <w:color w:val="000000" w:themeColor="text1"/>
          <w:szCs w:val="16"/>
        </w:rPr>
      </w:pPr>
      <w:r w:rsidRPr="00781112">
        <w:rPr>
          <w:rFonts w:cs="Arial"/>
          <w:color w:val="000000" w:themeColor="text1"/>
          <w:szCs w:val="16"/>
        </w:rPr>
        <w:t>The State's determinations for both 2020 and 2021 were Needs Assistance.  Pursuant to section 616(e)(1) of the IDEA and 34 C.F.R. § 300.604(a), OSEP's June 24, 2021 determination letter informed the State that it must report with its FFY 2020 SPP/APR submission, due February 1, 2022, on: (1) the technical assistance sources from which the State received assistance; and (2) the actions the State took as a result of that technical assistance. The State provided the required information.</w:t>
      </w:r>
      <w:r w:rsidRPr="00781112">
        <w:rPr>
          <w:rFonts w:cs="Arial"/>
          <w:color w:val="000000" w:themeColor="text1"/>
          <w:szCs w:val="16"/>
        </w:rPr>
        <w:br/>
      </w:r>
      <w:r w:rsidRPr="00781112">
        <w:rPr>
          <w:rFonts w:cs="Arial"/>
          <w:color w:val="000000" w:themeColor="text1"/>
          <w:szCs w:val="16"/>
        </w:rPr>
        <w:br/>
        <w:t>The State did not provide verification that the attachment(s) it included in its FFY 2020 SPP/APR submission are in compliance with Section 508 of the Rehabilitation Act of 1973, as amended (Section 508), as required by Section 508.</w:t>
      </w:r>
    </w:p>
    <w:p w14:paraId="53B509C2" w14:textId="7458BB00" w:rsidR="00CE6EB0" w:rsidRPr="00781112" w:rsidRDefault="00684B51" w:rsidP="008645AD">
      <w:pPr>
        <w:pStyle w:val="Heading2"/>
      </w:pPr>
      <w:r w:rsidRPr="00781112">
        <w:t>Intro - Required Actions</w:t>
      </w:r>
    </w:p>
    <w:p w14:paraId="4593FA49" w14:textId="4CE6B2B1" w:rsidR="000C24C2" w:rsidRPr="00781112" w:rsidRDefault="002B7490" w:rsidP="001F692C">
      <w:pPr>
        <w:rPr>
          <w:rFonts w:cs="Arial"/>
          <w:color w:val="000000" w:themeColor="text1"/>
          <w:szCs w:val="16"/>
        </w:rPr>
      </w:pPr>
      <w:r w:rsidRPr="00781112">
        <w:rPr>
          <w:rFonts w:cs="Arial"/>
          <w:color w:val="000000" w:themeColor="text1"/>
          <w:szCs w:val="16"/>
        </w:rPr>
        <w:t>The State's IDEA Part B determination for both 2021 and 2022 is Needs Assistance. In the State's 2022 determination letter, the Department advised the State of available sources of technical assistance, including OSEP-funded technical assistance centers, and required the State to work with appropriate entities. The Department directed the State to determine the results elements and/or compliance indicators, and improvement strategies, on which it will focus its use of available technical assistance, in order to improve its performance. The State must report, with its FFY 2021 SPP/APR submission, due February 1, 2023, on: (1) the technical assistance sources from which the State received assistance; and (2) the actions the State took as a result of that technical assistance.</w:t>
      </w:r>
    </w:p>
    <w:p w14:paraId="42393C4C"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8F1108C" w14:textId="1387D8AF" w:rsidR="00EB0146" w:rsidRPr="00781112" w:rsidRDefault="00EB0146" w:rsidP="000444E2">
      <w:pPr>
        <w:pStyle w:val="Heading1"/>
        <w:rPr>
          <w:color w:val="000000" w:themeColor="text1"/>
          <w:sz w:val="22"/>
        </w:rPr>
      </w:pPr>
      <w:r w:rsidRPr="00781112">
        <w:rPr>
          <w:color w:val="000000" w:themeColor="text1"/>
          <w:sz w:val="22"/>
        </w:rPr>
        <w:lastRenderedPageBreak/>
        <w:t>Indicator 1: Graduation</w:t>
      </w:r>
      <w:bookmarkEnd w:id="0"/>
      <w:bookmarkEnd w:id="1"/>
    </w:p>
    <w:p w14:paraId="5D906D37" w14:textId="00C8F8B1" w:rsidR="009A62A4" w:rsidRPr="00781112" w:rsidRDefault="009A62A4" w:rsidP="00A018D4">
      <w:pPr>
        <w:rPr>
          <w:color w:val="000000" w:themeColor="text1"/>
          <w:szCs w:val="20"/>
        </w:rPr>
      </w:pPr>
      <w:r w:rsidRPr="00781112">
        <w:rPr>
          <w:b/>
          <w:color w:val="000000" w:themeColor="text1"/>
          <w:sz w:val="20"/>
          <w:szCs w:val="20"/>
        </w:rPr>
        <w:t>Instructions and Measurement</w:t>
      </w:r>
    </w:p>
    <w:p w14:paraId="13149CC2" w14:textId="77777777" w:rsidR="004B782D" w:rsidRPr="00781112" w:rsidRDefault="004B782D" w:rsidP="004369B2">
      <w:pPr>
        <w:rPr>
          <w:color w:val="000000" w:themeColor="text1"/>
        </w:rPr>
      </w:pPr>
      <w:bookmarkStart w:id="3" w:name="_Toc392159259"/>
      <w:r w:rsidRPr="00781112">
        <w:rPr>
          <w:b/>
          <w:color w:val="000000" w:themeColor="text1"/>
        </w:rPr>
        <w:t>Monitoring Priority:</w:t>
      </w:r>
      <w:r w:rsidRPr="00781112">
        <w:rPr>
          <w:color w:val="000000" w:themeColor="text1"/>
        </w:rPr>
        <w:t xml:space="preserve"> FAPE in the LRE </w:t>
      </w:r>
    </w:p>
    <w:p w14:paraId="18CE8669" w14:textId="0A91E220" w:rsidR="00531ED7" w:rsidRPr="00781112" w:rsidRDefault="004B782D" w:rsidP="009340E3">
      <w:pPr>
        <w:rPr>
          <w:color w:val="000000" w:themeColor="text1"/>
        </w:rPr>
      </w:pPr>
      <w:r w:rsidRPr="00781112">
        <w:rPr>
          <w:b/>
          <w:color w:val="000000" w:themeColor="text1"/>
        </w:rPr>
        <w:t>Results indicator:</w:t>
      </w:r>
      <w:r w:rsidRPr="00781112">
        <w:rPr>
          <w:color w:val="000000" w:themeColor="text1"/>
        </w:rPr>
        <w:t xml:space="preserve"> Percent of youth with</w:t>
      </w:r>
      <w:r w:rsidR="005F5514" w:rsidRPr="00781112">
        <w:rPr>
          <w:color w:val="000000" w:themeColor="text1"/>
        </w:rPr>
        <w:t xml:space="preserve"> Individualized Education </w:t>
      </w:r>
      <w:r w:rsidR="00DA7FAE" w:rsidRPr="00781112">
        <w:rPr>
          <w:color w:val="000000" w:themeColor="text1"/>
        </w:rPr>
        <w:t>Programs</w:t>
      </w:r>
      <w:r w:rsidRPr="00781112">
        <w:rPr>
          <w:color w:val="000000" w:themeColor="text1"/>
        </w:rPr>
        <w:t xml:space="preserve"> </w:t>
      </w:r>
      <w:r w:rsidR="005F5514" w:rsidRPr="00781112">
        <w:rPr>
          <w:color w:val="000000" w:themeColor="text1"/>
        </w:rPr>
        <w:t>(</w:t>
      </w:r>
      <w:r w:rsidRPr="00781112">
        <w:rPr>
          <w:color w:val="000000" w:themeColor="text1"/>
        </w:rPr>
        <w:t>IEPs</w:t>
      </w:r>
      <w:r w:rsidR="005F5514" w:rsidRPr="00781112">
        <w:rPr>
          <w:color w:val="000000" w:themeColor="text1"/>
        </w:rPr>
        <w:t>)</w:t>
      </w:r>
      <w:r w:rsidRPr="00781112">
        <w:rPr>
          <w:color w:val="000000" w:themeColor="text1"/>
        </w:rPr>
        <w:t xml:space="preserve"> </w:t>
      </w:r>
      <w:r w:rsidR="003068D4" w:rsidRPr="00781112">
        <w:rPr>
          <w:color w:val="000000" w:themeColor="text1"/>
        </w:rPr>
        <w:t>exiting</w:t>
      </w:r>
      <w:r w:rsidR="00EF4CAF" w:rsidRPr="00781112">
        <w:rPr>
          <w:color w:val="000000" w:themeColor="text1"/>
        </w:rPr>
        <w:t xml:space="preserve"> </w:t>
      </w:r>
      <w:r w:rsidR="00EF4CAF" w:rsidRPr="00781112">
        <w:rPr>
          <w:rFonts w:cs="Arial"/>
          <w:szCs w:val="16"/>
        </w:rPr>
        <w:t>special education due to graduating</w:t>
      </w:r>
      <w:r w:rsidR="003068D4" w:rsidRPr="00781112">
        <w:rPr>
          <w:color w:val="000000" w:themeColor="text1"/>
        </w:rPr>
        <w:t xml:space="preserve"> </w:t>
      </w:r>
      <w:r w:rsidRPr="00781112">
        <w:rPr>
          <w:color w:val="000000" w:themeColor="text1"/>
        </w:rPr>
        <w:t>with a regular</w:t>
      </w:r>
      <w:r w:rsidR="005F5514" w:rsidRPr="00781112">
        <w:rPr>
          <w:color w:val="000000" w:themeColor="text1"/>
        </w:rPr>
        <w:t xml:space="preserve"> high school diploma</w:t>
      </w:r>
      <w:r w:rsidRPr="00781112">
        <w:rPr>
          <w:color w:val="000000" w:themeColor="text1"/>
        </w:rPr>
        <w:t>.</w:t>
      </w:r>
      <w:r w:rsidR="00552927" w:rsidRPr="00781112">
        <w:rPr>
          <w:color w:val="000000" w:themeColor="text1"/>
        </w:rPr>
        <w:t xml:space="preserve"> </w:t>
      </w:r>
      <w:r w:rsidRPr="00781112">
        <w:rPr>
          <w:color w:val="000000" w:themeColor="text1"/>
        </w:rPr>
        <w:t>(20 U.S.C. 1416 (a)(3)(A))</w:t>
      </w:r>
    </w:p>
    <w:p w14:paraId="6446BBA4" w14:textId="09E75AD8" w:rsidR="005F5514" w:rsidRPr="00781112" w:rsidRDefault="00460298" w:rsidP="004369B2">
      <w:pPr>
        <w:rPr>
          <w:rFonts w:cs="Arial"/>
          <w:bCs/>
          <w:color w:val="000000" w:themeColor="text1"/>
          <w:szCs w:val="16"/>
        </w:rPr>
      </w:pPr>
      <w:r w:rsidRPr="00781112">
        <w:rPr>
          <w:rFonts w:cs="Arial"/>
          <w:b/>
          <w:bCs/>
          <w:color w:val="000000" w:themeColor="text1"/>
          <w:szCs w:val="16"/>
        </w:rPr>
        <w:t>Data Source</w:t>
      </w:r>
    </w:p>
    <w:p w14:paraId="08997539" w14:textId="281A6713" w:rsidR="005F5514" w:rsidRPr="00781112" w:rsidRDefault="00460298" w:rsidP="003A6167">
      <w:pPr>
        <w:rPr>
          <w:rFonts w:cs="Arial"/>
          <w:color w:val="000000" w:themeColor="text1"/>
          <w:szCs w:val="16"/>
        </w:rPr>
      </w:pPr>
      <w:r w:rsidRPr="00781112">
        <w:rPr>
          <w:rFonts w:cs="Arial"/>
          <w:color w:val="000000" w:themeColor="text1"/>
          <w:szCs w:val="16"/>
          <w:shd w:val="clear" w:color="auto" w:fill="FFFFFF"/>
        </w:rPr>
        <w:t xml:space="preserve">Same data as used for reporting to the Department </w:t>
      </w:r>
      <w:r w:rsidR="001A0C28" w:rsidRPr="00781112">
        <w:rPr>
          <w:rFonts w:cs="Arial"/>
          <w:szCs w:val="16"/>
          <w:shd w:val="clear" w:color="auto" w:fill="FFFFFF"/>
        </w:rPr>
        <w:t>under section 618 of the Individuals with Disabilities Education Act (IDEA), using the definitions in EDFacts file specification FS009</w:t>
      </w:r>
      <w:r w:rsidRPr="00781112">
        <w:rPr>
          <w:rFonts w:cs="Arial"/>
          <w:color w:val="000000" w:themeColor="text1"/>
          <w:szCs w:val="16"/>
          <w:shd w:val="clear" w:color="auto" w:fill="FFFFFF"/>
        </w:rPr>
        <w:t>.</w:t>
      </w:r>
    </w:p>
    <w:p w14:paraId="453C54CF" w14:textId="0B94BC61" w:rsidR="005F5514" w:rsidRPr="00781112" w:rsidRDefault="005F5514" w:rsidP="004369B2">
      <w:pPr>
        <w:rPr>
          <w:color w:val="000000" w:themeColor="text1"/>
        </w:rPr>
      </w:pPr>
      <w:r w:rsidRPr="00781112">
        <w:rPr>
          <w:b/>
          <w:color w:val="000000" w:themeColor="text1"/>
        </w:rPr>
        <w:t>Measurement</w:t>
      </w:r>
    </w:p>
    <w:p w14:paraId="368E5D32" w14:textId="2D879251" w:rsidR="005F5514" w:rsidRPr="00781112" w:rsidRDefault="005F5514" w:rsidP="003A6167">
      <w:pPr>
        <w:rPr>
          <w:rFonts w:cs="Arial"/>
          <w:color w:val="000000" w:themeColor="text1"/>
          <w:szCs w:val="16"/>
        </w:rPr>
      </w:pPr>
      <w:r w:rsidRPr="00781112">
        <w:rPr>
          <w:rFonts w:cs="Arial"/>
          <w:color w:val="000000" w:themeColor="text1"/>
          <w:szCs w:val="16"/>
          <w:shd w:val="clear" w:color="auto" w:fill="FFFFFF"/>
        </w:rPr>
        <w:t xml:space="preserve">States </w:t>
      </w:r>
      <w:r w:rsidR="0084727C" w:rsidRPr="00781112">
        <w:rPr>
          <w:rFonts w:cs="Arial"/>
          <w:szCs w:val="16"/>
          <w:shd w:val="clear" w:color="auto" w:fill="FFFFFF"/>
        </w:rPr>
        <w:t xml:space="preserve">must report a percentage using the number of youth with IEPs (ages 14-21) who exited special education due to graduating with a regular high school diploma in the numerator and the number of all youth with IEPs who </w:t>
      </w:r>
      <w:r w:rsidR="00CB505C" w:rsidRPr="00781112">
        <w:rPr>
          <w:rFonts w:cs="Arial"/>
          <w:szCs w:val="16"/>
          <w:shd w:val="clear" w:color="auto" w:fill="FFFFFF"/>
        </w:rPr>
        <w:t>exited</w:t>
      </w:r>
      <w:r w:rsidR="0084727C" w:rsidRPr="00781112">
        <w:rPr>
          <w:rFonts w:cs="Arial"/>
          <w:szCs w:val="16"/>
          <w:shd w:val="clear" w:color="auto" w:fill="FFFFFF"/>
        </w:rPr>
        <w:t xml:space="preserve"> high school (ages 14-21) in the denominator</w:t>
      </w:r>
      <w:r w:rsidRPr="00781112">
        <w:rPr>
          <w:rFonts w:cs="Arial"/>
          <w:color w:val="000000" w:themeColor="text1"/>
          <w:szCs w:val="16"/>
          <w:shd w:val="clear" w:color="auto" w:fill="FFFFFF"/>
        </w:rPr>
        <w:t>.</w:t>
      </w:r>
    </w:p>
    <w:p w14:paraId="3C528AFB" w14:textId="76079BAD" w:rsidR="005F5514" w:rsidRPr="00781112" w:rsidRDefault="005F5514" w:rsidP="004369B2">
      <w:pPr>
        <w:rPr>
          <w:color w:val="000000" w:themeColor="text1"/>
        </w:rPr>
      </w:pPr>
      <w:r w:rsidRPr="00781112">
        <w:rPr>
          <w:b/>
          <w:color w:val="000000" w:themeColor="text1"/>
        </w:rPr>
        <w:t>Instructions</w:t>
      </w:r>
    </w:p>
    <w:p w14:paraId="675BD796" w14:textId="6D333C0C" w:rsidR="005F5514" w:rsidRPr="00781112" w:rsidRDefault="005F5514" w:rsidP="004369B2">
      <w:pPr>
        <w:rPr>
          <w:i/>
          <w:color w:val="000000" w:themeColor="text1"/>
        </w:rPr>
      </w:pPr>
      <w:r w:rsidRPr="00781112">
        <w:rPr>
          <w:i/>
          <w:color w:val="000000" w:themeColor="text1"/>
        </w:rPr>
        <w:t>Sampling is not allowed.</w:t>
      </w:r>
    </w:p>
    <w:p w14:paraId="496A7DDE" w14:textId="6B2E61CE" w:rsidR="005F5514" w:rsidRPr="00781112" w:rsidRDefault="00815B9B" w:rsidP="003A6167">
      <w:pPr>
        <w:rPr>
          <w:rFonts w:cs="Arial"/>
          <w:color w:val="000000" w:themeColor="text1"/>
          <w:szCs w:val="16"/>
        </w:rPr>
      </w:pPr>
      <w:r w:rsidRPr="00781112">
        <w:t xml:space="preserve">Data for this indicator are “lag” data. </w:t>
      </w:r>
      <w:r w:rsidR="005F5514" w:rsidRPr="00781112">
        <w:rPr>
          <w:rFonts w:cs="Arial"/>
          <w:color w:val="000000" w:themeColor="text1"/>
          <w:szCs w:val="16"/>
        </w:rPr>
        <w:t>Describe the results of the State’s examination of the data for the year before the reporting year (e.g., for the FFY 2020 SPP/APR, use data from 201</w:t>
      </w:r>
      <w:r w:rsidRPr="00781112">
        <w:rPr>
          <w:rFonts w:cs="Arial"/>
          <w:color w:val="000000" w:themeColor="text1"/>
          <w:szCs w:val="16"/>
        </w:rPr>
        <w:t>9</w:t>
      </w:r>
      <w:r w:rsidR="005F5514" w:rsidRPr="00781112">
        <w:rPr>
          <w:rFonts w:cs="Arial"/>
          <w:color w:val="000000" w:themeColor="text1"/>
          <w:szCs w:val="16"/>
        </w:rPr>
        <w:t>-</w:t>
      </w:r>
      <w:r w:rsidR="003522C0" w:rsidRPr="00781112">
        <w:rPr>
          <w:rFonts w:cs="Arial"/>
          <w:color w:val="000000" w:themeColor="text1"/>
          <w:szCs w:val="16"/>
        </w:rPr>
        <w:t>2020</w:t>
      </w:r>
      <w:r w:rsidR="005F5514" w:rsidRPr="00781112">
        <w:rPr>
          <w:rFonts w:cs="Arial"/>
          <w:color w:val="000000" w:themeColor="text1"/>
          <w:szCs w:val="16"/>
        </w:rPr>
        <w:t>), and compare the results to the target. Provide the actual numbers used in the calculation.</w:t>
      </w:r>
    </w:p>
    <w:p w14:paraId="7E94BD74" w14:textId="77777777" w:rsidR="003069AE" w:rsidRPr="00781112" w:rsidRDefault="003069AE" w:rsidP="003069AE">
      <w:r w:rsidRPr="00781112">
        <w:t xml:space="preserve">Include in the denominator the following exiting categories: (a) graduated with a regular high school diploma; (b) graduated with a state-defined alternate diploma; (c) received a certificate; (d) reached maximum age; or (e) dropped out. </w:t>
      </w:r>
    </w:p>
    <w:p w14:paraId="6D62B3B3" w14:textId="4F597FD3" w:rsidR="003069AE" w:rsidRPr="00781112" w:rsidRDefault="003069AE" w:rsidP="003A6167">
      <w:r w:rsidRPr="00781112">
        <w:t xml:space="preserve">Do not include in the denominator the number of youths with IEPs who exited special education due to: (a) transferring to regular education; or (b) who moved but are known to be continuing in an educational program. </w:t>
      </w:r>
    </w:p>
    <w:p w14:paraId="156B8877" w14:textId="52998CDB" w:rsidR="005F5514" w:rsidRPr="00781112" w:rsidRDefault="005F5514" w:rsidP="003A6167">
      <w:pPr>
        <w:rPr>
          <w:rFonts w:cs="Arial"/>
          <w:color w:val="000000" w:themeColor="text1"/>
          <w:szCs w:val="16"/>
        </w:rPr>
      </w:pPr>
      <w:r w:rsidRPr="00781112">
        <w:rPr>
          <w:rFonts w:cs="Arial"/>
          <w:color w:val="000000" w:themeColor="text1"/>
          <w:szCs w:val="16"/>
        </w:rPr>
        <w:t>Provide a narrative that describes the conditions youth must meet in order to graduate with a regular high school diploma. If the conditions that youth with IEPs must meet in order to graduate with a regular high school diploma are different, please explain.</w:t>
      </w:r>
    </w:p>
    <w:p w14:paraId="17C36F54" w14:textId="0B0AD4FB" w:rsidR="00B34EE6" w:rsidRPr="00781112" w:rsidRDefault="00B0742B" w:rsidP="008645AD">
      <w:pPr>
        <w:pStyle w:val="Heading2"/>
      </w:pPr>
      <w:r w:rsidRPr="00781112">
        <w:t>1</w:t>
      </w:r>
      <w:r w:rsidR="00684B51" w:rsidRPr="00781112">
        <w:t xml:space="preserve"> </w:t>
      </w:r>
      <w:r w:rsidRPr="00781112">
        <w:t xml:space="preserve">- </w:t>
      </w:r>
      <w:r w:rsidR="007742F1" w:rsidRPr="00781112">
        <w:t xml:space="preserve">Indicator </w:t>
      </w:r>
      <w:r w:rsidR="00B34EE6" w:rsidRPr="00781112">
        <w:t xml:space="preserve">Data </w:t>
      </w:r>
    </w:p>
    <w:bookmarkEnd w:id="3"/>
    <w:p w14:paraId="7BB99CB8" w14:textId="1745E070" w:rsidR="005E59DB" w:rsidRPr="00781112" w:rsidRDefault="005E59DB" w:rsidP="00B65C2C">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1BASELINEDATA"/>
      </w:tblPr>
      <w:tblGrid>
        <w:gridCol w:w="1797"/>
        <w:gridCol w:w="1798"/>
      </w:tblGrid>
      <w:tr w:rsidR="008F3F33" w:rsidRPr="00781112" w14:paraId="58873103" w14:textId="77777777" w:rsidTr="0033429D">
        <w:trPr>
          <w:trHeight w:val="311"/>
          <w:tblHeader/>
        </w:trPr>
        <w:tc>
          <w:tcPr>
            <w:tcW w:w="1797" w:type="dxa"/>
          </w:tcPr>
          <w:p w14:paraId="3521E7AE" w14:textId="2CED297B" w:rsidR="008F3F33" w:rsidRPr="00781112" w:rsidRDefault="008F3F33" w:rsidP="0033429D">
            <w:pPr>
              <w:jc w:val="center"/>
              <w:rPr>
                <w:b/>
                <w:color w:val="000000" w:themeColor="text1"/>
              </w:rPr>
            </w:pPr>
            <w:r w:rsidRPr="00781112">
              <w:rPr>
                <w:rFonts w:cs="Arial"/>
                <w:b/>
                <w:color w:val="000000" w:themeColor="text1"/>
                <w:szCs w:val="16"/>
              </w:rPr>
              <w:t>Baseline Year</w:t>
            </w:r>
          </w:p>
        </w:tc>
        <w:tc>
          <w:tcPr>
            <w:tcW w:w="1798" w:type="dxa"/>
          </w:tcPr>
          <w:p w14:paraId="70C1DEA4" w14:textId="362D12BF" w:rsidR="008F3F33" w:rsidRPr="00781112" w:rsidRDefault="008F3F33" w:rsidP="0033429D">
            <w:pPr>
              <w:jc w:val="center"/>
              <w:rPr>
                <w:b/>
                <w:color w:val="000000" w:themeColor="text1"/>
              </w:rPr>
            </w:pPr>
            <w:r w:rsidRPr="00781112">
              <w:rPr>
                <w:b/>
                <w:color w:val="000000" w:themeColor="text1"/>
              </w:rPr>
              <w:t>Baseline Data</w:t>
            </w:r>
          </w:p>
        </w:tc>
      </w:tr>
      <w:tr w:rsidR="008F3F33" w:rsidRPr="00781112" w14:paraId="1079C891" w14:textId="77777777" w:rsidTr="0033429D">
        <w:trPr>
          <w:trHeight w:val="311"/>
        </w:trPr>
        <w:tc>
          <w:tcPr>
            <w:tcW w:w="1797" w:type="dxa"/>
            <w:vAlign w:val="center"/>
          </w:tcPr>
          <w:p w14:paraId="55702E9C" w14:textId="3300C91F" w:rsidR="008F3F33" w:rsidRPr="00781112" w:rsidRDefault="008F3F33" w:rsidP="0033429D">
            <w:pPr>
              <w:jc w:val="center"/>
              <w:rPr>
                <w:b/>
                <w:color w:val="000000" w:themeColor="text1"/>
              </w:rPr>
            </w:pPr>
            <w:r w:rsidRPr="00781112">
              <w:rPr>
                <w:rFonts w:cs="Arial"/>
                <w:color w:val="000000" w:themeColor="text1"/>
                <w:szCs w:val="16"/>
              </w:rPr>
              <w:t>2020</w:t>
            </w:r>
          </w:p>
        </w:tc>
        <w:tc>
          <w:tcPr>
            <w:tcW w:w="1798" w:type="dxa"/>
            <w:vAlign w:val="center"/>
          </w:tcPr>
          <w:p w14:paraId="4BB8ED70" w14:textId="40307D5C" w:rsidR="008F3F33" w:rsidRPr="00781112" w:rsidRDefault="008F3F33" w:rsidP="0033429D">
            <w:pPr>
              <w:jc w:val="center"/>
              <w:rPr>
                <w:b/>
                <w:color w:val="000000" w:themeColor="text1"/>
              </w:rPr>
            </w:pPr>
            <w:r w:rsidRPr="00781112">
              <w:rPr>
                <w:rFonts w:cs="Arial"/>
                <w:color w:val="000000" w:themeColor="text1"/>
                <w:szCs w:val="16"/>
              </w:rPr>
              <w:t>76.45%</w:t>
            </w:r>
          </w:p>
        </w:tc>
      </w:tr>
    </w:tbl>
    <w:p w14:paraId="04BDDA65" w14:textId="77777777" w:rsidR="008F3F33" w:rsidRPr="00781112" w:rsidRDefault="008F3F33" w:rsidP="00B65C2C">
      <w:pPr>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HISTDATA"/>
      </w:tblPr>
      <w:tblGrid>
        <w:gridCol w:w="1798"/>
        <w:gridCol w:w="1798"/>
        <w:gridCol w:w="1798"/>
        <w:gridCol w:w="1798"/>
        <w:gridCol w:w="1798"/>
        <w:gridCol w:w="1800"/>
      </w:tblGrid>
      <w:tr w:rsidR="005C29F8" w:rsidRPr="00781112" w14:paraId="6EF7C6D0" w14:textId="1CEAEBAE" w:rsidTr="00087EB9">
        <w:trPr>
          <w:trHeight w:val="350"/>
        </w:trPr>
        <w:tc>
          <w:tcPr>
            <w:tcW w:w="833" w:type="pct"/>
            <w:tcBorders>
              <w:bottom w:val="single" w:sz="4" w:space="0" w:color="auto"/>
            </w:tcBorders>
            <w:shd w:val="clear" w:color="auto" w:fill="auto"/>
          </w:tcPr>
          <w:p w14:paraId="4483C39A" w14:textId="77777777" w:rsidR="007F24E2" w:rsidRPr="00781112" w:rsidRDefault="007F24E2" w:rsidP="00CD2DF5">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0DF3D5A6" w14:textId="2DA8A75D" w:rsidR="007F24E2" w:rsidRPr="00781112" w:rsidRDefault="002B7490" w:rsidP="00894709">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5E57E797" w14:textId="6309195B" w:rsidR="007F24E2" w:rsidRPr="00781112" w:rsidRDefault="002B7490" w:rsidP="00894709">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6D5C8516" w14:textId="2F8BF9E2" w:rsidR="007F24E2" w:rsidRPr="00781112" w:rsidRDefault="002B7490" w:rsidP="00894709">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116A9927" w14:textId="1D308C81" w:rsidR="007F24E2" w:rsidRPr="00781112" w:rsidRDefault="002B7490" w:rsidP="00894709">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41821FE5" w14:textId="02E4CA44" w:rsidR="007F24E2" w:rsidRPr="00781112" w:rsidRDefault="002B7490" w:rsidP="00894709">
            <w:pPr>
              <w:jc w:val="center"/>
              <w:rPr>
                <w:rFonts w:cs="Arial"/>
                <w:b/>
                <w:color w:val="000000" w:themeColor="text1"/>
                <w:szCs w:val="16"/>
              </w:rPr>
            </w:pPr>
            <w:r w:rsidRPr="00781112">
              <w:rPr>
                <w:rFonts w:cs="Arial"/>
                <w:b/>
                <w:color w:val="000000" w:themeColor="text1"/>
                <w:szCs w:val="16"/>
              </w:rPr>
              <w:t>2019</w:t>
            </w:r>
          </w:p>
        </w:tc>
      </w:tr>
      <w:tr w:rsidR="005C29F8" w:rsidRPr="00781112" w14:paraId="69850889" w14:textId="5FBD9A23" w:rsidTr="0033429D">
        <w:trPr>
          <w:trHeight w:val="357"/>
        </w:trPr>
        <w:tc>
          <w:tcPr>
            <w:tcW w:w="833" w:type="pct"/>
            <w:shd w:val="clear" w:color="auto" w:fill="auto"/>
            <w:vAlign w:val="center"/>
          </w:tcPr>
          <w:p w14:paraId="329304B6" w14:textId="1D4FEA84" w:rsidR="007F24E2" w:rsidRPr="00781112" w:rsidRDefault="007F24E2" w:rsidP="004369B2">
            <w:pPr>
              <w:rPr>
                <w:rFonts w:cs="Arial"/>
                <w:color w:val="000000" w:themeColor="text1"/>
                <w:szCs w:val="16"/>
              </w:rPr>
            </w:pPr>
            <w:r w:rsidRPr="00781112">
              <w:rPr>
                <w:rFonts w:cs="Arial"/>
                <w:color w:val="000000" w:themeColor="text1"/>
                <w:szCs w:val="16"/>
              </w:rPr>
              <w:t>Target &gt;=</w:t>
            </w:r>
          </w:p>
        </w:tc>
        <w:tc>
          <w:tcPr>
            <w:tcW w:w="833" w:type="pct"/>
            <w:shd w:val="clear" w:color="auto" w:fill="auto"/>
            <w:vAlign w:val="center"/>
          </w:tcPr>
          <w:p w14:paraId="4D288A5D" w14:textId="1DE49DCD" w:rsidR="007F24E2" w:rsidRPr="00781112" w:rsidRDefault="002B7490" w:rsidP="00E0321D">
            <w:pPr>
              <w:jc w:val="center"/>
              <w:rPr>
                <w:rFonts w:cs="Arial"/>
                <w:color w:val="000000" w:themeColor="text1"/>
                <w:szCs w:val="16"/>
              </w:rPr>
            </w:pPr>
            <w:r w:rsidRPr="00781112">
              <w:rPr>
                <w:rFonts w:cs="Arial"/>
                <w:color w:val="000000" w:themeColor="text1"/>
                <w:szCs w:val="16"/>
              </w:rPr>
              <w:t>42.00%</w:t>
            </w:r>
          </w:p>
        </w:tc>
        <w:tc>
          <w:tcPr>
            <w:tcW w:w="833" w:type="pct"/>
            <w:shd w:val="clear" w:color="auto" w:fill="auto"/>
            <w:vAlign w:val="center"/>
          </w:tcPr>
          <w:p w14:paraId="2751003B" w14:textId="66867EC3" w:rsidR="007F24E2" w:rsidRPr="00781112" w:rsidRDefault="002B7490" w:rsidP="00E0321D">
            <w:pPr>
              <w:jc w:val="center"/>
              <w:rPr>
                <w:rFonts w:cs="Arial"/>
                <w:color w:val="000000" w:themeColor="text1"/>
                <w:szCs w:val="16"/>
              </w:rPr>
            </w:pPr>
            <w:r w:rsidRPr="00781112">
              <w:rPr>
                <w:rFonts w:cs="Arial"/>
                <w:color w:val="000000" w:themeColor="text1"/>
                <w:szCs w:val="16"/>
              </w:rPr>
              <w:t>44.00%</w:t>
            </w:r>
          </w:p>
        </w:tc>
        <w:tc>
          <w:tcPr>
            <w:tcW w:w="833" w:type="pct"/>
            <w:shd w:val="clear" w:color="auto" w:fill="auto"/>
            <w:vAlign w:val="center"/>
          </w:tcPr>
          <w:p w14:paraId="6982A73B" w14:textId="50B9EF02" w:rsidR="007F24E2" w:rsidRPr="00781112" w:rsidRDefault="002B7490" w:rsidP="00E0321D">
            <w:pPr>
              <w:jc w:val="center"/>
              <w:rPr>
                <w:rFonts w:cs="Arial"/>
                <w:color w:val="000000" w:themeColor="text1"/>
                <w:szCs w:val="16"/>
              </w:rPr>
            </w:pPr>
            <w:r w:rsidRPr="00781112">
              <w:rPr>
                <w:rFonts w:cs="Arial"/>
                <w:color w:val="000000" w:themeColor="text1"/>
                <w:szCs w:val="16"/>
              </w:rPr>
              <w:t>46.00%</w:t>
            </w:r>
          </w:p>
        </w:tc>
        <w:tc>
          <w:tcPr>
            <w:tcW w:w="833" w:type="pct"/>
            <w:shd w:val="clear" w:color="auto" w:fill="auto"/>
            <w:vAlign w:val="center"/>
          </w:tcPr>
          <w:p w14:paraId="54566D6E" w14:textId="0812F659" w:rsidR="007F24E2" w:rsidRPr="00781112" w:rsidRDefault="002B7490" w:rsidP="00E0321D">
            <w:pPr>
              <w:jc w:val="center"/>
              <w:rPr>
                <w:rFonts w:cs="Arial"/>
                <w:color w:val="000000" w:themeColor="text1"/>
                <w:szCs w:val="16"/>
              </w:rPr>
            </w:pPr>
            <w:r w:rsidRPr="00781112">
              <w:rPr>
                <w:rFonts w:cs="Arial"/>
                <w:color w:val="000000" w:themeColor="text1"/>
                <w:szCs w:val="16"/>
              </w:rPr>
              <w:t>48.00%</w:t>
            </w:r>
          </w:p>
        </w:tc>
        <w:tc>
          <w:tcPr>
            <w:tcW w:w="834" w:type="pct"/>
            <w:shd w:val="clear" w:color="auto" w:fill="auto"/>
            <w:vAlign w:val="center"/>
          </w:tcPr>
          <w:p w14:paraId="12B0FD7D" w14:textId="7E3C835D" w:rsidR="007F24E2" w:rsidRPr="00781112" w:rsidRDefault="002B7490" w:rsidP="00E0321D">
            <w:pPr>
              <w:jc w:val="center"/>
              <w:rPr>
                <w:rFonts w:cs="Arial"/>
                <w:color w:val="000000" w:themeColor="text1"/>
                <w:szCs w:val="16"/>
              </w:rPr>
            </w:pPr>
            <w:r w:rsidRPr="00781112">
              <w:rPr>
                <w:rFonts w:cs="Arial"/>
                <w:color w:val="000000" w:themeColor="text1"/>
                <w:szCs w:val="16"/>
              </w:rPr>
              <w:t>50.00%</w:t>
            </w:r>
          </w:p>
        </w:tc>
      </w:tr>
      <w:tr w:rsidR="005C29F8" w:rsidRPr="00781112" w14:paraId="146BC5C2" w14:textId="426AC9C6" w:rsidTr="0033429D">
        <w:trPr>
          <w:trHeight w:val="85"/>
        </w:trPr>
        <w:tc>
          <w:tcPr>
            <w:tcW w:w="833" w:type="pct"/>
            <w:shd w:val="clear" w:color="auto" w:fill="auto"/>
            <w:vAlign w:val="center"/>
          </w:tcPr>
          <w:p w14:paraId="2FA56C27" w14:textId="77777777" w:rsidR="007F24E2" w:rsidRPr="00781112" w:rsidRDefault="007F24E2" w:rsidP="004369B2">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7832DBB9" w14:textId="0E41C477" w:rsidR="007F24E2" w:rsidRPr="00781112" w:rsidRDefault="002B7490" w:rsidP="00E0321D">
            <w:pPr>
              <w:jc w:val="center"/>
              <w:rPr>
                <w:rFonts w:cs="Arial"/>
                <w:color w:val="000000" w:themeColor="text1"/>
                <w:szCs w:val="16"/>
              </w:rPr>
            </w:pPr>
            <w:r w:rsidRPr="00781112">
              <w:rPr>
                <w:rFonts w:cs="Arial"/>
                <w:color w:val="000000" w:themeColor="text1"/>
                <w:szCs w:val="16"/>
              </w:rPr>
              <w:t>44.30%</w:t>
            </w:r>
          </w:p>
        </w:tc>
        <w:tc>
          <w:tcPr>
            <w:tcW w:w="833" w:type="pct"/>
            <w:shd w:val="clear" w:color="auto" w:fill="auto"/>
            <w:vAlign w:val="center"/>
          </w:tcPr>
          <w:p w14:paraId="522433F4" w14:textId="15824FD9" w:rsidR="007F24E2" w:rsidRPr="00781112" w:rsidRDefault="002B7490" w:rsidP="00E0321D">
            <w:pPr>
              <w:jc w:val="center"/>
              <w:rPr>
                <w:rFonts w:cs="Arial"/>
                <w:color w:val="000000" w:themeColor="text1"/>
                <w:szCs w:val="16"/>
              </w:rPr>
            </w:pPr>
            <w:r w:rsidRPr="00781112">
              <w:rPr>
                <w:rFonts w:cs="Arial"/>
                <w:color w:val="000000" w:themeColor="text1"/>
                <w:szCs w:val="16"/>
              </w:rPr>
              <w:t>46.64%</w:t>
            </w:r>
          </w:p>
        </w:tc>
        <w:tc>
          <w:tcPr>
            <w:tcW w:w="833" w:type="pct"/>
            <w:tcBorders>
              <w:bottom w:val="single" w:sz="4" w:space="0" w:color="auto"/>
            </w:tcBorders>
            <w:shd w:val="clear" w:color="auto" w:fill="auto"/>
            <w:vAlign w:val="center"/>
          </w:tcPr>
          <w:p w14:paraId="51E9F945" w14:textId="1DED232A" w:rsidR="007F24E2" w:rsidRPr="00781112" w:rsidRDefault="002B7490" w:rsidP="00E0321D">
            <w:pPr>
              <w:jc w:val="center"/>
              <w:rPr>
                <w:rFonts w:cs="Arial"/>
                <w:color w:val="000000" w:themeColor="text1"/>
                <w:szCs w:val="16"/>
              </w:rPr>
            </w:pPr>
            <w:r w:rsidRPr="00781112">
              <w:rPr>
                <w:rFonts w:cs="Arial"/>
                <w:color w:val="000000" w:themeColor="text1"/>
                <w:szCs w:val="16"/>
              </w:rPr>
              <w:t>52.50%</w:t>
            </w:r>
          </w:p>
        </w:tc>
        <w:tc>
          <w:tcPr>
            <w:tcW w:w="833" w:type="pct"/>
            <w:tcBorders>
              <w:bottom w:val="single" w:sz="4" w:space="0" w:color="auto"/>
            </w:tcBorders>
            <w:shd w:val="clear" w:color="auto" w:fill="auto"/>
            <w:vAlign w:val="center"/>
          </w:tcPr>
          <w:p w14:paraId="180CBFE9" w14:textId="01D5E7B3" w:rsidR="007F24E2" w:rsidRPr="00781112" w:rsidRDefault="002B7490" w:rsidP="00E0321D">
            <w:pPr>
              <w:jc w:val="center"/>
              <w:rPr>
                <w:rFonts w:cs="Arial"/>
                <w:color w:val="000000" w:themeColor="text1"/>
                <w:szCs w:val="16"/>
              </w:rPr>
            </w:pPr>
            <w:r w:rsidRPr="00781112">
              <w:rPr>
                <w:rFonts w:cs="Arial"/>
                <w:color w:val="000000" w:themeColor="text1"/>
                <w:szCs w:val="16"/>
              </w:rPr>
              <w:t>59.29%</w:t>
            </w:r>
          </w:p>
        </w:tc>
        <w:tc>
          <w:tcPr>
            <w:tcW w:w="834" w:type="pct"/>
            <w:tcBorders>
              <w:bottom w:val="single" w:sz="4" w:space="0" w:color="auto"/>
            </w:tcBorders>
            <w:shd w:val="clear" w:color="auto" w:fill="auto"/>
            <w:vAlign w:val="center"/>
          </w:tcPr>
          <w:p w14:paraId="3C2AFA14" w14:textId="153E7CE5" w:rsidR="007F24E2" w:rsidRPr="00781112" w:rsidRDefault="002B7490" w:rsidP="00E0321D">
            <w:pPr>
              <w:jc w:val="center"/>
              <w:rPr>
                <w:rFonts w:cs="Arial"/>
                <w:color w:val="000000" w:themeColor="text1"/>
                <w:szCs w:val="16"/>
              </w:rPr>
            </w:pPr>
            <w:r w:rsidRPr="00781112">
              <w:rPr>
                <w:rFonts w:cs="Arial"/>
                <w:color w:val="000000" w:themeColor="text1"/>
                <w:szCs w:val="16"/>
              </w:rPr>
              <w:t>64.73%</w:t>
            </w:r>
          </w:p>
        </w:tc>
      </w:tr>
    </w:tbl>
    <w:p w14:paraId="43E7AA4B" w14:textId="77777777" w:rsidR="00654A4B" w:rsidRPr="00781112" w:rsidRDefault="00654A4B" w:rsidP="00B65C2C">
      <w:pPr>
        <w:rPr>
          <w:color w:val="000000" w:themeColor="text1"/>
        </w:rPr>
      </w:pPr>
    </w:p>
    <w:p w14:paraId="058E572E" w14:textId="747B93F2" w:rsidR="005E59DB" w:rsidRPr="00781112" w:rsidRDefault="005E59DB" w:rsidP="00B65C2C">
      <w:pPr>
        <w:rPr>
          <w:b/>
          <w:color w:val="000000" w:themeColor="text1"/>
        </w:rPr>
      </w:pPr>
      <w:r w:rsidRPr="00781112">
        <w:rPr>
          <w:b/>
          <w:color w:val="000000" w:themeColor="text1"/>
        </w:rPr>
        <w:t>Targets</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TARGETS"/>
      </w:tblPr>
      <w:tblGrid>
        <w:gridCol w:w="1156"/>
        <w:gridCol w:w="1610"/>
        <w:gridCol w:w="1610"/>
        <w:gridCol w:w="1610"/>
        <w:gridCol w:w="1610"/>
        <w:gridCol w:w="1609"/>
        <w:gridCol w:w="1609"/>
      </w:tblGrid>
      <w:tr w:rsidR="00373F78" w:rsidRPr="00781112" w14:paraId="2AA1A231" w14:textId="4E09135F" w:rsidTr="00087EB9">
        <w:trPr>
          <w:trHeight w:val="366"/>
        </w:trPr>
        <w:tc>
          <w:tcPr>
            <w:tcW w:w="534" w:type="pct"/>
            <w:tcBorders>
              <w:bottom w:val="single" w:sz="4" w:space="0" w:color="auto"/>
            </w:tcBorders>
            <w:shd w:val="clear" w:color="auto" w:fill="auto"/>
          </w:tcPr>
          <w:p w14:paraId="40B33FED" w14:textId="77777777" w:rsidR="00373F78" w:rsidRPr="00781112" w:rsidRDefault="00373F78" w:rsidP="00373F78">
            <w:pPr>
              <w:jc w:val="center"/>
              <w:rPr>
                <w:b/>
                <w:color w:val="000000" w:themeColor="text1"/>
              </w:rPr>
            </w:pPr>
            <w:r w:rsidRPr="00781112">
              <w:rPr>
                <w:b/>
                <w:color w:val="000000" w:themeColor="text1"/>
              </w:rPr>
              <w:t>FFY</w:t>
            </w:r>
          </w:p>
        </w:tc>
        <w:tc>
          <w:tcPr>
            <w:tcW w:w="744" w:type="pct"/>
            <w:shd w:val="clear" w:color="auto" w:fill="auto"/>
          </w:tcPr>
          <w:p w14:paraId="71086D9D" w14:textId="38ED494E" w:rsidR="00373F78" w:rsidRPr="00781112" w:rsidRDefault="00373F78" w:rsidP="00373F78">
            <w:pPr>
              <w:jc w:val="center"/>
              <w:rPr>
                <w:b/>
                <w:color w:val="000000" w:themeColor="text1"/>
              </w:rPr>
            </w:pPr>
            <w:r w:rsidRPr="00781112">
              <w:rPr>
                <w:b/>
                <w:color w:val="000000" w:themeColor="text1"/>
              </w:rPr>
              <w:t>2020</w:t>
            </w:r>
          </w:p>
        </w:tc>
        <w:tc>
          <w:tcPr>
            <w:tcW w:w="744" w:type="pct"/>
          </w:tcPr>
          <w:p w14:paraId="4D39066B" w14:textId="301F6A49" w:rsidR="00373F78" w:rsidRPr="00781112" w:rsidRDefault="00373F78" w:rsidP="00373F78">
            <w:pPr>
              <w:jc w:val="center"/>
              <w:rPr>
                <w:b/>
                <w:color w:val="000000" w:themeColor="text1"/>
              </w:rPr>
            </w:pPr>
            <w:r w:rsidRPr="00781112">
              <w:rPr>
                <w:rFonts w:cs="Arial"/>
                <w:b/>
                <w:color w:val="000000" w:themeColor="text1"/>
                <w:szCs w:val="16"/>
              </w:rPr>
              <w:t>2021</w:t>
            </w:r>
          </w:p>
        </w:tc>
        <w:tc>
          <w:tcPr>
            <w:tcW w:w="744" w:type="pct"/>
          </w:tcPr>
          <w:p w14:paraId="1FB807B9" w14:textId="403D43E4" w:rsidR="00373F78" w:rsidRPr="00781112" w:rsidRDefault="00373F78" w:rsidP="00373F78">
            <w:pPr>
              <w:jc w:val="center"/>
              <w:rPr>
                <w:b/>
                <w:color w:val="000000" w:themeColor="text1"/>
              </w:rPr>
            </w:pPr>
            <w:r w:rsidRPr="00781112">
              <w:rPr>
                <w:rFonts w:cs="Arial"/>
                <w:b/>
                <w:color w:val="000000" w:themeColor="text1"/>
                <w:szCs w:val="16"/>
              </w:rPr>
              <w:t>2022</w:t>
            </w:r>
          </w:p>
        </w:tc>
        <w:tc>
          <w:tcPr>
            <w:tcW w:w="744" w:type="pct"/>
          </w:tcPr>
          <w:p w14:paraId="720CF74E" w14:textId="096265B6" w:rsidR="00373F78" w:rsidRPr="00781112" w:rsidRDefault="00373F78" w:rsidP="00373F78">
            <w:pPr>
              <w:jc w:val="center"/>
              <w:rPr>
                <w:b/>
                <w:color w:val="000000" w:themeColor="text1"/>
              </w:rPr>
            </w:pPr>
            <w:r w:rsidRPr="00781112">
              <w:rPr>
                <w:rFonts w:cs="Arial"/>
                <w:b/>
                <w:color w:val="000000" w:themeColor="text1"/>
                <w:szCs w:val="16"/>
              </w:rPr>
              <w:t>2023</w:t>
            </w:r>
          </w:p>
        </w:tc>
        <w:tc>
          <w:tcPr>
            <w:tcW w:w="744" w:type="pct"/>
          </w:tcPr>
          <w:p w14:paraId="767866E4" w14:textId="1EE4AF77" w:rsidR="00373F78" w:rsidRPr="00781112" w:rsidRDefault="00373F78" w:rsidP="00373F78">
            <w:pPr>
              <w:jc w:val="center"/>
              <w:rPr>
                <w:b/>
                <w:color w:val="000000" w:themeColor="text1"/>
              </w:rPr>
            </w:pPr>
            <w:r w:rsidRPr="00781112">
              <w:rPr>
                <w:rFonts w:cs="Arial"/>
                <w:b/>
                <w:color w:val="000000" w:themeColor="text1"/>
                <w:szCs w:val="16"/>
              </w:rPr>
              <w:t>2024</w:t>
            </w:r>
          </w:p>
        </w:tc>
        <w:tc>
          <w:tcPr>
            <w:tcW w:w="744" w:type="pct"/>
          </w:tcPr>
          <w:p w14:paraId="041026E7" w14:textId="462C327C" w:rsidR="00373F78" w:rsidRPr="00781112" w:rsidRDefault="00373F78" w:rsidP="00373F78">
            <w:pPr>
              <w:jc w:val="center"/>
              <w:rPr>
                <w:b/>
                <w:color w:val="000000" w:themeColor="text1"/>
              </w:rPr>
            </w:pPr>
            <w:r w:rsidRPr="00781112">
              <w:rPr>
                <w:rFonts w:cs="Arial"/>
                <w:b/>
                <w:color w:val="000000" w:themeColor="text1"/>
                <w:szCs w:val="16"/>
              </w:rPr>
              <w:t>2025</w:t>
            </w:r>
          </w:p>
        </w:tc>
      </w:tr>
      <w:tr w:rsidR="00373F78" w:rsidRPr="00781112" w14:paraId="30C65E4A" w14:textId="7AB118F2" w:rsidTr="00373F78">
        <w:trPr>
          <w:trHeight w:val="374"/>
        </w:trPr>
        <w:tc>
          <w:tcPr>
            <w:tcW w:w="534" w:type="pct"/>
            <w:shd w:val="clear" w:color="auto" w:fill="auto"/>
            <w:vAlign w:val="center"/>
          </w:tcPr>
          <w:p w14:paraId="15D80559" w14:textId="5A8166E8" w:rsidR="00373F78" w:rsidRPr="00781112" w:rsidRDefault="00373F78" w:rsidP="00373F78">
            <w:pPr>
              <w:rPr>
                <w:rFonts w:cs="Arial"/>
                <w:color w:val="000000" w:themeColor="text1"/>
                <w:szCs w:val="16"/>
              </w:rPr>
            </w:pPr>
            <w:r w:rsidRPr="00781112">
              <w:rPr>
                <w:rFonts w:cs="Arial"/>
                <w:color w:val="000000" w:themeColor="text1"/>
                <w:szCs w:val="16"/>
              </w:rPr>
              <w:t>Target &gt;=</w:t>
            </w:r>
          </w:p>
        </w:tc>
        <w:tc>
          <w:tcPr>
            <w:tcW w:w="744" w:type="pct"/>
            <w:shd w:val="clear" w:color="auto" w:fill="auto"/>
            <w:vAlign w:val="center"/>
          </w:tcPr>
          <w:p w14:paraId="5C1E2097" w14:textId="7100F4DF" w:rsidR="00373F78" w:rsidRPr="00781112" w:rsidRDefault="00373F78" w:rsidP="00373F78">
            <w:pPr>
              <w:jc w:val="center"/>
              <w:rPr>
                <w:rFonts w:cs="Arial"/>
                <w:color w:val="000000" w:themeColor="text1"/>
                <w:szCs w:val="16"/>
              </w:rPr>
            </w:pPr>
            <w:r w:rsidRPr="00781112">
              <w:rPr>
                <w:rFonts w:cs="Arial"/>
                <w:color w:val="000000" w:themeColor="text1"/>
                <w:szCs w:val="16"/>
              </w:rPr>
              <w:t>76.00%</w:t>
            </w:r>
          </w:p>
        </w:tc>
        <w:tc>
          <w:tcPr>
            <w:tcW w:w="744" w:type="pct"/>
          </w:tcPr>
          <w:p w14:paraId="7717027B" w14:textId="1C4C1650" w:rsidR="00373F78" w:rsidRPr="00781112" w:rsidRDefault="00373F78" w:rsidP="00373F78">
            <w:pPr>
              <w:jc w:val="center"/>
              <w:rPr>
                <w:rFonts w:cs="Arial"/>
                <w:color w:val="000000" w:themeColor="text1"/>
                <w:szCs w:val="16"/>
              </w:rPr>
            </w:pPr>
            <w:r w:rsidRPr="00781112">
              <w:rPr>
                <w:color w:val="000000" w:themeColor="text1"/>
                <w:szCs w:val="16"/>
              </w:rPr>
              <w:t>78.00%</w:t>
            </w:r>
          </w:p>
        </w:tc>
        <w:tc>
          <w:tcPr>
            <w:tcW w:w="744" w:type="pct"/>
          </w:tcPr>
          <w:p w14:paraId="48C73194" w14:textId="78C93C75" w:rsidR="00373F78" w:rsidRPr="00781112" w:rsidRDefault="00373F78" w:rsidP="00373F78">
            <w:pPr>
              <w:jc w:val="center"/>
              <w:rPr>
                <w:rFonts w:cs="Arial"/>
                <w:color w:val="000000" w:themeColor="text1"/>
                <w:szCs w:val="16"/>
              </w:rPr>
            </w:pPr>
            <w:r w:rsidRPr="00781112">
              <w:rPr>
                <w:color w:val="000000" w:themeColor="text1"/>
                <w:szCs w:val="16"/>
              </w:rPr>
              <w:t>80.00%</w:t>
            </w:r>
          </w:p>
        </w:tc>
        <w:tc>
          <w:tcPr>
            <w:tcW w:w="744" w:type="pct"/>
          </w:tcPr>
          <w:p w14:paraId="1CC5CF36" w14:textId="47158C2B" w:rsidR="00373F78" w:rsidRPr="00781112" w:rsidRDefault="00373F78" w:rsidP="00373F78">
            <w:pPr>
              <w:jc w:val="center"/>
              <w:rPr>
                <w:rFonts w:cs="Arial"/>
                <w:color w:val="000000" w:themeColor="text1"/>
                <w:szCs w:val="16"/>
              </w:rPr>
            </w:pPr>
            <w:r w:rsidRPr="00781112">
              <w:rPr>
                <w:color w:val="000000" w:themeColor="text1"/>
                <w:szCs w:val="16"/>
              </w:rPr>
              <w:t>82.00%</w:t>
            </w:r>
          </w:p>
        </w:tc>
        <w:tc>
          <w:tcPr>
            <w:tcW w:w="744" w:type="pct"/>
          </w:tcPr>
          <w:p w14:paraId="6BAB194A" w14:textId="42E53978" w:rsidR="00373F78" w:rsidRPr="00781112" w:rsidRDefault="00373F78" w:rsidP="00373F78">
            <w:pPr>
              <w:jc w:val="center"/>
              <w:rPr>
                <w:rFonts w:cs="Arial"/>
                <w:color w:val="000000" w:themeColor="text1"/>
                <w:szCs w:val="16"/>
              </w:rPr>
            </w:pPr>
            <w:r w:rsidRPr="00781112">
              <w:rPr>
                <w:color w:val="000000" w:themeColor="text1"/>
                <w:szCs w:val="16"/>
              </w:rPr>
              <w:t>84.00%</w:t>
            </w:r>
          </w:p>
        </w:tc>
        <w:tc>
          <w:tcPr>
            <w:tcW w:w="744" w:type="pct"/>
          </w:tcPr>
          <w:p w14:paraId="1DF62173" w14:textId="4E964E44" w:rsidR="00373F78" w:rsidRPr="00781112" w:rsidRDefault="00373F78" w:rsidP="00373F78">
            <w:pPr>
              <w:jc w:val="center"/>
              <w:rPr>
                <w:rFonts w:cs="Arial"/>
                <w:color w:val="000000" w:themeColor="text1"/>
                <w:szCs w:val="16"/>
              </w:rPr>
            </w:pPr>
            <w:r w:rsidRPr="00781112">
              <w:rPr>
                <w:color w:val="000000" w:themeColor="text1"/>
                <w:szCs w:val="16"/>
              </w:rPr>
              <w:t>86.00%</w:t>
            </w:r>
          </w:p>
        </w:tc>
      </w:tr>
    </w:tbl>
    <w:p w14:paraId="346A80A2" w14:textId="77777777" w:rsidR="00654A4B" w:rsidRPr="00781112" w:rsidRDefault="00654A4B" w:rsidP="004369B2">
      <w:pPr>
        <w:rPr>
          <w:color w:val="000000" w:themeColor="text1"/>
        </w:rPr>
      </w:pPr>
    </w:p>
    <w:p w14:paraId="451C0051" w14:textId="1929A141" w:rsidR="005E59DB" w:rsidRPr="00781112" w:rsidRDefault="005E59DB">
      <w:pPr>
        <w:rPr>
          <w:b/>
          <w:color w:val="000000" w:themeColor="text1"/>
        </w:rPr>
      </w:pPr>
      <w:r w:rsidRPr="00781112">
        <w:rPr>
          <w:b/>
          <w:color w:val="000000" w:themeColor="text1"/>
        </w:rPr>
        <w:t xml:space="preserve">Targets: Description of Stakeholder Input </w:t>
      </w:r>
    </w:p>
    <w:p w14:paraId="2B946CE6" w14:textId="3BAAFC14" w:rsidR="0051170F" w:rsidRPr="00781112" w:rsidRDefault="0051170F" w:rsidP="004369B2">
      <w:pPr>
        <w:rPr>
          <w:rFonts w:cs="Arial"/>
          <w:color w:val="000000" w:themeColor="text1"/>
          <w:szCs w:val="16"/>
        </w:rPr>
      </w:pPr>
      <w:r w:rsidRPr="00781112">
        <w:rPr>
          <w:rFonts w:cs="Arial"/>
          <w:color w:val="000000" w:themeColor="text1"/>
          <w:szCs w:val="16"/>
        </w:rPr>
        <w:t>Louisiana has developed a comprehensive vision for the future of education in our state—Louisiana Believes. The driving force of this vision is that every one of Louisiana’s children should be on track to a college degree or a professional career. This inclusive vision and Louisiana’s values were apparent in the development of the SPP as we solicited and received broad stakeholder input to inform the target setting process for FFY 2020 - FFY 2025. The LDOE used three phases to develop the SPP targets for FFY 2020 - FFY 2025: 1) internal review, 2) external stakeholder feedback, and 3) Special Education Advisory Panel (SEAP) integration.</w:t>
      </w:r>
      <w:r w:rsidRPr="00781112">
        <w:rPr>
          <w:rFonts w:cs="Arial"/>
          <w:color w:val="000000" w:themeColor="text1"/>
          <w:szCs w:val="16"/>
        </w:rPr>
        <w:br/>
      </w:r>
      <w:r w:rsidRPr="00781112">
        <w:rPr>
          <w:rFonts w:cs="Arial"/>
          <w:color w:val="000000" w:themeColor="text1"/>
          <w:szCs w:val="16"/>
        </w:rPr>
        <w:br/>
        <w:t xml:space="preserve">Internal Review </w:t>
      </w:r>
      <w:r w:rsidRPr="00781112">
        <w:rPr>
          <w:rFonts w:cs="Arial"/>
          <w:color w:val="000000" w:themeColor="text1"/>
          <w:szCs w:val="16"/>
        </w:rPr>
        <w:br/>
        <w:t xml:space="preserve">The LDOE's Division for Diverse Learners reviewed historical data and LDOE policies, procedures, and practices; and collaborated with internal teams to develop targets that were rigorous and attainable. </w:t>
      </w:r>
      <w:r w:rsidRPr="00781112">
        <w:rPr>
          <w:rFonts w:cs="Arial"/>
          <w:color w:val="000000" w:themeColor="text1"/>
          <w:szCs w:val="16"/>
        </w:rPr>
        <w:br/>
      </w:r>
      <w:r w:rsidRPr="00781112">
        <w:rPr>
          <w:rFonts w:cs="Arial"/>
          <w:color w:val="000000" w:themeColor="text1"/>
          <w:szCs w:val="16"/>
        </w:rPr>
        <w:br/>
        <w:t>External Stakeholder Feedback</w:t>
      </w:r>
      <w:r w:rsidRPr="00781112">
        <w:rPr>
          <w:rFonts w:cs="Arial"/>
          <w:color w:val="000000" w:themeColor="text1"/>
          <w:szCs w:val="16"/>
        </w:rPr>
        <w:br/>
        <w:t xml:space="preserve">The Division for Diverse Learners developed and executed an SPP/APR target setting engagement strategy to solicit broad stakeholder feedback on the FFY 2020 - FFY 2025 targets. The LDOE developed a State Performance Plan / Annual Performance Report Target Setting webpage on the Louisiana Believes website. The webpage contains an overview document with an explanation of each indicator, historical data for each indicator, and tables to clearly identify whether or not the State met targets for each indicator. After review of the overview document, a target setting survey was available for stakeholders to provide input on targets. </w:t>
      </w:r>
      <w:r w:rsidRPr="00781112">
        <w:rPr>
          <w:rFonts w:cs="Arial"/>
          <w:color w:val="000000" w:themeColor="text1"/>
          <w:szCs w:val="16"/>
        </w:rPr>
        <w:br/>
      </w:r>
      <w:r w:rsidRPr="00781112">
        <w:rPr>
          <w:rFonts w:cs="Arial"/>
          <w:color w:val="000000" w:themeColor="text1"/>
          <w:szCs w:val="16"/>
        </w:rPr>
        <w:br/>
        <w:t>SEAP Integration</w:t>
      </w:r>
      <w:r w:rsidRPr="00781112">
        <w:rPr>
          <w:rFonts w:cs="Arial"/>
          <w:color w:val="000000" w:themeColor="text1"/>
          <w:szCs w:val="16"/>
        </w:rPr>
        <w:br/>
        <w:t>The LDOE informed the SEAP on the target setting process at two separate meetings. LDOE provided an overview of each indicator along with historical data to SEAP members who provided input. SEAP's structure also allows for public comments, which were exercised at the meetings, providing external stakeholder feedback.</w:t>
      </w:r>
      <w:r w:rsidRPr="00781112">
        <w:rPr>
          <w:rFonts w:cs="Arial"/>
          <w:color w:val="000000" w:themeColor="text1"/>
          <w:szCs w:val="16"/>
        </w:rPr>
        <w:br/>
      </w:r>
      <w:r w:rsidRPr="00781112">
        <w:rPr>
          <w:rFonts w:cs="Arial"/>
          <w:color w:val="000000" w:themeColor="text1"/>
          <w:szCs w:val="16"/>
        </w:rPr>
        <w:br/>
        <w:t>The LDOE set targets based on feedback, historical data, and whether previous targets set were met. LDOE will continue to monitor data, targets, and changes to Indicator methodology, and may revise targets in the future, as necessary. Any revisions will incorporate stakeholder feedback, including, but not limited to, SEAP.</w:t>
      </w:r>
    </w:p>
    <w:p w14:paraId="6F475956" w14:textId="6AAE3895" w:rsidR="000C24C2" w:rsidRPr="00781112" w:rsidRDefault="000C24C2" w:rsidP="001011BB">
      <w:pPr>
        <w:rPr>
          <w:rFonts w:cs="Arial"/>
          <w:color w:val="000000" w:themeColor="text1"/>
          <w:szCs w:val="16"/>
        </w:rPr>
      </w:pPr>
    </w:p>
    <w:p w14:paraId="4026D322" w14:textId="77777777" w:rsidR="00654A4B" w:rsidRPr="00781112" w:rsidRDefault="00654A4B" w:rsidP="00B65C2C">
      <w:pPr>
        <w:rPr>
          <w:color w:val="000000" w:themeColor="text1"/>
        </w:rPr>
      </w:pPr>
    </w:p>
    <w:p w14:paraId="5BFE0C1F" w14:textId="74D590F4" w:rsidR="00995737" w:rsidRPr="00781112" w:rsidRDefault="00995737" w:rsidP="00B65C2C">
      <w:pPr>
        <w:rPr>
          <w:b/>
          <w:bCs/>
          <w:color w:val="000000" w:themeColor="text1"/>
        </w:rPr>
      </w:pPr>
      <w:r w:rsidRPr="00781112">
        <w:rPr>
          <w:b/>
          <w:bCs/>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PREPOPDATA"/>
      </w:tblPr>
      <w:tblGrid>
        <w:gridCol w:w="2909"/>
        <w:gridCol w:w="2130"/>
        <w:gridCol w:w="3507"/>
        <w:gridCol w:w="2244"/>
      </w:tblGrid>
      <w:tr w:rsidR="005C29F8" w:rsidRPr="00781112" w14:paraId="30F51C80" w14:textId="4B2A2ADB" w:rsidTr="00044B5C">
        <w:trPr>
          <w:trHeight w:val="372"/>
          <w:tblHeader/>
        </w:trPr>
        <w:tc>
          <w:tcPr>
            <w:tcW w:w="1348" w:type="pct"/>
            <w:shd w:val="clear" w:color="auto" w:fill="auto"/>
          </w:tcPr>
          <w:p w14:paraId="323D50E8" w14:textId="6779F814"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1C2B5F0" w14:textId="1D5140A6"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Date</w:t>
            </w:r>
          </w:p>
        </w:tc>
        <w:tc>
          <w:tcPr>
            <w:tcW w:w="1625" w:type="pct"/>
            <w:shd w:val="clear" w:color="auto" w:fill="auto"/>
          </w:tcPr>
          <w:p w14:paraId="1FC5546A" w14:textId="059B9945"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Description</w:t>
            </w:r>
          </w:p>
        </w:tc>
        <w:tc>
          <w:tcPr>
            <w:tcW w:w="1040" w:type="pct"/>
            <w:shd w:val="clear" w:color="auto" w:fill="auto"/>
          </w:tcPr>
          <w:p w14:paraId="189AD2F4" w14:textId="2C14B569"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Data</w:t>
            </w:r>
          </w:p>
        </w:tc>
      </w:tr>
      <w:tr w:rsidR="005A75AD" w:rsidRPr="00781112" w14:paraId="30B629CE" w14:textId="3D9C8EF1" w:rsidTr="00044B5C">
        <w:trPr>
          <w:trHeight w:val="380"/>
        </w:trPr>
        <w:tc>
          <w:tcPr>
            <w:tcW w:w="1348" w:type="pct"/>
            <w:shd w:val="clear" w:color="auto" w:fill="auto"/>
          </w:tcPr>
          <w:p w14:paraId="73323AED" w14:textId="61550716" w:rsidR="005A75AD" w:rsidRPr="00781112" w:rsidRDefault="005A75AD" w:rsidP="005A75AD">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5E976CB4" w14:textId="15FDC9EF" w:rsidR="005A75AD" w:rsidRPr="00781112" w:rsidRDefault="005A75AD" w:rsidP="005A75AD">
            <w:pPr>
              <w:jc w:val="center"/>
              <w:rPr>
                <w:rFonts w:cs="Arial"/>
                <w:color w:val="000000" w:themeColor="text1"/>
                <w:szCs w:val="16"/>
              </w:rPr>
            </w:pPr>
            <w:r w:rsidRPr="00781112">
              <w:rPr>
                <w:rFonts w:cs="Arial"/>
                <w:color w:val="000000" w:themeColor="text1"/>
                <w:szCs w:val="16"/>
              </w:rPr>
              <w:t>05/26/2021</w:t>
            </w:r>
          </w:p>
        </w:tc>
        <w:tc>
          <w:tcPr>
            <w:tcW w:w="1625" w:type="pct"/>
            <w:shd w:val="clear" w:color="auto" w:fill="auto"/>
          </w:tcPr>
          <w:p w14:paraId="01C211E9" w14:textId="4BA1367C"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graduating with a regular high school diploma (a)</w:t>
            </w:r>
          </w:p>
        </w:tc>
        <w:tc>
          <w:tcPr>
            <w:tcW w:w="1040" w:type="pct"/>
            <w:shd w:val="clear" w:color="auto" w:fill="auto"/>
          </w:tcPr>
          <w:p w14:paraId="18434B19" w14:textId="3271491A" w:rsidR="005A75AD" w:rsidRPr="00781112" w:rsidRDefault="005A75AD" w:rsidP="005A75AD">
            <w:pPr>
              <w:jc w:val="center"/>
              <w:rPr>
                <w:rFonts w:cs="Arial"/>
                <w:color w:val="000000" w:themeColor="text1"/>
                <w:szCs w:val="16"/>
              </w:rPr>
            </w:pPr>
            <w:r w:rsidRPr="00781112">
              <w:rPr>
                <w:rFonts w:cs="Arial"/>
                <w:color w:val="000000" w:themeColor="text1"/>
                <w:szCs w:val="16"/>
              </w:rPr>
              <w:t>2,753</w:t>
            </w:r>
          </w:p>
        </w:tc>
      </w:tr>
      <w:tr w:rsidR="005A75AD" w:rsidRPr="00781112" w14:paraId="2E9BAC4B" w14:textId="77777777" w:rsidTr="00044B5C">
        <w:trPr>
          <w:trHeight w:val="380"/>
        </w:trPr>
        <w:tc>
          <w:tcPr>
            <w:tcW w:w="1348" w:type="pct"/>
            <w:shd w:val="clear" w:color="auto" w:fill="auto"/>
          </w:tcPr>
          <w:p w14:paraId="019DE2CA" w14:textId="1C16E7CC" w:rsidR="005A75AD" w:rsidRPr="00781112" w:rsidRDefault="005A75AD" w:rsidP="005A75AD">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21121509" w14:textId="35C72B6A" w:rsidR="005A75AD" w:rsidRPr="00781112" w:rsidRDefault="005A75AD" w:rsidP="005A75AD">
            <w:pPr>
              <w:jc w:val="center"/>
              <w:rPr>
                <w:rFonts w:cs="Arial"/>
                <w:color w:val="000000" w:themeColor="text1"/>
                <w:szCs w:val="16"/>
              </w:rPr>
            </w:pPr>
            <w:r w:rsidRPr="00781112">
              <w:rPr>
                <w:rFonts w:cs="Arial"/>
                <w:color w:val="000000" w:themeColor="text1"/>
                <w:szCs w:val="16"/>
              </w:rPr>
              <w:t>05/26/2021</w:t>
            </w:r>
          </w:p>
        </w:tc>
        <w:tc>
          <w:tcPr>
            <w:tcW w:w="1625" w:type="pct"/>
            <w:shd w:val="clear" w:color="auto" w:fill="auto"/>
          </w:tcPr>
          <w:p w14:paraId="4DBDAFD8" w14:textId="70B6722B"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graduating with a state-defined alternate diploma (b)</w:t>
            </w:r>
          </w:p>
        </w:tc>
        <w:tc>
          <w:tcPr>
            <w:tcW w:w="1040" w:type="pct"/>
            <w:shd w:val="clear" w:color="auto" w:fill="auto"/>
          </w:tcPr>
          <w:p w14:paraId="010FD1F1" w14:textId="7C43793B" w:rsidR="005A75AD" w:rsidRPr="00781112" w:rsidRDefault="005A75AD" w:rsidP="005A75AD">
            <w:pPr>
              <w:jc w:val="center"/>
              <w:rPr>
                <w:rFonts w:cs="Arial"/>
                <w:color w:val="000000" w:themeColor="text1"/>
                <w:szCs w:val="16"/>
              </w:rPr>
            </w:pPr>
            <w:r w:rsidRPr="00781112">
              <w:rPr>
                <w:rFonts w:cs="Arial"/>
                <w:color w:val="000000" w:themeColor="text1"/>
                <w:szCs w:val="16"/>
              </w:rPr>
              <w:t>0</w:t>
            </w:r>
          </w:p>
        </w:tc>
      </w:tr>
      <w:tr w:rsidR="005A75AD" w:rsidRPr="00781112" w14:paraId="032776B0" w14:textId="77777777" w:rsidTr="00044B5C">
        <w:trPr>
          <w:trHeight w:val="380"/>
        </w:trPr>
        <w:tc>
          <w:tcPr>
            <w:tcW w:w="1348" w:type="pct"/>
            <w:shd w:val="clear" w:color="auto" w:fill="auto"/>
          </w:tcPr>
          <w:p w14:paraId="5813DAD1" w14:textId="06D60F55" w:rsidR="005A75AD" w:rsidRPr="00781112" w:rsidRDefault="005A75AD" w:rsidP="005A75AD">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0CBE5647" w14:textId="5D16DC3C" w:rsidR="005A75AD" w:rsidRPr="00781112" w:rsidRDefault="005A75AD" w:rsidP="005A75AD">
            <w:pPr>
              <w:jc w:val="center"/>
              <w:rPr>
                <w:rFonts w:cs="Arial"/>
                <w:color w:val="000000" w:themeColor="text1"/>
                <w:szCs w:val="16"/>
              </w:rPr>
            </w:pPr>
            <w:r w:rsidRPr="00781112">
              <w:rPr>
                <w:rFonts w:cs="Arial"/>
                <w:color w:val="000000" w:themeColor="text1"/>
                <w:szCs w:val="16"/>
              </w:rPr>
              <w:t>05/26/2021</w:t>
            </w:r>
          </w:p>
        </w:tc>
        <w:tc>
          <w:tcPr>
            <w:tcW w:w="1625" w:type="pct"/>
            <w:shd w:val="clear" w:color="auto" w:fill="auto"/>
          </w:tcPr>
          <w:p w14:paraId="7D0086CE" w14:textId="510BD804"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receiving a certificate (c)</w:t>
            </w:r>
          </w:p>
        </w:tc>
        <w:tc>
          <w:tcPr>
            <w:tcW w:w="1040" w:type="pct"/>
            <w:shd w:val="clear" w:color="auto" w:fill="auto"/>
          </w:tcPr>
          <w:p w14:paraId="184082B3" w14:textId="438EC66B" w:rsidR="005A75AD" w:rsidRPr="00781112" w:rsidRDefault="005A75AD" w:rsidP="005A75AD">
            <w:pPr>
              <w:jc w:val="center"/>
              <w:rPr>
                <w:rFonts w:cs="Arial"/>
                <w:color w:val="000000" w:themeColor="text1"/>
                <w:szCs w:val="16"/>
              </w:rPr>
            </w:pPr>
            <w:r w:rsidRPr="00781112">
              <w:rPr>
                <w:rFonts w:cs="Arial"/>
                <w:color w:val="000000" w:themeColor="text1"/>
                <w:szCs w:val="16"/>
              </w:rPr>
              <w:t>190</w:t>
            </w:r>
          </w:p>
        </w:tc>
      </w:tr>
      <w:tr w:rsidR="00E1624B" w:rsidRPr="00781112" w14:paraId="73AB7466" w14:textId="77777777" w:rsidTr="00044B5C">
        <w:trPr>
          <w:trHeight w:val="380"/>
        </w:trPr>
        <w:tc>
          <w:tcPr>
            <w:tcW w:w="1348" w:type="pct"/>
            <w:shd w:val="clear" w:color="auto" w:fill="auto"/>
          </w:tcPr>
          <w:p w14:paraId="4B56ED01" w14:textId="0B62D17A" w:rsidR="00E1624B" w:rsidRPr="00781112" w:rsidRDefault="00E1624B" w:rsidP="00E1624B">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60CF2903" w14:textId="690ADEAE" w:rsidR="00E1624B" w:rsidRPr="00781112" w:rsidRDefault="00E1624B" w:rsidP="00E1624B">
            <w:pPr>
              <w:jc w:val="center"/>
              <w:rPr>
                <w:rFonts w:cs="Arial"/>
                <w:color w:val="000000" w:themeColor="text1"/>
                <w:szCs w:val="16"/>
              </w:rPr>
            </w:pPr>
            <w:r w:rsidRPr="00781112">
              <w:rPr>
                <w:rFonts w:cs="Arial"/>
                <w:color w:val="000000" w:themeColor="text1"/>
                <w:szCs w:val="16"/>
              </w:rPr>
              <w:t>05/26/2021</w:t>
            </w:r>
          </w:p>
        </w:tc>
        <w:tc>
          <w:tcPr>
            <w:tcW w:w="1625" w:type="pct"/>
            <w:shd w:val="clear" w:color="auto" w:fill="auto"/>
          </w:tcPr>
          <w:p w14:paraId="06653647" w14:textId="36FF0607" w:rsidR="00E1624B" w:rsidRPr="00781112" w:rsidRDefault="00E1624B">
            <w:pPr>
              <w:rPr>
                <w:rFonts w:cs="Arial"/>
                <w:szCs w:val="16"/>
              </w:rPr>
            </w:pPr>
            <w:r w:rsidRPr="00781112">
              <w:rPr>
                <w:rFonts w:cs="Arial"/>
                <w:szCs w:val="16"/>
              </w:rPr>
              <w:t>Number of youth with IEPs (ages 14-21) who exited special education by reaching maximum age (d)</w:t>
            </w:r>
          </w:p>
        </w:tc>
        <w:tc>
          <w:tcPr>
            <w:tcW w:w="1040" w:type="pct"/>
            <w:shd w:val="clear" w:color="auto" w:fill="auto"/>
          </w:tcPr>
          <w:p w14:paraId="73E001A1" w14:textId="747191F4" w:rsidR="00E1624B" w:rsidRPr="00781112" w:rsidRDefault="00E1624B" w:rsidP="00E1624B">
            <w:pPr>
              <w:jc w:val="center"/>
              <w:rPr>
                <w:rFonts w:cs="Arial"/>
                <w:color w:val="000000" w:themeColor="text1"/>
                <w:szCs w:val="16"/>
              </w:rPr>
            </w:pPr>
            <w:r w:rsidRPr="00781112">
              <w:rPr>
                <w:rFonts w:cs="Arial"/>
                <w:color w:val="000000" w:themeColor="text1"/>
                <w:szCs w:val="16"/>
              </w:rPr>
              <w:t>43</w:t>
            </w:r>
          </w:p>
        </w:tc>
      </w:tr>
      <w:tr w:rsidR="00E1624B" w:rsidRPr="00781112" w14:paraId="14CC53E0" w14:textId="77777777" w:rsidTr="00044B5C">
        <w:trPr>
          <w:trHeight w:val="380"/>
        </w:trPr>
        <w:tc>
          <w:tcPr>
            <w:tcW w:w="1348" w:type="pct"/>
            <w:shd w:val="clear" w:color="auto" w:fill="auto"/>
          </w:tcPr>
          <w:p w14:paraId="3B200D0B" w14:textId="610D9D3D" w:rsidR="00E1624B" w:rsidRPr="00781112" w:rsidRDefault="00E1624B" w:rsidP="00E1624B">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57A125A7" w14:textId="625619CE" w:rsidR="00E1624B" w:rsidRPr="00781112" w:rsidRDefault="00E1624B" w:rsidP="00E1624B">
            <w:pPr>
              <w:jc w:val="center"/>
              <w:rPr>
                <w:rFonts w:cs="Arial"/>
                <w:color w:val="000000" w:themeColor="text1"/>
                <w:szCs w:val="16"/>
              </w:rPr>
            </w:pPr>
            <w:r w:rsidRPr="00781112">
              <w:rPr>
                <w:rFonts w:cs="Arial"/>
                <w:color w:val="000000" w:themeColor="text1"/>
                <w:szCs w:val="16"/>
              </w:rPr>
              <w:t>05/26/2021</w:t>
            </w:r>
          </w:p>
        </w:tc>
        <w:tc>
          <w:tcPr>
            <w:tcW w:w="1625" w:type="pct"/>
            <w:shd w:val="clear" w:color="auto" w:fill="auto"/>
          </w:tcPr>
          <w:p w14:paraId="5C2E5C85" w14:textId="316DABB1" w:rsidR="00E1624B" w:rsidRPr="00781112" w:rsidRDefault="00E1624B" w:rsidP="00E1624B">
            <w:pPr>
              <w:rPr>
                <w:rFonts w:cs="Arial"/>
                <w:szCs w:val="16"/>
              </w:rPr>
            </w:pPr>
            <w:r w:rsidRPr="00781112">
              <w:rPr>
                <w:rFonts w:cs="Arial"/>
                <w:szCs w:val="16"/>
              </w:rPr>
              <w:t>Number of youth with IEPs (ages 14-21) who exited special education due to dropping out (e)</w:t>
            </w:r>
          </w:p>
        </w:tc>
        <w:tc>
          <w:tcPr>
            <w:tcW w:w="1040" w:type="pct"/>
            <w:shd w:val="clear" w:color="auto" w:fill="auto"/>
          </w:tcPr>
          <w:p w14:paraId="79A046E2" w14:textId="17FE2759" w:rsidR="00E1624B" w:rsidRPr="00781112" w:rsidRDefault="00E1624B" w:rsidP="00E1624B">
            <w:pPr>
              <w:jc w:val="center"/>
              <w:rPr>
                <w:rFonts w:cs="Arial"/>
                <w:color w:val="000000" w:themeColor="text1"/>
                <w:szCs w:val="16"/>
              </w:rPr>
            </w:pPr>
            <w:r w:rsidRPr="00781112">
              <w:rPr>
                <w:rFonts w:cs="Arial"/>
                <w:color w:val="000000" w:themeColor="text1"/>
                <w:szCs w:val="16"/>
              </w:rPr>
              <w:t>615</w:t>
            </w:r>
          </w:p>
        </w:tc>
      </w:tr>
    </w:tbl>
    <w:p w14:paraId="0D2CDC7B" w14:textId="77777777" w:rsidR="00654A4B" w:rsidRPr="00781112" w:rsidRDefault="00654A4B" w:rsidP="00B65C2C">
      <w:pPr>
        <w:rPr>
          <w:color w:val="000000" w:themeColor="text1"/>
        </w:rPr>
      </w:pPr>
    </w:p>
    <w:p w14:paraId="7939D078" w14:textId="7D071B20" w:rsidR="00995737" w:rsidRPr="00781112" w:rsidRDefault="00F6415A" w:rsidP="00C74928">
      <w:pPr>
        <w:keepNext/>
        <w:rPr>
          <w:b/>
          <w:bCs/>
          <w:color w:val="000000" w:themeColor="text1"/>
        </w:rPr>
      </w:pPr>
      <w:r w:rsidRPr="00781112">
        <w:rPr>
          <w:b/>
          <w:bCs/>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1CFFYAPRDATA"/>
      </w:tblPr>
      <w:tblGrid>
        <w:gridCol w:w="1788"/>
        <w:gridCol w:w="2113"/>
        <w:gridCol w:w="1167"/>
        <w:gridCol w:w="1739"/>
        <w:gridCol w:w="1366"/>
        <w:gridCol w:w="1329"/>
        <w:gridCol w:w="1288"/>
      </w:tblGrid>
      <w:tr w:rsidR="005C29F8" w:rsidRPr="00781112" w14:paraId="02722994" w14:textId="4BCF686A" w:rsidTr="004348BB">
        <w:trPr>
          <w:trHeight w:val="333"/>
          <w:tblHeader/>
        </w:trPr>
        <w:tc>
          <w:tcPr>
            <w:tcW w:w="828" w:type="pct"/>
            <w:shd w:val="clear" w:color="auto" w:fill="auto"/>
            <w:vAlign w:val="bottom"/>
          </w:tcPr>
          <w:p w14:paraId="272BBF68" w14:textId="161B6D1A" w:rsidR="0098478C" w:rsidRPr="00781112" w:rsidRDefault="0052187D" w:rsidP="00681BA6">
            <w:pPr>
              <w:spacing w:after="0"/>
              <w:jc w:val="center"/>
              <w:rPr>
                <w:rFonts w:cs="Arial"/>
                <w:b/>
                <w:color w:val="000000" w:themeColor="text1"/>
                <w:szCs w:val="16"/>
              </w:rPr>
            </w:pPr>
            <w:r w:rsidRPr="00781112">
              <w:rPr>
                <w:rFonts w:cs="Arial"/>
                <w:b/>
                <w:color w:val="000000" w:themeColor="text1"/>
                <w:szCs w:val="16"/>
              </w:rPr>
              <w:t>Number of youth with IEPs (ages 14-21) who exited special education due to graduating with a regular high school diploma</w:t>
            </w:r>
          </w:p>
        </w:tc>
        <w:tc>
          <w:tcPr>
            <w:tcW w:w="979" w:type="pct"/>
            <w:shd w:val="clear" w:color="auto" w:fill="auto"/>
            <w:vAlign w:val="bottom"/>
          </w:tcPr>
          <w:p w14:paraId="055EF61F" w14:textId="6ADAF307" w:rsidR="0098478C" w:rsidRPr="00781112" w:rsidRDefault="00CB505C" w:rsidP="00681BA6">
            <w:pPr>
              <w:spacing w:after="0"/>
              <w:jc w:val="center"/>
              <w:rPr>
                <w:rFonts w:cs="Arial"/>
                <w:b/>
                <w:bCs/>
                <w:color w:val="000000" w:themeColor="text1"/>
                <w:szCs w:val="16"/>
              </w:rPr>
            </w:pPr>
            <w:r w:rsidRPr="00781112">
              <w:rPr>
                <w:b/>
                <w:bCs/>
              </w:rPr>
              <w:t xml:space="preserve">Number of all youth with IEPs who exited special education (ages 14-21)  </w:t>
            </w:r>
          </w:p>
        </w:tc>
        <w:tc>
          <w:tcPr>
            <w:tcW w:w="541" w:type="pct"/>
            <w:shd w:val="clear" w:color="auto" w:fill="auto"/>
            <w:vAlign w:val="bottom"/>
          </w:tcPr>
          <w:p w14:paraId="74998318" w14:textId="14A88853" w:rsidR="0098478C" w:rsidRPr="00781112" w:rsidRDefault="00F6415A" w:rsidP="00681BA6">
            <w:pPr>
              <w:spacing w:after="0"/>
              <w:jc w:val="center"/>
              <w:rPr>
                <w:rFonts w:cs="Arial"/>
                <w:b/>
                <w:color w:val="000000" w:themeColor="text1"/>
                <w:szCs w:val="16"/>
              </w:rPr>
            </w:pPr>
            <w:r w:rsidRPr="00781112">
              <w:rPr>
                <w:rFonts w:cs="Arial"/>
                <w:b/>
                <w:color w:val="000000" w:themeColor="text1"/>
                <w:szCs w:val="16"/>
              </w:rPr>
              <w:t>FFY 2019 Data</w:t>
            </w:r>
          </w:p>
        </w:tc>
        <w:tc>
          <w:tcPr>
            <w:tcW w:w="806" w:type="pct"/>
            <w:shd w:val="clear" w:color="auto" w:fill="auto"/>
            <w:vAlign w:val="bottom"/>
          </w:tcPr>
          <w:p w14:paraId="5A1C61A6" w14:textId="208288A2" w:rsidR="0098478C" w:rsidRPr="00781112" w:rsidRDefault="00F6415A" w:rsidP="00681BA6">
            <w:pPr>
              <w:spacing w:after="0"/>
              <w:jc w:val="center"/>
              <w:rPr>
                <w:rFonts w:cs="Arial"/>
                <w:b/>
                <w:color w:val="000000" w:themeColor="text1"/>
                <w:szCs w:val="16"/>
              </w:rPr>
            </w:pPr>
            <w:r w:rsidRPr="00781112">
              <w:rPr>
                <w:rFonts w:cs="Arial"/>
                <w:b/>
                <w:color w:val="000000" w:themeColor="text1"/>
                <w:szCs w:val="16"/>
              </w:rPr>
              <w:t>FFY 2020 Target</w:t>
            </w:r>
          </w:p>
        </w:tc>
        <w:tc>
          <w:tcPr>
            <w:tcW w:w="633" w:type="pct"/>
            <w:shd w:val="clear" w:color="auto" w:fill="auto"/>
            <w:vAlign w:val="bottom"/>
          </w:tcPr>
          <w:p w14:paraId="51DD5A1B" w14:textId="4AC07655" w:rsidR="0098478C" w:rsidRPr="00781112" w:rsidRDefault="00F6415A" w:rsidP="00681BA6">
            <w:pPr>
              <w:spacing w:after="0"/>
              <w:jc w:val="center"/>
              <w:rPr>
                <w:rFonts w:cs="Arial"/>
                <w:b/>
                <w:color w:val="000000" w:themeColor="text1"/>
                <w:szCs w:val="16"/>
              </w:rPr>
            </w:pPr>
            <w:r w:rsidRPr="00781112">
              <w:rPr>
                <w:rFonts w:cs="Arial"/>
                <w:b/>
                <w:color w:val="000000" w:themeColor="text1"/>
                <w:szCs w:val="16"/>
              </w:rPr>
              <w:t>FFY 2020 Data</w:t>
            </w:r>
          </w:p>
        </w:tc>
        <w:tc>
          <w:tcPr>
            <w:tcW w:w="616" w:type="pct"/>
            <w:shd w:val="clear" w:color="auto" w:fill="auto"/>
            <w:vAlign w:val="bottom"/>
          </w:tcPr>
          <w:p w14:paraId="23C86FAA" w14:textId="7FC8D54B" w:rsidR="0098478C" w:rsidRPr="00781112" w:rsidRDefault="0098478C" w:rsidP="00681BA6">
            <w:pPr>
              <w:spacing w:after="0"/>
              <w:jc w:val="center"/>
              <w:rPr>
                <w:rFonts w:cs="Arial"/>
                <w:b/>
                <w:color w:val="000000" w:themeColor="text1"/>
                <w:szCs w:val="16"/>
              </w:rPr>
            </w:pPr>
            <w:r w:rsidRPr="00781112">
              <w:rPr>
                <w:rFonts w:cs="Arial"/>
                <w:b/>
                <w:color w:val="000000" w:themeColor="text1"/>
                <w:szCs w:val="16"/>
              </w:rPr>
              <w:t>Status</w:t>
            </w:r>
          </w:p>
        </w:tc>
        <w:tc>
          <w:tcPr>
            <w:tcW w:w="597" w:type="pct"/>
            <w:shd w:val="clear" w:color="auto" w:fill="auto"/>
            <w:vAlign w:val="bottom"/>
          </w:tcPr>
          <w:p w14:paraId="6EE58552" w14:textId="4AA8F220" w:rsidR="0098478C" w:rsidRPr="00781112" w:rsidRDefault="0098478C" w:rsidP="00681BA6">
            <w:pPr>
              <w:spacing w:after="0"/>
              <w:jc w:val="center"/>
              <w:rPr>
                <w:rFonts w:cs="Arial"/>
                <w:b/>
                <w:color w:val="000000" w:themeColor="text1"/>
                <w:szCs w:val="16"/>
              </w:rPr>
            </w:pPr>
            <w:r w:rsidRPr="00781112">
              <w:rPr>
                <w:rFonts w:cs="Arial"/>
                <w:b/>
                <w:color w:val="000000" w:themeColor="text1"/>
                <w:szCs w:val="16"/>
              </w:rPr>
              <w:t>Slippage</w:t>
            </w:r>
          </w:p>
        </w:tc>
      </w:tr>
      <w:tr w:rsidR="005C29F8" w:rsidRPr="00781112" w14:paraId="601A0599" w14:textId="76387A52" w:rsidTr="004348BB">
        <w:trPr>
          <w:trHeight w:val="340"/>
        </w:trPr>
        <w:tc>
          <w:tcPr>
            <w:tcW w:w="828" w:type="pct"/>
            <w:shd w:val="clear" w:color="auto" w:fill="auto"/>
            <w:vAlign w:val="center"/>
          </w:tcPr>
          <w:p w14:paraId="70B1C138" w14:textId="6CAA41C3" w:rsidR="0098478C" w:rsidRPr="00781112" w:rsidRDefault="002B7490" w:rsidP="00A018D4">
            <w:pPr>
              <w:jc w:val="center"/>
              <w:rPr>
                <w:rFonts w:cs="Arial"/>
                <w:color w:val="000000" w:themeColor="text1"/>
                <w:szCs w:val="16"/>
              </w:rPr>
            </w:pPr>
            <w:r w:rsidRPr="00781112">
              <w:rPr>
                <w:rFonts w:cs="Arial"/>
                <w:color w:val="000000" w:themeColor="text1"/>
                <w:szCs w:val="16"/>
              </w:rPr>
              <w:t>2,753</w:t>
            </w:r>
          </w:p>
        </w:tc>
        <w:tc>
          <w:tcPr>
            <w:tcW w:w="979" w:type="pct"/>
            <w:shd w:val="clear" w:color="auto" w:fill="auto"/>
          </w:tcPr>
          <w:p w14:paraId="614E7B59" w14:textId="5AA9B72C" w:rsidR="0098478C" w:rsidRPr="00781112" w:rsidRDefault="002B7490" w:rsidP="00A018D4">
            <w:pPr>
              <w:jc w:val="center"/>
              <w:rPr>
                <w:rFonts w:cs="Arial"/>
                <w:color w:val="000000" w:themeColor="text1"/>
                <w:szCs w:val="16"/>
              </w:rPr>
            </w:pPr>
            <w:r w:rsidRPr="00781112">
              <w:rPr>
                <w:rFonts w:cs="Arial"/>
                <w:color w:val="000000" w:themeColor="text1"/>
                <w:szCs w:val="16"/>
              </w:rPr>
              <w:t>3,601</w:t>
            </w:r>
          </w:p>
        </w:tc>
        <w:tc>
          <w:tcPr>
            <w:tcW w:w="541" w:type="pct"/>
            <w:shd w:val="clear" w:color="auto" w:fill="auto"/>
          </w:tcPr>
          <w:p w14:paraId="02406DF0" w14:textId="52BAECC6" w:rsidR="0098478C" w:rsidRPr="00781112" w:rsidRDefault="002B7490" w:rsidP="00A018D4">
            <w:pPr>
              <w:jc w:val="center"/>
              <w:rPr>
                <w:rFonts w:cs="Arial"/>
                <w:color w:val="000000" w:themeColor="text1"/>
                <w:szCs w:val="16"/>
              </w:rPr>
            </w:pPr>
            <w:r w:rsidRPr="00781112">
              <w:rPr>
                <w:rFonts w:cs="Arial"/>
                <w:color w:val="000000" w:themeColor="text1"/>
                <w:szCs w:val="16"/>
              </w:rPr>
              <w:t>64.73%</w:t>
            </w:r>
          </w:p>
        </w:tc>
        <w:tc>
          <w:tcPr>
            <w:tcW w:w="806" w:type="pct"/>
            <w:shd w:val="clear" w:color="auto" w:fill="auto"/>
          </w:tcPr>
          <w:p w14:paraId="2398C001" w14:textId="76ED9E04" w:rsidR="0098478C" w:rsidRPr="00781112" w:rsidRDefault="002B7490" w:rsidP="00A018D4">
            <w:pPr>
              <w:jc w:val="center"/>
              <w:rPr>
                <w:rFonts w:cs="Arial"/>
                <w:color w:val="000000" w:themeColor="text1"/>
                <w:szCs w:val="16"/>
              </w:rPr>
            </w:pPr>
            <w:r w:rsidRPr="00781112">
              <w:rPr>
                <w:rFonts w:cs="Arial"/>
                <w:color w:val="000000" w:themeColor="text1"/>
                <w:szCs w:val="16"/>
              </w:rPr>
              <w:t>76.00%</w:t>
            </w:r>
          </w:p>
        </w:tc>
        <w:tc>
          <w:tcPr>
            <w:tcW w:w="633" w:type="pct"/>
            <w:shd w:val="clear" w:color="auto" w:fill="auto"/>
          </w:tcPr>
          <w:p w14:paraId="4A53AF2D" w14:textId="3BE4EB07" w:rsidR="0098478C" w:rsidRPr="00781112" w:rsidRDefault="002B7490" w:rsidP="00A018D4">
            <w:pPr>
              <w:jc w:val="center"/>
              <w:rPr>
                <w:rFonts w:cs="Arial"/>
                <w:color w:val="000000" w:themeColor="text1"/>
                <w:szCs w:val="16"/>
              </w:rPr>
            </w:pPr>
            <w:r w:rsidRPr="00781112">
              <w:rPr>
                <w:rFonts w:cs="Arial"/>
                <w:color w:val="000000" w:themeColor="text1"/>
                <w:szCs w:val="16"/>
              </w:rPr>
              <w:t>76.45%</w:t>
            </w:r>
          </w:p>
        </w:tc>
        <w:tc>
          <w:tcPr>
            <w:tcW w:w="616" w:type="pct"/>
            <w:shd w:val="clear" w:color="auto" w:fill="auto"/>
          </w:tcPr>
          <w:p w14:paraId="0A60DC85" w14:textId="479F7096" w:rsidR="0098478C"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597" w:type="pct"/>
            <w:shd w:val="clear" w:color="auto" w:fill="auto"/>
          </w:tcPr>
          <w:p w14:paraId="6FB98C67" w14:textId="68AEDB07" w:rsidR="0098478C"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2BB119D0" w14:textId="387277D1" w:rsidR="005E59DB" w:rsidRPr="00781112" w:rsidRDefault="005E59DB" w:rsidP="004369B2">
      <w:pPr>
        <w:rPr>
          <w:color w:val="000000" w:themeColor="text1"/>
        </w:rPr>
      </w:pPr>
      <w:r w:rsidRPr="00781112">
        <w:rPr>
          <w:b/>
          <w:color w:val="000000" w:themeColor="text1"/>
        </w:rPr>
        <w:t xml:space="preserve">Graduation Conditions </w:t>
      </w:r>
    </w:p>
    <w:p w14:paraId="44381070" w14:textId="5786BC0C" w:rsidR="005E59DB" w:rsidRPr="00781112" w:rsidRDefault="00C14D48" w:rsidP="00552927">
      <w:pPr>
        <w:rPr>
          <w:rFonts w:cs="Arial"/>
          <w:b/>
          <w:i/>
          <w:color w:val="000000" w:themeColor="text1"/>
          <w:szCs w:val="16"/>
        </w:rPr>
      </w:pPr>
      <w:r w:rsidRPr="00781112">
        <w:rPr>
          <w:rFonts w:cs="Arial"/>
          <w:b/>
          <w:color w:val="000000" w:themeColor="text1"/>
          <w:szCs w:val="16"/>
        </w:rPr>
        <w:t xml:space="preserve">Provide a narrative that describes the conditions youth must meet in order to graduate with a regular high school diploma. </w:t>
      </w:r>
    </w:p>
    <w:p w14:paraId="7C1B3984" w14:textId="08BD1460" w:rsidR="002D145D" w:rsidRPr="00781112" w:rsidRDefault="002B7490" w:rsidP="006618C8">
      <w:pPr>
        <w:rPr>
          <w:rFonts w:cs="Arial"/>
          <w:color w:val="000000" w:themeColor="text1"/>
          <w:szCs w:val="16"/>
        </w:rPr>
      </w:pPr>
      <w:r w:rsidRPr="00781112">
        <w:rPr>
          <w:rFonts w:cs="Arial"/>
          <w:color w:val="000000" w:themeColor="text1"/>
          <w:szCs w:val="16"/>
        </w:rPr>
        <w:t>Students in Louisiana can pursue one of two pathways to a Louisiana high school diploma, the TOPS University diploma or the Jump Start TOPS Tech (Career) diploma. The TOPS University diploma pathway requires students to earn 24 credits and prepares them for four-year colleges and universities. The Jump Start TOPS Tech (Career) diploma pathway requires students to earn 23 credits and equips them with the skills and industry-valued credentials, or Industry Based Certifications (IBC), to move into a chosen industry after high school. Both options are available to students with IEPs.</w:t>
      </w:r>
    </w:p>
    <w:p w14:paraId="58C36CC8" w14:textId="7DE9B0CE" w:rsidR="00F672DF" w:rsidRPr="00781112" w:rsidRDefault="00F672DF" w:rsidP="006618C8">
      <w:pPr>
        <w:rPr>
          <w:rFonts w:cs="Arial"/>
          <w:b/>
          <w:color w:val="000000" w:themeColor="text1"/>
          <w:szCs w:val="16"/>
        </w:rPr>
      </w:pPr>
      <w:r w:rsidRPr="00781112">
        <w:rPr>
          <w:rFonts w:cs="Arial"/>
          <w:b/>
          <w:color w:val="000000" w:themeColor="text1"/>
          <w:szCs w:val="16"/>
        </w:rPr>
        <w:t>Are the conditions that youth with IEPs must meet to graduate with a regular high school diploma different from the conditions noted above? (yes/no)</w:t>
      </w:r>
    </w:p>
    <w:p w14:paraId="0930BD95" w14:textId="4EF39A81" w:rsidR="00F672DF" w:rsidRPr="00781112" w:rsidRDefault="00F672DF" w:rsidP="006618C8">
      <w:pPr>
        <w:rPr>
          <w:rFonts w:cs="Arial"/>
          <w:color w:val="000000" w:themeColor="text1"/>
          <w:szCs w:val="16"/>
        </w:rPr>
      </w:pPr>
      <w:r w:rsidRPr="00781112">
        <w:rPr>
          <w:rFonts w:cs="Arial"/>
          <w:color w:val="000000" w:themeColor="text1"/>
          <w:szCs w:val="16"/>
        </w:rPr>
        <w:t>YES</w:t>
      </w:r>
    </w:p>
    <w:p w14:paraId="1CD0A276" w14:textId="5047B5D7" w:rsidR="00C14D48" w:rsidRPr="00781112" w:rsidRDefault="00742F8B" w:rsidP="003D436D">
      <w:pPr>
        <w:rPr>
          <w:rFonts w:cs="Arial"/>
          <w:b/>
          <w:iCs/>
          <w:color w:val="000000" w:themeColor="text1"/>
          <w:szCs w:val="16"/>
        </w:rPr>
      </w:pPr>
      <w:bookmarkStart w:id="4" w:name="_Toc392159261"/>
      <w:r w:rsidRPr="00781112">
        <w:rPr>
          <w:rFonts w:cs="Arial"/>
          <w:b/>
          <w:iCs/>
          <w:color w:val="000000" w:themeColor="text1"/>
          <w:szCs w:val="16"/>
        </w:rPr>
        <w:t>If yes, explain the difference in conditions that youth with IEPs must meet.</w:t>
      </w:r>
    </w:p>
    <w:p w14:paraId="081D930A" w14:textId="3A6096AF" w:rsidR="00E418E6" w:rsidRPr="00781112" w:rsidRDefault="002B7490" w:rsidP="000E33D0">
      <w:pPr>
        <w:rPr>
          <w:rFonts w:cs="Arial"/>
          <w:color w:val="000000" w:themeColor="text1"/>
          <w:szCs w:val="16"/>
        </w:rPr>
      </w:pPr>
      <w:r w:rsidRPr="00781112">
        <w:rPr>
          <w:rFonts w:cs="Arial"/>
          <w:color w:val="000000" w:themeColor="text1"/>
          <w:szCs w:val="16"/>
        </w:rPr>
        <w:t>Students with IEPs have the option to pursue either the TOPS University diploma or the Jump Start TOPS Tech diploma. However, the April Dunn Act (2014) gives students with disabilities who have persistent academic challenges due to their disabilities the ability to pursue a high school diploma by meeting graduation requirements through alternate means. The law can be implemented in compliance with federal and state law, provided that students remain able to access the traditional diploma and curriculum requirements, even as they use alternate means of demonstrating proficiency. Graduation requirements for April Dunn Act eligible students include the following:</w:t>
      </w:r>
      <w:r w:rsidRPr="00781112">
        <w:rPr>
          <w:rFonts w:cs="Arial"/>
          <w:color w:val="000000" w:themeColor="text1"/>
          <w:szCs w:val="16"/>
        </w:rPr>
        <w:br/>
      </w:r>
      <w:r w:rsidRPr="00781112">
        <w:rPr>
          <w:rFonts w:cs="Arial"/>
          <w:color w:val="000000" w:themeColor="text1"/>
          <w:szCs w:val="16"/>
        </w:rPr>
        <w:br/>
        <w:t>1) Meet all graduation requirements, which include earning all Carnegie units and statewide credentials for the diploma pathway they are pursuing and demonstrating proficiency in the courses assessed by the state assessment, LEAP 2025. If a student is unable to meet the state-established benchmarks - scoring proficient - on the LEAP 2025 assessment requirements through traditional means, the student can meet this requirement through an alternate means as determined by the IEP team.</w:t>
      </w:r>
      <w:r w:rsidRPr="00781112">
        <w:rPr>
          <w:rFonts w:cs="Arial"/>
          <w:color w:val="000000" w:themeColor="text1"/>
          <w:szCs w:val="16"/>
        </w:rPr>
        <w:br/>
      </w:r>
      <w:r w:rsidRPr="00781112">
        <w:rPr>
          <w:rFonts w:cs="Arial"/>
          <w:color w:val="000000" w:themeColor="text1"/>
          <w:szCs w:val="16"/>
        </w:rPr>
        <w:br/>
        <w:t>2) In addition to meeting IEP goals and objectives, students must meet at least one of three transition criteria to graduate. The criteria include: employment in inclusive integrated environments, demonstrating mastery of specific employability skills, and access to services not provided by the school, employment, or education options.</w:t>
      </w:r>
      <w:bookmarkStart w:id="5" w:name="_Hlk525545190"/>
    </w:p>
    <w:p w14:paraId="51BF8B64" w14:textId="746664C9" w:rsidR="0098478C" w:rsidRPr="00781112" w:rsidRDefault="0098478C" w:rsidP="004369B2">
      <w:pPr>
        <w:rPr>
          <w:b/>
          <w:color w:val="000000" w:themeColor="text1"/>
        </w:rPr>
      </w:pPr>
      <w:r w:rsidRPr="00781112">
        <w:rPr>
          <w:b/>
          <w:color w:val="000000" w:themeColor="text1"/>
        </w:rPr>
        <w:t>Provide additional information about this indicator (optional)</w:t>
      </w:r>
    </w:p>
    <w:p w14:paraId="2CDAC437" w14:textId="58A5CDB2" w:rsidR="002D145D" w:rsidRPr="00781112" w:rsidRDefault="002D145D" w:rsidP="000E33D0">
      <w:pPr>
        <w:rPr>
          <w:rFonts w:cs="Arial"/>
          <w:color w:val="000000" w:themeColor="text1"/>
          <w:szCs w:val="16"/>
        </w:rPr>
      </w:pPr>
    </w:p>
    <w:p w14:paraId="7D2A5658" w14:textId="39995CE7" w:rsidR="000C60E1" w:rsidRPr="00781112" w:rsidRDefault="00B0742B" w:rsidP="008645AD">
      <w:pPr>
        <w:pStyle w:val="Heading2"/>
      </w:pPr>
      <w:bookmarkStart w:id="6" w:name="_Toc382082358"/>
      <w:bookmarkEnd w:id="4"/>
      <w:bookmarkEnd w:id="5"/>
      <w:r w:rsidRPr="00781112">
        <w:t>1</w:t>
      </w:r>
      <w:r w:rsidR="00684B51" w:rsidRPr="00781112">
        <w:t xml:space="preserve"> </w:t>
      </w:r>
      <w:r w:rsidRPr="00781112">
        <w:t xml:space="preserve">- </w:t>
      </w:r>
      <w:r w:rsidR="002D145D" w:rsidRPr="00781112">
        <w:t>Prior FFY Required Actions</w:t>
      </w:r>
    </w:p>
    <w:p w14:paraId="42534530" w14:textId="7BEF428C" w:rsidR="002D145D" w:rsidRPr="00781112" w:rsidRDefault="002B7490" w:rsidP="00CE5723">
      <w:pPr>
        <w:rPr>
          <w:rFonts w:cs="Arial"/>
          <w:color w:val="000000" w:themeColor="text1"/>
          <w:szCs w:val="16"/>
        </w:rPr>
      </w:pPr>
      <w:r w:rsidRPr="00781112">
        <w:rPr>
          <w:rFonts w:cs="Arial"/>
          <w:color w:val="000000" w:themeColor="text1"/>
          <w:szCs w:val="16"/>
        </w:rPr>
        <w:t>None</w:t>
      </w:r>
    </w:p>
    <w:p w14:paraId="12317A47" w14:textId="75A98BEA" w:rsidR="00A2794A" w:rsidRPr="00781112" w:rsidRDefault="00A2794A" w:rsidP="00CE5723">
      <w:pPr>
        <w:rPr>
          <w:rFonts w:cs="Arial"/>
          <w:color w:val="000000" w:themeColor="text1"/>
          <w:szCs w:val="16"/>
        </w:rPr>
      </w:pPr>
    </w:p>
    <w:p w14:paraId="0D99EF95" w14:textId="4B8DDAD7" w:rsidR="004C462E" w:rsidRPr="00781112" w:rsidRDefault="00862B20" w:rsidP="008645AD">
      <w:pPr>
        <w:pStyle w:val="Heading2"/>
      </w:pPr>
      <w:r w:rsidRPr="00781112">
        <w:t>1</w:t>
      </w:r>
      <w:r w:rsidR="00684B51" w:rsidRPr="00781112">
        <w:t xml:space="preserve"> </w:t>
      </w:r>
      <w:r w:rsidRPr="00781112">
        <w:t xml:space="preserve">- </w:t>
      </w:r>
      <w:r w:rsidR="004C462E" w:rsidRPr="00781112">
        <w:t>OSEP Response</w:t>
      </w:r>
    </w:p>
    <w:p w14:paraId="47549565" w14:textId="0718C089" w:rsidR="002D145D" w:rsidRPr="00781112" w:rsidRDefault="002B7490" w:rsidP="001F692C">
      <w:pPr>
        <w:rPr>
          <w:rFonts w:cs="Arial"/>
          <w:color w:val="000000" w:themeColor="text1"/>
          <w:szCs w:val="16"/>
        </w:rPr>
      </w:pPr>
      <w:r w:rsidRPr="00781112">
        <w:rPr>
          <w:rFonts w:cs="Arial"/>
          <w:color w:val="000000" w:themeColor="text1"/>
          <w:szCs w:val="16"/>
        </w:rPr>
        <w:t>The State has revised the baseline for this indicator, using data from FFY 2020, and OSEP accepts that revision.</w:t>
      </w:r>
      <w:r w:rsidRPr="00781112">
        <w:rPr>
          <w:rFonts w:cs="Arial"/>
          <w:color w:val="000000" w:themeColor="text1"/>
          <w:szCs w:val="16"/>
        </w:rPr>
        <w:br/>
      </w:r>
      <w:r w:rsidRPr="00781112">
        <w:rPr>
          <w:rFonts w:cs="Arial"/>
          <w:color w:val="000000" w:themeColor="text1"/>
          <w:szCs w:val="16"/>
        </w:rPr>
        <w:br/>
        <w:t>The State provided targets for FFYs 2020 through 2025 for this indicator, and OSEP accepts those targets.</w:t>
      </w:r>
    </w:p>
    <w:p w14:paraId="5F7376D0" w14:textId="1C114A8A" w:rsidR="004C462E" w:rsidRPr="00781112" w:rsidRDefault="00B0742B" w:rsidP="008645AD">
      <w:pPr>
        <w:pStyle w:val="Heading2"/>
      </w:pPr>
      <w:bookmarkStart w:id="7" w:name="_Hlk21352084"/>
      <w:r w:rsidRPr="00781112">
        <w:lastRenderedPageBreak/>
        <w:t xml:space="preserve">1 - </w:t>
      </w:r>
      <w:bookmarkEnd w:id="7"/>
      <w:r w:rsidR="004C462E" w:rsidRPr="00781112">
        <w:t>Required Actions</w:t>
      </w:r>
    </w:p>
    <w:p w14:paraId="1EB5204A" w14:textId="0BB66F29" w:rsidR="002D145D" w:rsidRPr="00781112" w:rsidRDefault="002D145D" w:rsidP="001F692C">
      <w:pPr>
        <w:rPr>
          <w:rFonts w:cs="Arial"/>
          <w:color w:val="000000" w:themeColor="text1"/>
          <w:szCs w:val="16"/>
        </w:rPr>
      </w:pPr>
    </w:p>
    <w:p w14:paraId="14062900" w14:textId="77777777" w:rsidR="00D37BF0" w:rsidRPr="00781112" w:rsidRDefault="00D37BF0">
      <w:pPr>
        <w:spacing w:before="0" w:after="200" w:line="276" w:lineRule="auto"/>
        <w:rPr>
          <w:rFonts w:eastAsiaTheme="majorEastAsia" w:cs="Arial"/>
          <w:b/>
          <w:bCs/>
          <w:color w:val="000000" w:themeColor="text1"/>
          <w:szCs w:val="16"/>
        </w:rPr>
      </w:pPr>
      <w:bookmarkStart w:id="8" w:name="_Toc392159262"/>
      <w:r w:rsidRPr="00781112">
        <w:rPr>
          <w:rFonts w:cs="Arial"/>
          <w:color w:val="000000" w:themeColor="text1"/>
          <w:szCs w:val="16"/>
        </w:rPr>
        <w:br w:type="page"/>
      </w:r>
    </w:p>
    <w:p w14:paraId="06F42DD3" w14:textId="793A19C1" w:rsidR="00D21EAA" w:rsidRPr="00781112" w:rsidRDefault="00D21EAA">
      <w:pPr>
        <w:pStyle w:val="Heading1"/>
        <w:rPr>
          <w:color w:val="000000" w:themeColor="text1"/>
          <w:sz w:val="22"/>
        </w:rPr>
      </w:pPr>
      <w:r w:rsidRPr="00781112">
        <w:rPr>
          <w:color w:val="000000" w:themeColor="text1"/>
          <w:sz w:val="22"/>
        </w:rPr>
        <w:lastRenderedPageBreak/>
        <w:t>Indicator 2: Drop Out</w:t>
      </w:r>
      <w:bookmarkEnd w:id="6"/>
      <w:bookmarkEnd w:id="8"/>
    </w:p>
    <w:p w14:paraId="7F31959F" w14:textId="6C15FFEB" w:rsidR="002C60D5" w:rsidRPr="00781112" w:rsidRDefault="002C60D5" w:rsidP="00A018D4">
      <w:pPr>
        <w:rPr>
          <w:color w:val="000000" w:themeColor="text1"/>
          <w:szCs w:val="20"/>
        </w:rPr>
      </w:pPr>
      <w:r w:rsidRPr="00781112">
        <w:rPr>
          <w:b/>
          <w:color w:val="000000" w:themeColor="text1"/>
          <w:sz w:val="20"/>
          <w:szCs w:val="20"/>
        </w:rPr>
        <w:t>Instructions and Measurement</w:t>
      </w:r>
    </w:p>
    <w:p w14:paraId="608EBBFC" w14:textId="77777777" w:rsidR="004B782D" w:rsidRPr="00781112" w:rsidRDefault="004B782D" w:rsidP="004369B2">
      <w:pPr>
        <w:rPr>
          <w:color w:val="000000" w:themeColor="text1"/>
        </w:rPr>
      </w:pPr>
      <w:bookmarkStart w:id="9" w:name="_Toc392159263"/>
      <w:r w:rsidRPr="00781112">
        <w:rPr>
          <w:b/>
          <w:color w:val="000000" w:themeColor="text1"/>
        </w:rPr>
        <w:t>Monitoring Priority:</w:t>
      </w:r>
      <w:r w:rsidRPr="00781112">
        <w:rPr>
          <w:color w:val="000000" w:themeColor="text1"/>
        </w:rPr>
        <w:t xml:space="preserve"> FAPE in the LRE</w:t>
      </w:r>
    </w:p>
    <w:p w14:paraId="5ECEA58F" w14:textId="5A7B31F9" w:rsidR="004B782D" w:rsidRPr="00781112" w:rsidRDefault="004B782D" w:rsidP="009340E3">
      <w:pPr>
        <w:rPr>
          <w:color w:val="000000" w:themeColor="text1"/>
        </w:rPr>
      </w:pPr>
      <w:r w:rsidRPr="00781112">
        <w:rPr>
          <w:b/>
          <w:color w:val="000000" w:themeColor="text1"/>
        </w:rPr>
        <w:t>Results indicator:</w:t>
      </w:r>
      <w:r w:rsidR="00552927" w:rsidRPr="00781112">
        <w:rPr>
          <w:color w:val="000000" w:themeColor="text1"/>
        </w:rPr>
        <w:t xml:space="preserve"> </w:t>
      </w:r>
      <w:r w:rsidRPr="00781112">
        <w:rPr>
          <w:color w:val="000000" w:themeColor="text1"/>
        </w:rPr>
        <w:t xml:space="preserve">Percent of youth with IEPs </w:t>
      </w:r>
      <w:r w:rsidR="00CB505C" w:rsidRPr="00781112">
        <w:rPr>
          <w:rFonts w:cs="Arial"/>
          <w:szCs w:val="16"/>
        </w:rPr>
        <w:t xml:space="preserve">who exited special education due to </w:t>
      </w:r>
      <w:r w:rsidRPr="00781112">
        <w:rPr>
          <w:color w:val="000000" w:themeColor="text1"/>
        </w:rPr>
        <w:t>dropping out.</w:t>
      </w:r>
      <w:r w:rsidR="00552927" w:rsidRPr="00781112">
        <w:rPr>
          <w:color w:val="000000" w:themeColor="text1"/>
        </w:rPr>
        <w:t xml:space="preserve"> </w:t>
      </w:r>
      <w:r w:rsidRPr="00781112">
        <w:rPr>
          <w:color w:val="000000" w:themeColor="text1"/>
        </w:rPr>
        <w:t>(20 U.S.C. 1416 (a)(3)(A))</w:t>
      </w:r>
    </w:p>
    <w:p w14:paraId="0A0172CD" w14:textId="77777777" w:rsidR="00553544" w:rsidRPr="00781112" w:rsidRDefault="00553544" w:rsidP="004369B2">
      <w:pPr>
        <w:rPr>
          <w:color w:val="000000" w:themeColor="text1"/>
        </w:rPr>
      </w:pPr>
      <w:r w:rsidRPr="00781112">
        <w:rPr>
          <w:b/>
          <w:color w:val="000000" w:themeColor="text1"/>
        </w:rPr>
        <w:t>Data Source</w:t>
      </w:r>
    </w:p>
    <w:p w14:paraId="403134A2" w14:textId="77777777" w:rsidR="00553544" w:rsidRPr="00781112" w:rsidRDefault="00553544" w:rsidP="00296D74">
      <w:pPr>
        <w:rPr>
          <w:rFonts w:cs="Arial"/>
          <w:color w:val="000000" w:themeColor="text1"/>
          <w:szCs w:val="16"/>
        </w:rPr>
      </w:pPr>
      <w:r w:rsidRPr="00781112">
        <w:rPr>
          <w:rFonts w:cs="Arial"/>
          <w:color w:val="000000" w:themeColor="text1"/>
          <w:szCs w:val="16"/>
        </w:rPr>
        <w:t>OPTION 1:</w:t>
      </w:r>
    </w:p>
    <w:p w14:paraId="3ABD013F" w14:textId="6B60845D" w:rsidR="00553544" w:rsidRPr="00781112" w:rsidRDefault="00553544" w:rsidP="00296D74">
      <w:pPr>
        <w:rPr>
          <w:rFonts w:cs="Arial"/>
          <w:color w:val="000000" w:themeColor="text1"/>
          <w:szCs w:val="16"/>
        </w:rPr>
      </w:pPr>
      <w:r w:rsidRPr="00781112">
        <w:rPr>
          <w:rFonts w:cs="Arial"/>
          <w:color w:val="000000" w:themeColor="text1"/>
          <w:szCs w:val="16"/>
        </w:rPr>
        <w:t>Same data as used for reporting to the Department under section 618 of the Individuals with Disabilities Education Act (IDEA), using the definitions in EDFacts file specification FS009.</w:t>
      </w:r>
    </w:p>
    <w:p w14:paraId="7FE591EB" w14:textId="4339144B" w:rsidR="00553544" w:rsidRPr="00781112" w:rsidRDefault="00553544" w:rsidP="00296D74">
      <w:pPr>
        <w:rPr>
          <w:rFonts w:cs="Arial"/>
          <w:color w:val="000000" w:themeColor="text1"/>
          <w:szCs w:val="16"/>
        </w:rPr>
      </w:pPr>
      <w:r w:rsidRPr="00781112">
        <w:rPr>
          <w:rFonts w:cs="Arial"/>
          <w:color w:val="000000" w:themeColor="text1"/>
          <w:szCs w:val="16"/>
        </w:rPr>
        <w:t xml:space="preserve">OPTION 2 </w:t>
      </w:r>
      <w:r w:rsidR="003704E3" w:rsidRPr="00781112">
        <w:rPr>
          <w:rFonts w:cs="Arial"/>
          <w:szCs w:val="16"/>
        </w:rPr>
        <w:t>(For FFY 2020 ONLY):</w:t>
      </w:r>
    </w:p>
    <w:p w14:paraId="251BE1E1" w14:textId="77777777" w:rsidR="00553544" w:rsidRPr="00781112" w:rsidRDefault="00553544" w:rsidP="00296D74">
      <w:pPr>
        <w:rPr>
          <w:rFonts w:cs="Arial"/>
          <w:color w:val="000000" w:themeColor="text1"/>
          <w:szCs w:val="16"/>
        </w:rPr>
      </w:pPr>
      <w:r w:rsidRPr="00781112">
        <w:rPr>
          <w:rFonts w:cs="Arial"/>
          <w:color w:val="000000" w:themeColor="text1"/>
          <w:szCs w:val="16"/>
        </w:rPr>
        <w:t>Use same data source and measurement that the State used to report in its FFY 2010 SPP/APR that was submitted on February 1, 2012.</w:t>
      </w:r>
    </w:p>
    <w:p w14:paraId="660E9DFB" w14:textId="77777777" w:rsidR="00553544" w:rsidRPr="00781112" w:rsidRDefault="00553544" w:rsidP="004369B2">
      <w:pPr>
        <w:rPr>
          <w:color w:val="000000" w:themeColor="text1"/>
        </w:rPr>
      </w:pPr>
      <w:r w:rsidRPr="00781112">
        <w:rPr>
          <w:b/>
          <w:color w:val="000000" w:themeColor="text1"/>
        </w:rPr>
        <w:t>Measurement</w:t>
      </w:r>
    </w:p>
    <w:p w14:paraId="2DDFA00B" w14:textId="77777777" w:rsidR="00553544" w:rsidRPr="00781112" w:rsidRDefault="00553544" w:rsidP="00296D74">
      <w:pPr>
        <w:rPr>
          <w:rFonts w:cs="Arial"/>
          <w:color w:val="000000" w:themeColor="text1"/>
          <w:szCs w:val="16"/>
        </w:rPr>
      </w:pPr>
      <w:r w:rsidRPr="00781112">
        <w:rPr>
          <w:rFonts w:cs="Arial"/>
          <w:color w:val="000000" w:themeColor="text1"/>
          <w:szCs w:val="16"/>
        </w:rPr>
        <w:t>OPTION 1:</w:t>
      </w:r>
    </w:p>
    <w:p w14:paraId="770B9C89" w14:textId="7FCC5E3B" w:rsidR="00553544" w:rsidRPr="00781112" w:rsidRDefault="00553544" w:rsidP="00296D74">
      <w:pPr>
        <w:rPr>
          <w:rFonts w:cs="Arial"/>
          <w:color w:val="000000" w:themeColor="text1"/>
          <w:szCs w:val="16"/>
        </w:rPr>
      </w:pPr>
      <w:r w:rsidRPr="00781112">
        <w:rPr>
          <w:rFonts w:cs="Arial"/>
          <w:color w:val="000000" w:themeColor="text1"/>
          <w:szCs w:val="16"/>
        </w:rPr>
        <w:t xml:space="preserve">States must report a percentage using the number of youth with IEPs (ages 14-21) who exited special education due to dropping out in the numerator and the number of all youth with IEPs who </w:t>
      </w:r>
      <w:r w:rsidR="0053066F" w:rsidRPr="00781112">
        <w:rPr>
          <w:rFonts w:cs="Arial"/>
          <w:szCs w:val="16"/>
        </w:rPr>
        <w:t xml:space="preserve">exited special education </w:t>
      </w:r>
      <w:r w:rsidRPr="00781112">
        <w:rPr>
          <w:rFonts w:cs="Arial"/>
          <w:color w:val="000000" w:themeColor="text1"/>
          <w:szCs w:val="16"/>
        </w:rPr>
        <w:t>(ages 14-21) in the denominator.</w:t>
      </w:r>
    </w:p>
    <w:p w14:paraId="13812C1B" w14:textId="5E47E73B" w:rsidR="00553544" w:rsidRPr="00781112" w:rsidRDefault="00553544" w:rsidP="00296D74">
      <w:pPr>
        <w:rPr>
          <w:rFonts w:cs="Arial"/>
          <w:color w:val="000000" w:themeColor="text1"/>
          <w:szCs w:val="16"/>
        </w:rPr>
      </w:pPr>
      <w:r w:rsidRPr="00781112">
        <w:rPr>
          <w:rFonts w:cs="Arial"/>
          <w:color w:val="000000" w:themeColor="text1"/>
          <w:szCs w:val="16"/>
        </w:rPr>
        <w:t xml:space="preserve">OPTION 2 </w:t>
      </w:r>
      <w:r w:rsidR="003704E3" w:rsidRPr="00781112">
        <w:rPr>
          <w:rFonts w:cs="Arial"/>
          <w:szCs w:val="16"/>
        </w:rPr>
        <w:t>(For FFY 2020 ONLY):</w:t>
      </w:r>
    </w:p>
    <w:p w14:paraId="5D85D6DB" w14:textId="77777777" w:rsidR="00553544" w:rsidRPr="00781112" w:rsidRDefault="00553544" w:rsidP="00296D74">
      <w:pPr>
        <w:rPr>
          <w:rFonts w:cs="Arial"/>
          <w:color w:val="000000" w:themeColor="text1"/>
          <w:szCs w:val="16"/>
        </w:rPr>
      </w:pPr>
      <w:r w:rsidRPr="00781112">
        <w:rPr>
          <w:rFonts w:cs="Arial"/>
          <w:color w:val="000000" w:themeColor="text1"/>
          <w:szCs w:val="16"/>
        </w:rPr>
        <w:t>Use same data source and measurement that the State used to report in its FFY 2010 SPP/APR that was submitted on February 1, 2012.</w:t>
      </w:r>
    </w:p>
    <w:p w14:paraId="0D547F78" w14:textId="77777777" w:rsidR="00553544" w:rsidRPr="00781112" w:rsidRDefault="00553544" w:rsidP="004369B2">
      <w:pPr>
        <w:rPr>
          <w:color w:val="000000" w:themeColor="text1"/>
        </w:rPr>
      </w:pPr>
      <w:r w:rsidRPr="00781112">
        <w:rPr>
          <w:b/>
          <w:color w:val="000000" w:themeColor="text1"/>
        </w:rPr>
        <w:t>Instructions</w:t>
      </w:r>
    </w:p>
    <w:p w14:paraId="64E3DDA2" w14:textId="778C5D45" w:rsidR="00553544" w:rsidRPr="00781112" w:rsidRDefault="00553544" w:rsidP="00296D74">
      <w:pPr>
        <w:rPr>
          <w:rFonts w:cs="Arial"/>
          <w:i/>
          <w:iCs/>
          <w:color w:val="000000" w:themeColor="text1"/>
          <w:szCs w:val="16"/>
        </w:rPr>
      </w:pPr>
      <w:r w:rsidRPr="00781112">
        <w:rPr>
          <w:rFonts w:cs="Arial"/>
          <w:i/>
          <w:iCs/>
          <w:color w:val="000000" w:themeColor="text1"/>
          <w:szCs w:val="16"/>
        </w:rPr>
        <w:t>Sampling is not allowed.</w:t>
      </w:r>
    </w:p>
    <w:p w14:paraId="4BE0B739" w14:textId="21FB5B8C" w:rsidR="00CC6131" w:rsidRPr="00781112" w:rsidRDefault="00CC6131" w:rsidP="00CC6131">
      <w:pPr>
        <w:rPr>
          <w:rFonts w:cs="Arial"/>
          <w:szCs w:val="16"/>
        </w:rPr>
      </w:pPr>
      <w:r w:rsidRPr="00781112">
        <w:rPr>
          <w:rFonts w:cs="Arial"/>
          <w:szCs w:val="16"/>
        </w:rPr>
        <w:t>Data for this indicator are “lag” data. Describe the results of the State’s examination of the data for the year before the reporting year (e.g., for the FFY 2020 SPP/APR, use data from 2019-2020), and compare the results to the target.</w:t>
      </w:r>
    </w:p>
    <w:p w14:paraId="5EE32A75" w14:textId="33358C7E" w:rsidR="00CC6131" w:rsidRPr="00781112" w:rsidRDefault="00CC6131" w:rsidP="00296D74">
      <w:pPr>
        <w:rPr>
          <w:rFonts w:cs="Arial"/>
          <w:szCs w:val="16"/>
        </w:rPr>
      </w:pPr>
      <w:r w:rsidRPr="00781112">
        <w:rPr>
          <w:rFonts w:cs="Arial"/>
          <w:szCs w:val="16"/>
        </w:rPr>
        <w:t xml:space="preserve">With the FFY 2020 SPP/APR, due February 1, 2022, States may use either option 1 or 2. </w:t>
      </w:r>
      <w:r w:rsidR="0053066F" w:rsidRPr="00781112">
        <w:rPr>
          <w:rFonts w:cs="Arial"/>
        </w:rPr>
        <w:t>States using Option 2 must provide the actual numbers used in the calculation.</w:t>
      </w:r>
    </w:p>
    <w:p w14:paraId="14BA6A38" w14:textId="77777777" w:rsidR="00553544" w:rsidRPr="00781112" w:rsidRDefault="00553544" w:rsidP="00296D74">
      <w:pPr>
        <w:rPr>
          <w:rFonts w:cs="Arial"/>
          <w:color w:val="000000" w:themeColor="text1"/>
          <w:szCs w:val="16"/>
        </w:rPr>
      </w:pPr>
      <w:r w:rsidRPr="00781112">
        <w:rPr>
          <w:rFonts w:cs="Arial"/>
          <w:color w:val="000000" w:themeColor="text1"/>
          <w:szCs w:val="16"/>
        </w:rPr>
        <w:t>OPTION 1:</w:t>
      </w:r>
    </w:p>
    <w:p w14:paraId="4E899C11" w14:textId="3C9F53E2" w:rsidR="00553544" w:rsidRPr="00781112" w:rsidRDefault="00A14B5D" w:rsidP="00E706BB">
      <w:pPr>
        <w:rPr>
          <w:rFonts w:cs="Arial"/>
          <w:color w:val="000000" w:themeColor="text1"/>
          <w:szCs w:val="16"/>
        </w:rPr>
      </w:pPr>
      <w:r w:rsidRPr="00781112">
        <w:rPr>
          <w:rFonts w:cs="Arial"/>
          <w:b/>
          <w:bCs/>
          <w:color w:val="000000" w:themeColor="text1"/>
          <w:szCs w:val="16"/>
        </w:rPr>
        <w:t>Use 618 exiting data</w:t>
      </w:r>
      <w:r w:rsidRPr="00781112">
        <w:rPr>
          <w:rFonts w:cs="Arial"/>
          <w:color w:val="000000" w:themeColor="text1"/>
          <w:szCs w:val="16"/>
        </w:rPr>
        <w:t xml:space="preserve"> for the year before the reporting year (e.g., for the FFY 2020 SPP/APR, use data from 2019-2020). Include in the denominator the following exiting categories: (a) graduated with a regular high school diploma;</w:t>
      </w:r>
      <w:r w:rsidR="00E706BB" w:rsidRPr="00781112">
        <w:rPr>
          <w:rFonts w:cs="Arial"/>
          <w:color w:val="000000" w:themeColor="text1"/>
          <w:szCs w:val="16"/>
        </w:rPr>
        <w:t xml:space="preserve"> (b) graduated with a state-defined alternate diploma; (c) received a certificate; (d) reached maximum age; or (e) dropped out. </w:t>
      </w:r>
    </w:p>
    <w:p w14:paraId="10351B16" w14:textId="77777777" w:rsidR="00553544" w:rsidRPr="00781112" w:rsidRDefault="00553544" w:rsidP="00296D74">
      <w:pPr>
        <w:rPr>
          <w:rFonts w:cs="Arial"/>
          <w:color w:val="000000" w:themeColor="text1"/>
          <w:szCs w:val="16"/>
        </w:rPr>
      </w:pPr>
      <w:r w:rsidRPr="00781112">
        <w:rPr>
          <w:rFonts w:cs="Arial"/>
          <w:color w:val="000000" w:themeColor="text1"/>
          <w:szCs w:val="16"/>
        </w:rPr>
        <w:t>Do not include in the denominator the number of youths with IEPs who exited special education due to: (a) transferring to regular education; or (b) who moved, but are known to be continuing in an educational program.</w:t>
      </w:r>
    </w:p>
    <w:p w14:paraId="605CC57A" w14:textId="77777777" w:rsidR="00553544" w:rsidRPr="00781112" w:rsidRDefault="00553544" w:rsidP="00296D74">
      <w:pPr>
        <w:rPr>
          <w:rFonts w:cs="Arial"/>
          <w:color w:val="000000" w:themeColor="text1"/>
          <w:szCs w:val="16"/>
        </w:rPr>
      </w:pPr>
      <w:r w:rsidRPr="00781112">
        <w:rPr>
          <w:rFonts w:cs="Arial"/>
          <w:color w:val="000000" w:themeColor="text1"/>
          <w:szCs w:val="16"/>
        </w:rPr>
        <w:t>OPTION 2:</w:t>
      </w:r>
    </w:p>
    <w:p w14:paraId="6210B2C8" w14:textId="77777777" w:rsidR="00553544" w:rsidRPr="00781112" w:rsidRDefault="00553544" w:rsidP="00296D74">
      <w:pPr>
        <w:rPr>
          <w:rFonts w:cs="Arial"/>
          <w:color w:val="000000" w:themeColor="text1"/>
          <w:szCs w:val="16"/>
        </w:rPr>
      </w:pPr>
      <w:r w:rsidRPr="00781112">
        <w:rPr>
          <w:rFonts w:cs="Arial"/>
          <w:color w:val="000000" w:themeColor="text1"/>
          <w:szCs w:val="16"/>
        </w:rPr>
        <w:t>Use the annual event school dropout rate for students leaving a school in a single year determined in accordance with the National Center for Education Statistic's Common Core of Data.</w:t>
      </w:r>
    </w:p>
    <w:p w14:paraId="35A79E37" w14:textId="77777777" w:rsidR="00553544" w:rsidRPr="00781112" w:rsidRDefault="00553544" w:rsidP="00296D74">
      <w:pPr>
        <w:rPr>
          <w:rFonts w:cs="Arial"/>
          <w:color w:val="000000" w:themeColor="text1"/>
          <w:szCs w:val="16"/>
        </w:rPr>
      </w:pPr>
      <w:r w:rsidRPr="00781112">
        <w:rPr>
          <w:rFonts w:cs="Arial"/>
          <w:color w:val="000000" w:themeColor="text1"/>
          <w:szCs w:val="16"/>
        </w:rPr>
        <w:t>If the State has made or proposes to make changes to the data source or measurement under Option 2, when compared to the information reported in its FFY 2010 SPP/APR submitted on February 1, 2012, the State should include a justification as to why such changes are warranted.</w:t>
      </w:r>
    </w:p>
    <w:p w14:paraId="7A6D6B9C" w14:textId="2500B44D" w:rsidR="00553544" w:rsidRPr="00781112" w:rsidRDefault="00553544" w:rsidP="00296D74">
      <w:pPr>
        <w:rPr>
          <w:rFonts w:cs="Arial"/>
          <w:color w:val="000000" w:themeColor="text1"/>
          <w:szCs w:val="16"/>
        </w:rPr>
      </w:pPr>
      <w:r w:rsidRPr="00781112">
        <w:rPr>
          <w:rFonts w:cs="Arial"/>
          <w:color w:val="000000" w:themeColor="text1"/>
          <w:szCs w:val="16"/>
        </w:rPr>
        <w:t>Options 1 and 2:</w:t>
      </w:r>
    </w:p>
    <w:p w14:paraId="6B573FD8" w14:textId="77777777" w:rsidR="00573616" w:rsidRPr="00781112" w:rsidRDefault="00573616" w:rsidP="00573616">
      <w:pPr>
        <w:rPr>
          <w:rFonts w:cs="Arial"/>
          <w:szCs w:val="16"/>
        </w:rPr>
      </w:pPr>
      <w:r w:rsidRPr="00781112">
        <w:rPr>
          <w:rFonts w:cs="Arial"/>
          <w:szCs w:val="16"/>
        </w:rPr>
        <w:t>Provide a narrative that describes what counts as dropping out for all youth. Please explain if there is a difference between what counts as dropping out for all students and what counts as dropping out for students with IEPs.</w:t>
      </w:r>
    </w:p>
    <w:p w14:paraId="63E1EB8C" w14:textId="6D7D6A62" w:rsidR="00573616" w:rsidRPr="00781112" w:rsidRDefault="00573616" w:rsidP="00360DD6">
      <w:pPr>
        <w:rPr>
          <w:rFonts w:cs="Arial"/>
          <w:szCs w:val="16"/>
        </w:rPr>
      </w:pPr>
      <w:r w:rsidRPr="00781112">
        <w:rPr>
          <w:rFonts w:cs="Arial"/>
          <w:b/>
          <w:bCs/>
          <w:szCs w:val="16"/>
        </w:rPr>
        <w:t>Beginning with the FFY 2021 SPP/APR, due February 1, 2023</w:t>
      </w:r>
      <w:r w:rsidRPr="00781112">
        <w:rPr>
          <w:rFonts w:cs="Arial"/>
          <w:szCs w:val="16"/>
        </w:rPr>
        <w:t>, States must report data using</w:t>
      </w:r>
      <w:r w:rsidR="0053066F" w:rsidRPr="00781112">
        <w:rPr>
          <w:rFonts w:cs="Arial"/>
          <w:szCs w:val="16"/>
        </w:rPr>
        <w:t xml:space="preserve"> </w:t>
      </w:r>
      <w:r w:rsidR="0053066F" w:rsidRPr="00781112">
        <w:rPr>
          <w:rFonts w:cs="Arial"/>
        </w:rPr>
        <w:t>Option 1 (i.e., the same data as used for reporting to the Department under section 618 of the IDEA). Option 2 will not be available beginning with the FFY 2021 SPP/APR.</w:t>
      </w:r>
      <w:r w:rsidRPr="00781112">
        <w:rPr>
          <w:rFonts w:cs="Arial"/>
          <w:szCs w:val="16"/>
        </w:rPr>
        <w:t xml:space="preserve"> </w:t>
      </w:r>
    </w:p>
    <w:bookmarkEnd w:id="9"/>
    <w:p w14:paraId="7F3C4C70" w14:textId="5E656134" w:rsidR="002C60D5" w:rsidRPr="00781112" w:rsidRDefault="00F914B4" w:rsidP="008645AD">
      <w:pPr>
        <w:pStyle w:val="Heading2"/>
      </w:pPr>
      <w:r w:rsidRPr="00781112">
        <w:t>2</w:t>
      </w:r>
      <w:r w:rsidR="00684B51" w:rsidRPr="00781112">
        <w:t xml:space="preserve"> </w:t>
      </w:r>
      <w:r w:rsidRPr="00781112">
        <w:t xml:space="preserve">- </w:t>
      </w:r>
      <w:r w:rsidR="002C60D5" w:rsidRPr="00781112">
        <w:t>Indicator Data</w:t>
      </w:r>
    </w:p>
    <w:p w14:paraId="6F5DCECF" w14:textId="739F0BA3" w:rsidR="00907A35" w:rsidRPr="00781112" w:rsidRDefault="00907A3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2BASELINEDATA"/>
      </w:tblPr>
      <w:tblGrid>
        <w:gridCol w:w="1797"/>
        <w:gridCol w:w="1798"/>
      </w:tblGrid>
      <w:tr w:rsidR="008F3F33" w:rsidRPr="00781112" w14:paraId="628BEDAF" w14:textId="77777777" w:rsidTr="0033429D">
        <w:trPr>
          <w:trHeight w:val="311"/>
          <w:tblHeader/>
        </w:trPr>
        <w:tc>
          <w:tcPr>
            <w:tcW w:w="1797" w:type="dxa"/>
          </w:tcPr>
          <w:p w14:paraId="43FEF78C" w14:textId="77777777" w:rsidR="008F3F33" w:rsidRPr="00781112" w:rsidRDefault="008F3F33" w:rsidP="002B6965">
            <w:pPr>
              <w:jc w:val="center"/>
              <w:rPr>
                <w:b/>
                <w:color w:val="000000" w:themeColor="text1"/>
              </w:rPr>
            </w:pPr>
            <w:r w:rsidRPr="00781112">
              <w:rPr>
                <w:rFonts w:cs="Arial"/>
                <w:b/>
                <w:color w:val="000000" w:themeColor="text1"/>
                <w:szCs w:val="16"/>
              </w:rPr>
              <w:t>Baseline Year</w:t>
            </w:r>
          </w:p>
        </w:tc>
        <w:tc>
          <w:tcPr>
            <w:tcW w:w="1798" w:type="dxa"/>
          </w:tcPr>
          <w:p w14:paraId="276B82F6" w14:textId="77777777" w:rsidR="008F3F33" w:rsidRPr="00781112" w:rsidRDefault="008F3F33" w:rsidP="002B6965">
            <w:pPr>
              <w:jc w:val="center"/>
              <w:rPr>
                <w:b/>
                <w:color w:val="000000" w:themeColor="text1"/>
              </w:rPr>
            </w:pPr>
            <w:r w:rsidRPr="00781112">
              <w:rPr>
                <w:b/>
                <w:color w:val="000000" w:themeColor="text1"/>
              </w:rPr>
              <w:t>Baseline Data</w:t>
            </w:r>
          </w:p>
        </w:tc>
      </w:tr>
      <w:tr w:rsidR="008F3F33" w:rsidRPr="00781112" w14:paraId="4706A01B" w14:textId="77777777" w:rsidTr="0033429D">
        <w:trPr>
          <w:trHeight w:val="311"/>
        </w:trPr>
        <w:tc>
          <w:tcPr>
            <w:tcW w:w="1797" w:type="dxa"/>
            <w:vAlign w:val="center"/>
          </w:tcPr>
          <w:p w14:paraId="2D2A3601" w14:textId="2E05C132" w:rsidR="008F3F33" w:rsidRPr="00781112" w:rsidRDefault="008F3F33" w:rsidP="002B6965">
            <w:pPr>
              <w:jc w:val="center"/>
              <w:rPr>
                <w:bCs/>
                <w:color w:val="000000" w:themeColor="text1"/>
              </w:rPr>
            </w:pPr>
            <w:r w:rsidRPr="00781112">
              <w:rPr>
                <w:bCs/>
                <w:color w:val="000000" w:themeColor="text1"/>
              </w:rPr>
              <w:t>2011</w:t>
            </w:r>
          </w:p>
        </w:tc>
        <w:tc>
          <w:tcPr>
            <w:tcW w:w="1798" w:type="dxa"/>
            <w:vAlign w:val="center"/>
          </w:tcPr>
          <w:p w14:paraId="47669FA0" w14:textId="71ECEF5D" w:rsidR="008F3F33" w:rsidRPr="00781112" w:rsidRDefault="008F3F33" w:rsidP="002B6965">
            <w:pPr>
              <w:jc w:val="center"/>
              <w:rPr>
                <w:bCs/>
                <w:color w:val="000000" w:themeColor="text1"/>
              </w:rPr>
            </w:pPr>
            <w:r w:rsidRPr="00781112">
              <w:rPr>
                <w:bCs/>
                <w:color w:val="000000" w:themeColor="text1"/>
              </w:rPr>
              <w:t>37.00%</w:t>
            </w:r>
          </w:p>
        </w:tc>
      </w:tr>
    </w:tbl>
    <w:p w14:paraId="1D724648" w14:textId="77777777" w:rsidR="008F3F33" w:rsidRPr="00781112" w:rsidRDefault="008F3F33"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HISTDATA"/>
      </w:tblPr>
      <w:tblGrid>
        <w:gridCol w:w="1798"/>
        <w:gridCol w:w="1798"/>
        <w:gridCol w:w="1798"/>
        <w:gridCol w:w="1798"/>
        <w:gridCol w:w="1798"/>
        <w:gridCol w:w="1800"/>
      </w:tblGrid>
      <w:tr w:rsidR="005C29F8" w:rsidRPr="00781112" w14:paraId="4B5BBF62" w14:textId="77777777" w:rsidTr="00DF4C35">
        <w:trPr>
          <w:trHeight w:val="350"/>
        </w:trPr>
        <w:tc>
          <w:tcPr>
            <w:tcW w:w="833" w:type="pct"/>
            <w:tcBorders>
              <w:bottom w:val="single" w:sz="4" w:space="0" w:color="auto"/>
            </w:tcBorders>
            <w:shd w:val="clear" w:color="auto" w:fill="auto"/>
          </w:tcPr>
          <w:p w14:paraId="7CE940CD" w14:textId="77777777" w:rsidR="00907A35" w:rsidRPr="00781112" w:rsidRDefault="00907A35" w:rsidP="004369B2">
            <w:pPr>
              <w:jc w:val="center"/>
              <w:rPr>
                <w:b/>
                <w:color w:val="000000" w:themeColor="text1"/>
              </w:rPr>
            </w:pPr>
            <w:r w:rsidRPr="00781112">
              <w:rPr>
                <w:b/>
                <w:color w:val="000000" w:themeColor="text1"/>
              </w:rPr>
              <w:t>FFY</w:t>
            </w:r>
          </w:p>
        </w:tc>
        <w:tc>
          <w:tcPr>
            <w:tcW w:w="833" w:type="pct"/>
            <w:shd w:val="clear" w:color="auto" w:fill="auto"/>
          </w:tcPr>
          <w:p w14:paraId="1B67E69F" w14:textId="56F9072E" w:rsidR="00907A35" w:rsidRPr="00781112" w:rsidRDefault="002B7490" w:rsidP="00894709">
            <w:pPr>
              <w:jc w:val="center"/>
              <w:rPr>
                <w:b/>
                <w:color w:val="000000" w:themeColor="text1"/>
              </w:rPr>
            </w:pPr>
            <w:r w:rsidRPr="00781112">
              <w:rPr>
                <w:b/>
                <w:color w:val="000000" w:themeColor="text1"/>
              </w:rPr>
              <w:t>2015</w:t>
            </w:r>
          </w:p>
        </w:tc>
        <w:tc>
          <w:tcPr>
            <w:tcW w:w="833" w:type="pct"/>
            <w:shd w:val="clear" w:color="auto" w:fill="auto"/>
          </w:tcPr>
          <w:p w14:paraId="7C0715D5" w14:textId="197F633E" w:rsidR="00907A35" w:rsidRPr="00781112" w:rsidRDefault="002B7490" w:rsidP="00894709">
            <w:pPr>
              <w:jc w:val="center"/>
              <w:rPr>
                <w:b/>
                <w:color w:val="000000" w:themeColor="text1"/>
              </w:rPr>
            </w:pPr>
            <w:r w:rsidRPr="00781112">
              <w:rPr>
                <w:b/>
                <w:color w:val="000000" w:themeColor="text1"/>
              </w:rPr>
              <w:t>2016</w:t>
            </w:r>
          </w:p>
        </w:tc>
        <w:tc>
          <w:tcPr>
            <w:tcW w:w="833" w:type="pct"/>
            <w:shd w:val="clear" w:color="auto" w:fill="auto"/>
          </w:tcPr>
          <w:p w14:paraId="36DD95CC" w14:textId="1D95C11E" w:rsidR="00907A35" w:rsidRPr="00781112" w:rsidRDefault="002B7490" w:rsidP="00894709">
            <w:pPr>
              <w:jc w:val="center"/>
              <w:rPr>
                <w:b/>
                <w:color w:val="000000" w:themeColor="text1"/>
              </w:rPr>
            </w:pPr>
            <w:r w:rsidRPr="00781112">
              <w:rPr>
                <w:b/>
                <w:color w:val="000000" w:themeColor="text1"/>
              </w:rPr>
              <w:t>2017</w:t>
            </w:r>
          </w:p>
        </w:tc>
        <w:tc>
          <w:tcPr>
            <w:tcW w:w="833" w:type="pct"/>
            <w:shd w:val="clear" w:color="auto" w:fill="auto"/>
          </w:tcPr>
          <w:p w14:paraId="6DC8920B" w14:textId="560E0E60" w:rsidR="00907A35" w:rsidRPr="00781112" w:rsidRDefault="002B7490" w:rsidP="00894709">
            <w:pPr>
              <w:jc w:val="center"/>
              <w:rPr>
                <w:b/>
                <w:color w:val="000000" w:themeColor="text1"/>
              </w:rPr>
            </w:pPr>
            <w:r w:rsidRPr="00781112">
              <w:rPr>
                <w:b/>
                <w:color w:val="000000" w:themeColor="text1"/>
              </w:rPr>
              <w:t>2018</w:t>
            </w:r>
          </w:p>
        </w:tc>
        <w:tc>
          <w:tcPr>
            <w:tcW w:w="834" w:type="pct"/>
            <w:shd w:val="clear" w:color="auto" w:fill="auto"/>
          </w:tcPr>
          <w:p w14:paraId="42978F28" w14:textId="43280835" w:rsidR="00907A35" w:rsidRPr="00781112" w:rsidRDefault="002B7490" w:rsidP="00894709">
            <w:pPr>
              <w:jc w:val="center"/>
              <w:rPr>
                <w:b/>
                <w:color w:val="000000" w:themeColor="text1"/>
              </w:rPr>
            </w:pPr>
            <w:r w:rsidRPr="00781112">
              <w:rPr>
                <w:b/>
                <w:color w:val="000000" w:themeColor="text1"/>
              </w:rPr>
              <w:t>2019</w:t>
            </w:r>
          </w:p>
        </w:tc>
      </w:tr>
      <w:tr w:rsidR="005C29F8" w:rsidRPr="00781112" w14:paraId="58F3D93E" w14:textId="77777777" w:rsidTr="00DF4C35">
        <w:trPr>
          <w:trHeight w:val="357"/>
        </w:trPr>
        <w:tc>
          <w:tcPr>
            <w:tcW w:w="833" w:type="pct"/>
            <w:shd w:val="clear" w:color="auto" w:fill="auto"/>
            <w:vAlign w:val="center"/>
          </w:tcPr>
          <w:p w14:paraId="19C9E1E1" w14:textId="72240B64" w:rsidR="00907A35" w:rsidRPr="00781112" w:rsidRDefault="00907A35" w:rsidP="001F692C">
            <w:pPr>
              <w:rPr>
                <w:rFonts w:cs="Arial"/>
                <w:color w:val="000000" w:themeColor="text1"/>
                <w:szCs w:val="16"/>
              </w:rPr>
            </w:pPr>
            <w:r w:rsidRPr="00781112">
              <w:rPr>
                <w:rFonts w:cs="Arial"/>
                <w:color w:val="000000" w:themeColor="text1"/>
                <w:szCs w:val="16"/>
              </w:rPr>
              <w:t xml:space="preserve">Target </w:t>
            </w:r>
            <w:r w:rsidR="0051170F" w:rsidRPr="00781112">
              <w:rPr>
                <w:rFonts w:cs="Arial"/>
                <w:color w:val="000000" w:themeColor="text1"/>
                <w:szCs w:val="16"/>
                <w:shd w:val="clear" w:color="auto" w:fill="FFFFFF"/>
              </w:rPr>
              <w:t>&lt;=</w:t>
            </w:r>
          </w:p>
        </w:tc>
        <w:tc>
          <w:tcPr>
            <w:tcW w:w="833" w:type="pct"/>
            <w:shd w:val="clear" w:color="auto" w:fill="auto"/>
            <w:vAlign w:val="center"/>
          </w:tcPr>
          <w:p w14:paraId="70EB2EF4" w14:textId="3E0F0873" w:rsidR="00907A35" w:rsidRPr="00781112" w:rsidRDefault="002B7490" w:rsidP="00E0321D">
            <w:pPr>
              <w:jc w:val="center"/>
              <w:rPr>
                <w:rFonts w:cs="Arial"/>
                <w:color w:val="000000" w:themeColor="text1"/>
                <w:szCs w:val="16"/>
              </w:rPr>
            </w:pPr>
            <w:r w:rsidRPr="00781112">
              <w:rPr>
                <w:rFonts w:cs="Arial"/>
                <w:color w:val="000000" w:themeColor="text1"/>
                <w:szCs w:val="16"/>
              </w:rPr>
              <w:t>33.00%</w:t>
            </w:r>
          </w:p>
        </w:tc>
        <w:tc>
          <w:tcPr>
            <w:tcW w:w="833" w:type="pct"/>
            <w:shd w:val="clear" w:color="auto" w:fill="auto"/>
            <w:vAlign w:val="center"/>
          </w:tcPr>
          <w:p w14:paraId="09754C04" w14:textId="6AA1C908" w:rsidR="00907A35" w:rsidRPr="00781112" w:rsidRDefault="002B7490" w:rsidP="00E0321D">
            <w:pPr>
              <w:jc w:val="center"/>
              <w:rPr>
                <w:rFonts w:cs="Arial"/>
                <w:color w:val="000000" w:themeColor="text1"/>
                <w:szCs w:val="16"/>
              </w:rPr>
            </w:pPr>
            <w:r w:rsidRPr="00781112">
              <w:rPr>
                <w:rFonts w:cs="Arial"/>
                <w:color w:val="000000" w:themeColor="text1"/>
                <w:szCs w:val="16"/>
              </w:rPr>
              <w:t>30.00%</w:t>
            </w:r>
          </w:p>
        </w:tc>
        <w:tc>
          <w:tcPr>
            <w:tcW w:w="833" w:type="pct"/>
            <w:shd w:val="clear" w:color="auto" w:fill="auto"/>
            <w:vAlign w:val="center"/>
          </w:tcPr>
          <w:p w14:paraId="73F1F537" w14:textId="213B7CF6" w:rsidR="00907A35" w:rsidRPr="00781112" w:rsidRDefault="002B7490" w:rsidP="00E0321D">
            <w:pPr>
              <w:jc w:val="center"/>
              <w:rPr>
                <w:rFonts w:cs="Arial"/>
                <w:color w:val="000000" w:themeColor="text1"/>
                <w:szCs w:val="16"/>
              </w:rPr>
            </w:pPr>
            <w:r w:rsidRPr="00781112">
              <w:rPr>
                <w:rFonts w:cs="Arial"/>
                <w:color w:val="000000" w:themeColor="text1"/>
                <w:szCs w:val="16"/>
              </w:rPr>
              <w:t>27.00%</w:t>
            </w:r>
          </w:p>
        </w:tc>
        <w:tc>
          <w:tcPr>
            <w:tcW w:w="833" w:type="pct"/>
            <w:shd w:val="clear" w:color="auto" w:fill="auto"/>
            <w:vAlign w:val="center"/>
          </w:tcPr>
          <w:p w14:paraId="24592EED" w14:textId="5BE30DC5" w:rsidR="00907A35" w:rsidRPr="00781112" w:rsidRDefault="002B7490" w:rsidP="00E0321D">
            <w:pPr>
              <w:jc w:val="center"/>
              <w:rPr>
                <w:rFonts w:cs="Arial"/>
                <w:color w:val="000000" w:themeColor="text1"/>
                <w:szCs w:val="16"/>
              </w:rPr>
            </w:pPr>
            <w:r w:rsidRPr="00781112">
              <w:rPr>
                <w:rFonts w:cs="Arial"/>
                <w:color w:val="000000" w:themeColor="text1"/>
                <w:szCs w:val="16"/>
              </w:rPr>
              <w:t>25.00%</w:t>
            </w:r>
          </w:p>
        </w:tc>
        <w:tc>
          <w:tcPr>
            <w:tcW w:w="834" w:type="pct"/>
            <w:shd w:val="clear" w:color="auto" w:fill="auto"/>
            <w:vAlign w:val="center"/>
          </w:tcPr>
          <w:p w14:paraId="0C69FBF7" w14:textId="5FED7341" w:rsidR="00907A35" w:rsidRPr="00781112" w:rsidRDefault="002B7490" w:rsidP="00E0321D">
            <w:pPr>
              <w:jc w:val="center"/>
              <w:rPr>
                <w:rFonts w:cs="Arial"/>
                <w:color w:val="000000" w:themeColor="text1"/>
                <w:szCs w:val="16"/>
              </w:rPr>
            </w:pPr>
            <w:r w:rsidRPr="00781112">
              <w:rPr>
                <w:rFonts w:cs="Arial"/>
                <w:color w:val="000000" w:themeColor="text1"/>
                <w:szCs w:val="16"/>
              </w:rPr>
              <w:t>25.00%</w:t>
            </w:r>
          </w:p>
        </w:tc>
      </w:tr>
      <w:tr w:rsidR="005C29F8" w:rsidRPr="00781112" w14:paraId="06558B7E" w14:textId="77777777" w:rsidTr="00DF4C35">
        <w:trPr>
          <w:trHeight w:val="85"/>
        </w:trPr>
        <w:tc>
          <w:tcPr>
            <w:tcW w:w="833" w:type="pct"/>
            <w:shd w:val="clear" w:color="auto" w:fill="auto"/>
            <w:vAlign w:val="center"/>
          </w:tcPr>
          <w:p w14:paraId="1DE2074D" w14:textId="77777777" w:rsidR="00907A35" w:rsidRPr="00781112" w:rsidRDefault="00907A35" w:rsidP="001F692C">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33EDE68" w14:textId="28E51F4E" w:rsidR="00907A35" w:rsidRPr="00781112" w:rsidRDefault="002B7490" w:rsidP="00E0321D">
            <w:pPr>
              <w:jc w:val="center"/>
              <w:rPr>
                <w:rFonts w:cs="Arial"/>
                <w:color w:val="000000" w:themeColor="text1"/>
                <w:szCs w:val="16"/>
              </w:rPr>
            </w:pPr>
            <w:r w:rsidRPr="00781112">
              <w:rPr>
                <w:rFonts w:cs="Arial"/>
                <w:color w:val="000000" w:themeColor="text1"/>
                <w:szCs w:val="16"/>
              </w:rPr>
              <w:t>28.03%</w:t>
            </w:r>
          </w:p>
        </w:tc>
        <w:tc>
          <w:tcPr>
            <w:tcW w:w="833" w:type="pct"/>
            <w:shd w:val="clear" w:color="auto" w:fill="auto"/>
            <w:vAlign w:val="center"/>
          </w:tcPr>
          <w:p w14:paraId="1DE6EF8F" w14:textId="2C6399B2" w:rsidR="00907A35" w:rsidRPr="00781112" w:rsidRDefault="002B7490" w:rsidP="00E0321D">
            <w:pPr>
              <w:jc w:val="center"/>
              <w:rPr>
                <w:rFonts w:cs="Arial"/>
                <w:color w:val="000000" w:themeColor="text1"/>
                <w:szCs w:val="16"/>
              </w:rPr>
            </w:pPr>
            <w:r w:rsidRPr="00781112">
              <w:rPr>
                <w:rFonts w:cs="Arial"/>
                <w:color w:val="000000" w:themeColor="text1"/>
                <w:szCs w:val="16"/>
              </w:rPr>
              <w:t>28.54%</w:t>
            </w:r>
          </w:p>
        </w:tc>
        <w:tc>
          <w:tcPr>
            <w:tcW w:w="833" w:type="pct"/>
            <w:tcBorders>
              <w:bottom w:val="single" w:sz="4" w:space="0" w:color="auto"/>
            </w:tcBorders>
            <w:shd w:val="clear" w:color="auto" w:fill="auto"/>
            <w:vAlign w:val="center"/>
          </w:tcPr>
          <w:p w14:paraId="3F810822" w14:textId="70D15FEC" w:rsidR="00907A35" w:rsidRPr="00781112" w:rsidRDefault="002B7490" w:rsidP="00E0321D">
            <w:pPr>
              <w:jc w:val="center"/>
              <w:rPr>
                <w:rFonts w:cs="Arial"/>
                <w:color w:val="000000" w:themeColor="text1"/>
                <w:szCs w:val="16"/>
              </w:rPr>
            </w:pPr>
            <w:r w:rsidRPr="00781112">
              <w:rPr>
                <w:rFonts w:cs="Arial"/>
                <w:color w:val="000000" w:themeColor="text1"/>
                <w:szCs w:val="16"/>
              </w:rPr>
              <w:t>24.31%</w:t>
            </w:r>
          </w:p>
        </w:tc>
        <w:tc>
          <w:tcPr>
            <w:tcW w:w="833" w:type="pct"/>
            <w:tcBorders>
              <w:bottom w:val="single" w:sz="4" w:space="0" w:color="auto"/>
            </w:tcBorders>
            <w:shd w:val="clear" w:color="auto" w:fill="auto"/>
            <w:vAlign w:val="center"/>
          </w:tcPr>
          <w:p w14:paraId="5421E042" w14:textId="6AE010E9" w:rsidR="00907A35" w:rsidRPr="00781112" w:rsidRDefault="002B7490" w:rsidP="00E0321D">
            <w:pPr>
              <w:jc w:val="center"/>
              <w:rPr>
                <w:rFonts w:cs="Arial"/>
                <w:color w:val="000000" w:themeColor="text1"/>
                <w:szCs w:val="16"/>
              </w:rPr>
            </w:pPr>
            <w:r w:rsidRPr="00781112">
              <w:rPr>
                <w:rFonts w:cs="Arial"/>
                <w:color w:val="000000" w:themeColor="text1"/>
                <w:szCs w:val="16"/>
              </w:rPr>
              <w:t>20.58%</w:t>
            </w:r>
          </w:p>
        </w:tc>
        <w:tc>
          <w:tcPr>
            <w:tcW w:w="834" w:type="pct"/>
            <w:tcBorders>
              <w:bottom w:val="single" w:sz="4" w:space="0" w:color="auto"/>
            </w:tcBorders>
            <w:shd w:val="clear" w:color="auto" w:fill="auto"/>
            <w:vAlign w:val="center"/>
          </w:tcPr>
          <w:p w14:paraId="32A53100" w14:textId="125B9065" w:rsidR="00907A35" w:rsidRPr="00781112" w:rsidRDefault="00907A35" w:rsidP="00E0321D">
            <w:pPr>
              <w:jc w:val="center"/>
              <w:rPr>
                <w:rFonts w:cs="Arial"/>
                <w:color w:val="000000" w:themeColor="text1"/>
                <w:szCs w:val="16"/>
              </w:rPr>
            </w:pPr>
          </w:p>
        </w:tc>
      </w:tr>
    </w:tbl>
    <w:p w14:paraId="2E8ED284" w14:textId="77777777" w:rsidR="00654A4B" w:rsidRPr="00781112" w:rsidRDefault="00654A4B" w:rsidP="004369B2">
      <w:pPr>
        <w:rPr>
          <w:color w:val="000000" w:themeColor="text1"/>
        </w:rPr>
      </w:pPr>
    </w:p>
    <w:p w14:paraId="1AD526FC" w14:textId="0D130AB7" w:rsidR="00907A35" w:rsidRPr="00781112" w:rsidRDefault="00907A35" w:rsidP="004369B2">
      <w:pPr>
        <w:rPr>
          <w:color w:val="000000" w:themeColor="text1"/>
        </w:rPr>
      </w:pPr>
      <w:r w:rsidRPr="00781112">
        <w:rPr>
          <w:b/>
          <w:color w:val="000000" w:themeColor="text1"/>
        </w:rPr>
        <w:t>Targets</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TARGETS"/>
      </w:tblPr>
      <w:tblGrid>
        <w:gridCol w:w="732"/>
        <w:gridCol w:w="1676"/>
        <w:gridCol w:w="1676"/>
        <w:gridCol w:w="1676"/>
        <w:gridCol w:w="1676"/>
        <w:gridCol w:w="1676"/>
        <w:gridCol w:w="1672"/>
      </w:tblGrid>
      <w:tr w:rsidR="00373F78" w:rsidRPr="00781112" w14:paraId="029A4CCE" w14:textId="7CD6FC1B" w:rsidTr="00DF4C35">
        <w:trPr>
          <w:trHeight w:val="378"/>
        </w:trPr>
        <w:tc>
          <w:tcPr>
            <w:tcW w:w="339" w:type="pct"/>
            <w:tcBorders>
              <w:bottom w:val="single" w:sz="4" w:space="0" w:color="auto"/>
            </w:tcBorders>
            <w:shd w:val="clear" w:color="auto" w:fill="auto"/>
          </w:tcPr>
          <w:p w14:paraId="7E454C96" w14:textId="77777777" w:rsidR="00373F78" w:rsidRPr="00781112" w:rsidRDefault="00373F78" w:rsidP="00373F78">
            <w:pPr>
              <w:jc w:val="center"/>
              <w:rPr>
                <w:b/>
                <w:color w:val="000000" w:themeColor="text1"/>
              </w:rPr>
            </w:pPr>
            <w:r w:rsidRPr="00781112">
              <w:rPr>
                <w:b/>
                <w:color w:val="000000" w:themeColor="text1"/>
              </w:rPr>
              <w:t>FFY</w:t>
            </w:r>
          </w:p>
        </w:tc>
        <w:tc>
          <w:tcPr>
            <w:tcW w:w="777" w:type="pct"/>
            <w:shd w:val="clear" w:color="auto" w:fill="auto"/>
            <w:vAlign w:val="center"/>
          </w:tcPr>
          <w:p w14:paraId="43981BCA" w14:textId="46BADE94" w:rsidR="00373F78" w:rsidRPr="00781112" w:rsidRDefault="00373F78" w:rsidP="00373F78">
            <w:pPr>
              <w:jc w:val="center"/>
              <w:rPr>
                <w:b/>
                <w:color w:val="000000" w:themeColor="text1"/>
              </w:rPr>
            </w:pPr>
            <w:r w:rsidRPr="00781112">
              <w:rPr>
                <w:b/>
                <w:color w:val="000000" w:themeColor="text1"/>
              </w:rPr>
              <w:t>2020</w:t>
            </w:r>
          </w:p>
        </w:tc>
        <w:tc>
          <w:tcPr>
            <w:tcW w:w="777" w:type="pct"/>
          </w:tcPr>
          <w:p w14:paraId="5E92A3B3" w14:textId="014BC7EC" w:rsidR="00373F78" w:rsidRPr="00781112" w:rsidRDefault="00373F78" w:rsidP="00373F78">
            <w:pPr>
              <w:jc w:val="center"/>
              <w:rPr>
                <w:b/>
                <w:color w:val="000000" w:themeColor="text1"/>
              </w:rPr>
            </w:pPr>
            <w:r w:rsidRPr="00781112">
              <w:rPr>
                <w:rFonts w:cs="Arial"/>
                <w:b/>
                <w:color w:val="000000" w:themeColor="text1"/>
                <w:szCs w:val="16"/>
              </w:rPr>
              <w:t>2021</w:t>
            </w:r>
          </w:p>
        </w:tc>
        <w:tc>
          <w:tcPr>
            <w:tcW w:w="777" w:type="pct"/>
          </w:tcPr>
          <w:p w14:paraId="3A9EE8AA" w14:textId="53416CB2" w:rsidR="00373F78" w:rsidRPr="00781112" w:rsidRDefault="00373F78" w:rsidP="00373F78">
            <w:pPr>
              <w:jc w:val="center"/>
              <w:rPr>
                <w:b/>
                <w:color w:val="000000" w:themeColor="text1"/>
              </w:rPr>
            </w:pPr>
            <w:r w:rsidRPr="00781112">
              <w:rPr>
                <w:rFonts w:cs="Arial"/>
                <w:b/>
                <w:color w:val="000000" w:themeColor="text1"/>
                <w:szCs w:val="16"/>
              </w:rPr>
              <w:t>2022</w:t>
            </w:r>
          </w:p>
        </w:tc>
        <w:tc>
          <w:tcPr>
            <w:tcW w:w="777" w:type="pct"/>
          </w:tcPr>
          <w:p w14:paraId="7D50850A" w14:textId="0FF3B8D7" w:rsidR="00373F78" w:rsidRPr="00781112" w:rsidRDefault="00373F78" w:rsidP="00373F78">
            <w:pPr>
              <w:jc w:val="center"/>
              <w:rPr>
                <w:b/>
                <w:color w:val="000000" w:themeColor="text1"/>
              </w:rPr>
            </w:pPr>
            <w:r w:rsidRPr="00781112">
              <w:rPr>
                <w:rFonts w:cs="Arial"/>
                <w:b/>
                <w:color w:val="000000" w:themeColor="text1"/>
                <w:szCs w:val="16"/>
              </w:rPr>
              <w:t>2023</w:t>
            </w:r>
          </w:p>
        </w:tc>
        <w:tc>
          <w:tcPr>
            <w:tcW w:w="777" w:type="pct"/>
          </w:tcPr>
          <w:p w14:paraId="150CD52F" w14:textId="1406DCAF" w:rsidR="00373F78" w:rsidRPr="00781112" w:rsidRDefault="00373F78" w:rsidP="00373F78">
            <w:pPr>
              <w:jc w:val="center"/>
              <w:rPr>
                <w:b/>
                <w:color w:val="000000" w:themeColor="text1"/>
              </w:rPr>
            </w:pPr>
            <w:r w:rsidRPr="00781112">
              <w:rPr>
                <w:rFonts w:cs="Arial"/>
                <w:b/>
                <w:color w:val="000000" w:themeColor="text1"/>
                <w:szCs w:val="16"/>
              </w:rPr>
              <w:t>2024</w:t>
            </w:r>
          </w:p>
        </w:tc>
        <w:tc>
          <w:tcPr>
            <w:tcW w:w="775" w:type="pct"/>
          </w:tcPr>
          <w:p w14:paraId="285B2BFD" w14:textId="664CF179" w:rsidR="00373F78" w:rsidRPr="00781112" w:rsidRDefault="00373F78" w:rsidP="00373F78">
            <w:pPr>
              <w:jc w:val="center"/>
              <w:rPr>
                <w:b/>
                <w:color w:val="000000" w:themeColor="text1"/>
              </w:rPr>
            </w:pPr>
            <w:r w:rsidRPr="00781112">
              <w:rPr>
                <w:rFonts w:cs="Arial"/>
                <w:b/>
                <w:color w:val="000000" w:themeColor="text1"/>
                <w:szCs w:val="16"/>
              </w:rPr>
              <w:t>2025</w:t>
            </w:r>
          </w:p>
        </w:tc>
      </w:tr>
      <w:tr w:rsidR="00373F78" w:rsidRPr="00781112" w14:paraId="74AFE5A4" w14:textId="4CB3606D" w:rsidTr="00DF4C35">
        <w:trPr>
          <w:trHeight w:val="386"/>
        </w:trPr>
        <w:tc>
          <w:tcPr>
            <w:tcW w:w="339" w:type="pct"/>
            <w:shd w:val="clear" w:color="auto" w:fill="auto"/>
            <w:vAlign w:val="center"/>
          </w:tcPr>
          <w:p w14:paraId="74812D09" w14:textId="3A67082C" w:rsidR="00373F78" w:rsidRPr="00781112" w:rsidRDefault="00373F78" w:rsidP="00373F78">
            <w:pPr>
              <w:rPr>
                <w:rFonts w:cs="Arial"/>
                <w:color w:val="000000" w:themeColor="text1"/>
                <w:szCs w:val="16"/>
              </w:rPr>
            </w:pPr>
            <w:r w:rsidRPr="00781112">
              <w:rPr>
                <w:rFonts w:cs="Arial"/>
                <w:color w:val="000000" w:themeColor="text1"/>
                <w:szCs w:val="16"/>
              </w:rPr>
              <w:t>Target &lt;=</w:t>
            </w:r>
          </w:p>
        </w:tc>
        <w:tc>
          <w:tcPr>
            <w:tcW w:w="777" w:type="pct"/>
            <w:shd w:val="clear" w:color="auto" w:fill="auto"/>
            <w:vAlign w:val="center"/>
          </w:tcPr>
          <w:p w14:paraId="1AA9A6F0" w14:textId="23F8F955" w:rsidR="00373F78" w:rsidRPr="00781112" w:rsidRDefault="00373F78" w:rsidP="00373F78">
            <w:pPr>
              <w:jc w:val="center"/>
              <w:rPr>
                <w:rFonts w:cs="Arial"/>
                <w:color w:val="000000" w:themeColor="text1"/>
                <w:szCs w:val="16"/>
              </w:rPr>
            </w:pPr>
            <w:r w:rsidRPr="00781112">
              <w:rPr>
                <w:rFonts w:cs="Arial"/>
                <w:color w:val="000000" w:themeColor="text1"/>
                <w:szCs w:val="16"/>
              </w:rPr>
              <w:t>20.00%</w:t>
            </w:r>
          </w:p>
        </w:tc>
        <w:tc>
          <w:tcPr>
            <w:tcW w:w="777" w:type="pct"/>
          </w:tcPr>
          <w:p w14:paraId="1887156F" w14:textId="2A53DFD8" w:rsidR="00373F78" w:rsidRPr="00781112" w:rsidRDefault="00373F78" w:rsidP="00373F78">
            <w:pPr>
              <w:jc w:val="center"/>
              <w:rPr>
                <w:rFonts w:cs="Arial"/>
                <w:color w:val="000000" w:themeColor="text1"/>
                <w:szCs w:val="16"/>
              </w:rPr>
            </w:pPr>
            <w:r w:rsidRPr="00781112">
              <w:rPr>
                <w:color w:val="000000" w:themeColor="text1"/>
                <w:szCs w:val="16"/>
              </w:rPr>
              <w:t>18.00%</w:t>
            </w:r>
          </w:p>
        </w:tc>
        <w:tc>
          <w:tcPr>
            <w:tcW w:w="777" w:type="pct"/>
          </w:tcPr>
          <w:p w14:paraId="114E0304" w14:textId="3D4B66CA" w:rsidR="00373F78" w:rsidRPr="00781112" w:rsidRDefault="00373F78" w:rsidP="00373F78">
            <w:pPr>
              <w:jc w:val="center"/>
              <w:rPr>
                <w:rFonts w:cs="Arial"/>
                <w:color w:val="000000" w:themeColor="text1"/>
                <w:szCs w:val="16"/>
              </w:rPr>
            </w:pPr>
            <w:r w:rsidRPr="00781112">
              <w:rPr>
                <w:color w:val="000000" w:themeColor="text1"/>
                <w:szCs w:val="16"/>
              </w:rPr>
              <w:t>16.00%</w:t>
            </w:r>
          </w:p>
        </w:tc>
        <w:tc>
          <w:tcPr>
            <w:tcW w:w="777" w:type="pct"/>
          </w:tcPr>
          <w:p w14:paraId="78D67310" w14:textId="6B7563FE" w:rsidR="00373F78" w:rsidRPr="00781112" w:rsidRDefault="00373F78" w:rsidP="00373F78">
            <w:pPr>
              <w:jc w:val="center"/>
              <w:rPr>
                <w:rFonts w:cs="Arial"/>
                <w:color w:val="000000" w:themeColor="text1"/>
                <w:szCs w:val="16"/>
              </w:rPr>
            </w:pPr>
            <w:r w:rsidRPr="00781112">
              <w:rPr>
                <w:color w:val="000000" w:themeColor="text1"/>
                <w:szCs w:val="16"/>
              </w:rPr>
              <w:t>14.00%</w:t>
            </w:r>
          </w:p>
        </w:tc>
        <w:tc>
          <w:tcPr>
            <w:tcW w:w="777" w:type="pct"/>
          </w:tcPr>
          <w:p w14:paraId="56091902" w14:textId="764DD0A6" w:rsidR="00373F78" w:rsidRPr="00781112" w:rsidRDefault="00373F78" w:rsidP="00373F78">
            <w:pPr>
              <w:jc w:val="center"/>
              <w:rPr>
                <w:rFonts w:cs="Arial"/>
                <w:color w:val="000000" w:themeColor="text1"/>
                <w:szCs w:val="16"/>
              </w:rPr>
            </w:pPr>
            <w:r w:rsidRPr="00781112">
              <w:rPr>
                <w:color w:val="000000" w:themeColor="text1"/>
                <w:szCs w:val="16"/>
              </w:rPr>
              <w:t>12.00%</w:t>
            </w:r>
          </w:p>
        </w:tc>
        <w:tc>
          <w:tcPr>
            <w:tcW w:w="775" w:type="pct"/>
          </w:tcPr>
          <w:p w14:paraId="361146A8" w14:textId="1C49A2DF" w:rsidR="00373F78" w:rsidRPr="00781112" w:rsidRDefault="00373F78" w:rsidP="00373F78">
            <w:pPr>
              <w:jc w:val="center"/>
              <w:rPr>
                <w:rFonts w:cs="Arial"/>
                <w:color w:val="000000" w:themeColor="text1"/>
                <w:szCs w:val="16"/>
              </w:rPr>
            </w:pPr>
            <w:r w:rsidRPr="00781112">
              <w:rPr>
                <w:color w:val="000000" w:themeColor="text1"/>
                <w:szCs w:val="16"/>
              </w:rPr>
              <w:t>10.00%</w:t>
            </w:r>
          </w:p>
        </w:tc>
      </w:tr>
    </w:tbl>
    <w:p w14:paraId="23C212C7" w14:textId="54B31D84" w:rsidR="002D145D" w:rsidRPr="00781112" w:rsidRDefault="002D145D">
      <w:pPr>
        <w:rPr>
          <w:b/>
          <w:color w:val="000000" w:themeColor="text1"/>
        </w:rPr>
      </w:pPr>
      <w:r w:rsidRPr="00781112">
        <w:rPr>
          <w:b/>
          <w:color w:val="000000" w:themeColor="text1"/>
        </w:rPr>
        <w:t>Targets: Description of Stakeholder Input</w:t>
      </w:r>
    </w:p>
    <w:p w14:paraId="713FE3D9" w14:textId="115A66E3" w:rsidR="0051170F" w:rsidRPr="00781112" w:rsidRDefault="0051170F" w:rsidP="004369B2">
      <w:pPr>
        <w:rPr>
          <w:rFonts w:cs="Arial"/>
          <w:color w:val="000000" w:themeColor="text1"/>
          <w:szCs w:val="16"/>
        </w:rPr>
      </w:pPr>
      <w:r w:rsidRPr="00781112">
        <w:rPr>
          <w:rFonts w:cs="Arial"/>
          <w:color w:val="000000" w:themeColor="text1"/>
          <w:szCs w:val="16"/>
        </w:rPr>
        <w:t>Louisiana has developed a comprehensive vision for the future of education in our state—Louisiana Believes. The driving force of this vision is that every one of Louisiana’s children should be on track to a college degree or a professional career. This inclusive vision and Louisiana’s values were apparent in the development of the SPP as we solicited and received broad stakeholder input to inform the target setting process for FFY 2020 - FFY 2025. The LDOE used three phases to develop the SPP targets for FFY 2020 - FFY 2025: 1) internal review, 2) external stakeholder feedback, and 3) Special Education Advisory Panel (SEAP) integration.</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 xml:space="preserve">Internal Review </w:t>
      </w:r>
      <w:r w:rsidRPr="00781112">
        <w:rPr>
          <w:rFonts w:cs="Arial"/>
          <w:color w:val="000000" w:themeColor="text1"/>
          <w:szCs w:val="16"/>
        </w:rPr>
        <w:br/>
        <w:t xml:space="preserve">The LDOE's Division for Diverse Learners reviewed historical data and LDOE policies, procedures, and practices; and collaborated with internal teams to develop targets that were rigorous and attainable. </w:t>
      </w:r>
      <w:r w:rsidRPr="00781112">
        <w:rPr>
          <w:rFonts w:cs="Arial"/>
          <w:color w:val="000000" w:themeColor="text1"/>
          <w:szCs w:val="16"/>
        </w:rPr>
        <w:br/>
      </w:r>
      <w:r w:rsidRPr="00781112">
        <w:rPr>
          <w:rFonts w:cs="Arial"/>
          <w:color w:val="000000" w:themeColor="text1"/>
          <w:szCs w:val="16"/>
        </w:rPr>
        <w:br/>
        <w:t>External Stakeholder Feedback</w:t>
      </w:r>
      <w:r w:rsidRPr="00781112">
        <w:rPr>
          <w:rFonts w:cs="Arial"/>
          <w:color w:val="000000" w:themeColor="text1"/>
          <w:szCs w:val="16"/>
        </w:rPr>
        <w:br/>
        <w:t xml:space="preserve">The Division for Diverse Learners developed and executed an SPP/APR target setting engagement strategy to solicit broad stakeholder feedback on the FFY 2020 - FFY 2025 targets. The LDOE developed a State Performance Plan / Annual Performance Report Target Setting webpage on the Louisiana Believes website. The webpage contains an overview document with an explanation of each indicator, historical data for each indicator, and tables to clearly identify whether or not the State met targets for each indicator. After review of the overview document, a target setting survey was available for stakeholders to provide input on targets. </w:t>
      </w:r>
      <w:r w:rsidRPr="00781112">
        <w:rPr>
          <w:rFonts w:cs="Arial"/>
          <w:color w:val="000000" w:themeColor="text1"/>
          <w:szCs w:val="16"/>
        </w:rPr>
        <w:br/>
      </w:r>
      <w:r w:rsidRPr="00781112">
        <w:rPr>
          <w:rFonts w:cs="Arial"/>
          <w:color w:val="000000" w:themeColor="text1"/>
          <w:szCs w:val="16"/>
        </w:rPr>
        <w:br/>
        <w:t>SEAP Integration</w:t>
      </w:r>
      <w:r w:rsidRPr="00781112">
        <w:rPr>
          <w:rFonts w:cs="Arial"/>
          <w:color w:val="000000" w:themeColor="text1"/>
          <w:szCs w:val="16"/>
        </w:rPr>
        <w:br/>
        <w:t>The LDOE informed the SEAP on the target setting process at two separate meetings. LDOE provided an overview of each indicator along with historical data to SEAP members who provided input. SEAP's structure also allows for public comments, which were exercised at the meetings, providing external stakeholder feedback.</w:t>
      </w:r>
      <w:r w:rsidRPr="00781112">
        <w:rPr>
          <w:rFonts w:cs="Arial"/>
          <w:color w:val="000000" w:themeColor="text1"/>
          <w:szCs w:val="16"/>
        </w:rPr>
        <w:br/>
      </w:r>
      <w:r w:rsidRPr="00781112">
        <w:rPr>
          <w:rFonts w:cs="Arial"/>
          <w:color w:val="000000" w:themeColor="text1"/>
          <w:szCs w:val="16"/>
        </w:rPr>
        <w:br/>
        <w:t>The LDOE set targets based on feedback, historical data, and whether previous targets set were met. LDOE will continue to monitor data, targets, and changes to Indicator methodology, and may revise targets in the future, as necessary. Any revisions will incorporate stakeholder feedback, including, but not limited to, SEAP.</w:t>
      </w:r>
    </w:p>
    <w:p w14:paraId="1646393A" w14:textId="2F9E8E4A" w:rsidR="002D145D" w:rsidRPr="00781112" w:rsidRDefault="002D145D" w:rsidP="002D145D">
      <w:pPr>
        <w:rPr>
          <w:rFonts w:cs="Arial"/>
          <w:color w:val="000000" w:themeColor="text1"/>
          <w:szCs w:val="16"/>
        </w:rPr>
      </w:pPr>
    </w:p>
    <w:p w14:paraId="540DBFAE" w14:textId="34D983B2" w:rsidR="00A2794A" w:rsidRPr="00781112" w:rsidRDefault="00A87A9D" w:rsidP="00DF30F0">
      <w:pPr>
        <w:rPr>
          <w:rFonts w:cs="Arial"/>
          <w:b/>
          <w:color w:val="000000" w:themeColor="text1"/>
          <w:szCs w:val="16"/>
        </w:rPr>
      </w:pPr>
      <w:r w:rsidRPr="00781112">
        <w:rPr>
          <w:rFonts w:cs="Arial"/>
          <w:b/>
          <w:color w:val="000000" w:themeColor="text1"/>
          <w:szCs w:val="16"/>
        </w:rPr>
        <w:t xml:space="preserve">Please indicate the reporting option used on this indicator </w:t>
      </w:r>
    </w:p>
    <w:p w14:paraId="4B2134EC" w14:textId="312D44C1" w:rsidR="006E3F55" w:rsidRPr="00781112" w:rsidRDefault="003D7F56" w:rsidP="0087456C">
      <w:pPr>
        <w:rPr>
          <w:color w:val="000000" w:themeColor="text1"/>
        </w:rPr>
      </w:pPr>
      <w:r w:rsidRPr="00781112">
        <w:rPr>
          <w:color w:val="000000" w:themeColor="text1"/>
        </w:rPr>
        <w:t>Option 1</w:t>
      </w:r>
    </w:p>
    <w:p w14:paraId="68E34693" w14:textId="382EE918" w:rsidR="00002962" w:rsidRPr="00781112" w:rsidRDefault="00002962"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PREPOPDATA"/>
      </w:tblPr>
      <w:tblGrid>
        <w:gridCol w:w="2164"/>
        <w:gridCol w:w="2130"/>
        <w:gridCol w:w="4929"/>
        <w:gridCol w:w="1567"/>
      </w:tblGrid>
      <w:tr w:rsidR="005C29F8" w:rsidRPr="00781112" w14:paraId="60D7260E" w14:textId="77777777" w:rsidTr="0011161A">
        <w:trPr>
          <w:trHeight w:val="372"/>
          <w:tblHeader/>
        </w:trPr>
        <w:tc>
          <w:tcPr>
            <w:tcW w:w="1003" w:type="pct"/>
            <w:shd w:val="clear" w:color="auto" w:fill="auto"/>
          </w:tcPr>
          <w:p w14:paraId="7217614C"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5FC9008"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Date</w:t>
            </w:r>
          </w:p>
        </w:tc>
        <w:tc>
          <w:tcPr>
            <w:tcW w:w="2284" w:type="pct"/>
            <w:shd w:val="clear" w:color="auto" w:fill="auto"/>
          </w:tcPr>
          <w:p w14:paraId="452E3A47"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Description</w:t>
            </w:r>
          </w:p>
        </w:tc>
        <w:tc>
          <w:tcPr>
            <w:tcW w:w="726" w:type="pct"/>
            <w:shd w:val="clear" w:color="auto" w:fill="auto"/>
          </w:tcPr>
          <w:p w14:paraId="197E988D"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20549B53" w14:textId="77777777" w:rsidTr="0011161A">
        <w:trPr>
          <w:trHeight w:val="380"/>
        </w:trPr>
        <w:tc>
          <w:tcPr>
            <w:tcW w:w="1003" w:type="pct"/>
            <w:shd w:val="clear" w:color="auto" w:fill="auto"/>
          </w:tcPr>
          <w:p w14:paraId="38DBE1E5" w14:textId="4B654FBA" w:rsidR="001D55EC" w:rsidRPr="00781112" w:rsidRDefault="008A2533" w:rsidP="00A018D4">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6675DCDD" w14:textId="08B07A76" w:rsidR="001D55EC" w:rsidRPr="00781112" w:rsidRDefault="008A2533" w:rsidP="00A018D4">
            <w:pPr>
              <w:jc w:val="center"/>
              <w:rPr>
                <w:rFonts w:cs="Arial"/>
                <w:color w:val="000000" w:themeColor="text1"/>
                <w:szCs w:val="16"/>
              </w:rPr>
            </w:pPr>
            <w:r w:rsidRPr="00781112">
              <w:rPr>
                <w:rFonts w:cs="Arial"/>
                <w:color w:val="000000" w:themeColor="text1"/>
                <w:szCs w:val="16"/>
              </w:rPr>
              <w:t>05/26/2021</w:t>
            </w:r>
          </w:p>
        </w:tc>
        <w:tc>
          <w:tcPr>
            <w:tcW w:w="2284" w:type="pct"/>
            <w:shd w:val="clear" w:color="auto" w:fill="auto"/>
          </w:tcPr>
          <w:p w14:paraId="52A6FFD9" w14:textId="722CDF17" w:rsidR="001D55EC" w:rsidRPr="00781112" w:rsidRDefault="00E619AC" w:rsidP="001D55EC">
            <w:pPr>
              <w:rPr>
                <w:rFonts w:cs="Arial"/>
                <w:color w:val="000000" w:themeColor="text1"/>
                <w:szCs w:val="16"/>
              </w:rPr>
            </w:pPr>
            <w:r w:rsidRPr="00781112">
              <w:rPr>
                <w:rFonts w:cs="Arial"/>
                <w:color w:val="000000" w:themeColor="text1"/>
                <w:szCs w:val="16"/>
              </w:rPr>
              <w:t>Number of youth with IEPs (ages 14-21) who exited special education by graduating with a regular high school diploma (a)</w:t>
            </w:r>
          </w:p>
        </w:tc>
        <w:tc>
          <w:tcPr>
            <w:tcW w:w="726" w:type="pct"/>
            <w:shd w:val="clear" w:color="auto" w:fill="auto"/>
          </w:tcPr>
          <w:p w14:paraId="6BB20172" w14:textId="20DA3C25" w:rsidR="001D55EC" w:rsidRPr="00781112" w:rsidRDefault="002B7490" w:rsidP="00A018D4">
            <w:pPr>
              <w:jc w:val="center"/>
              <w:rPr>
                <w:rFonts w:cs="Arial"/>
                <w:color w:val="000000" w:themeColor="text1"/>
                <w:szCs w:val="16"/>
              </w:rPr>
            </w:pPr>
            <w:r w:rsidRPr="00781112">
              <w:rPr>
                <w:rFonts w:cs="Arial"/>
                <w:color w:val="000000" w:themeColor="text1"/>
                <w:szCs w:val="16"/>
              </w:rPr>
              <w:t>2,753</w:t>
            </w:r>
          </w:p>
        </w:tc>
      </w:tr>
      <w:tr w:rsidR="00FE0F05" w:rsidRPr="00781112" w14:paraId="442FFC23" w14:textId="77777777" w:rsidTr="0011161A">
        <w:trPr>
          <w:trHeight w:val="380"/>
        </w:trPr>
        <w:tc>
          <w:tcPr>
            <w:tcW w:w="1003" w:type="pct"/>
            <w:shd w:val="clear" w:color="auto" w:fill="auto"/>
          </w:tcPr>
          <w:p w14:paraId="6CF34AAB" w14:textId="0F679619" w:rsidR="00FE0F05" w:rsidRPr="00781112" w:rsidRDefault="00FE0F05" w:rsidP="00FE0F05">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4C847D87" w14:textId="13F5F6DB" w:rsidR="00FE0F05" w:rsidRPr="00781112" w:rsidRDefault="00FE0F05" w:rsidP="00FE0F05">
            <w:pPr>
              <w:jc w:val="center"/>
              <w:rPr>
                <w:rFonts w:cs="Arial"/>
                <w:color w:val="000000" w:themeColor="text1"/>
                <w:szCs w:val="16"/>
              </w:rPr>
            </w:pPr>
            <w:r w:rsidRPr="00781112">
              <w:rPr>
                <w:rFonts w:cs="Arial"/>
                <w:color w:val="000000" w:themeColor="text1"/>
                <w:szCs w:val="16"/>
              </w:rPr>
              <w:t>05/26/2021</w:t>
            </w:r>
          </w:p>
        </w:tc>
        <w:tc>
          <w:tcPr>
            <w:tcW w:w="2284" w:type="pct"/>
            <w:shd w:val="clear" w:color="auto" w:fill="auto"/>
          </w:tcPr>
          <w:p w14:paraId="11D0842E" w14:textId="2246C25A" w:rsidR="00FE0F05" w:rsidRPr="00781112" w:rsidRDefault="00FE0F05" w:rsidP="00FE0F05">
            <w:pPr>
              <w:rPr>
                <w:rFonts w:cs="Arial"/>
                <w:color w:val="000000" w:themeColor="text1"/>
                <w:szCs w:val="16"/>
              </w:rPr>
            </w:pPr>
            <w:r w:rsidRPr="00781112">
              <w:rPr>
                <w:rFonts w:cs="Arial"/>
                <w:szCs w:val="16"/>
              </w:rPr>
              <w:t>Number of youth with IEPs (ages 14-21) who exited special education by graduating with a state-defined alternate diploma (b)</w:t>
            </w:r>
          </w:p>
        </w:tc>
        <w:tc>
          <w:tcPr>
            <w:tcW w:w="726" w:type="pct"/>
            <w:shd w:val="clear" w:color="auto" w:fill="auto"/>
          </w:tcPr>
          <w:p w14:paraId="076B8DEA" w14:textId="2D1A3AE9" w:rsidR="00FE0F05" w:rsidRPr="00781112" w:rsidRDefault="00FE0F05" w:rsidP="00FE0F05">
            <w:pPr>
              <w:jc w:val="center"/>
              <w:rPr>
                <w:rFonts w:cs="Arial"/>
                <w:color w:val="000000" w:themeColor="text1"/>
                <w:szCs w:val="16"/>
              </w:rPr>
            </w:pPr>
            <w:r w:rsidRPr="00781112">
              <w:rPr>
                <w:rFonts w:cs="Arial"/>
                <w:color w:val="000000" w:themeColor="text1"/>
                <w:szCs w:val="16"/>
              </w:rPr>
              <w:t>0</w:t>
            </w:r>
          </w:p>
        </w:tc>
      </w:tr>
      <w:tr w:rsidR="0011161A" w:rsidRPr="00781112" w14:paraId="7531005B" w14:textId="77777777" w:rsidTr="0011161A">
        <w:trPr>
          <w:trHeight w:val="380"/>
        </w:trPr>
        <w:tc>
          <w:tcPr>
            <w:tcW w:w="1003" w:type="pct"/>
            <w:shd w:val="clear" w:color="auto" w:fill="auto"/>
          </w:tcPr>
          <w:p w14:paraId="68D79338" w14:textId="7556C19A" w:rsidR="0011161A" w:rsidRPr="00781112" w:rsidRDefault="0011161A" w:rsidP="0011161A">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3137C3E8" w14:textId="1C4E2EC1" w:rsidR="0011161A" w:rsidRPr="00781112" w:rsidRDefault="0011161A" w:rsidP="0011161A">
            <w:pPr>
              <w:jc w:val="center"/>
              <w:rPr>
                <w:rFonts w:cs="Arial"/>
                <w:color w:val="000000" w:themeColor="text1"/>
                <w:szCs w:val="16"/>
              </w:rPr>
            </w:pPr>
            <w:r w:rsidRPr="00781112">
              <w:rPr>
                <w:rFonts w:cs="Arial"/>
                <w:color w:val="000000" w:themeColor="text1"/>
                <w:szCs w:val="16"/>
              </w:rPr>
              <w:t>05/26/2021</w:t>
            </w:r>
          </w:p>
        </w:tc>
        <w:tc>
          <w:tcPr>
            <w:tcW w:w="2284" w:type="pct"/>
            <w:shd w:val="clear" w:color="auto" w:fill="auto"/>
          </w:tcPr>
          <w:p w14:paraId="436358B9" w14:textId="1F75CF67" w:rsidR="0011161A" w:rsidRPr="00781112" w:rsidRDefault="0011161A" w:rsidP="0011161A">
            <w:pPr>
              <w:rPr>
                <w:rFonts w:cs="Arial"/>
                <w:color w:val="000000" w:themeColor="text1"/>
                <w:szCs w:val="16"/>
              </w:rPr>
            </w:pPr>
            <w:r w:rsidRPr="00781112">
              <w:rPr>
                <w:rFonts w:cs="Arial"/>
                <w:color w:val="000000" w:themeColor="text1"/>
                <w:szCs w:val="16"/>
              </w:rPr>
              <w:t>Number of youth with IEPs (ages 14-21) who exited special education by receiving a certificate (c)</w:t>
            </w:r>
          </w:p>
        </w:tc>
        <w:tc>
          <w:tcPr>
            <w:tcW w:w="726" w:type="pct"/>
            <w:shd w:val="clear" w:color="auto" w:fill="auto"/>
          </w:tcPr>
          <w:p w14:paraId="554F88F2" w14:textId="623A3342" w:rsidR="0011161A" w:rsidRPr="00781112" w:rsidRDefault="0011161A" w:rsidP="0011161A">
            <w:pPr>
              <w:jc w:val="center"/>
              <w:rPr>
                <w:rFonts w:cs="Arial"/>
                <w:color w:val="000000" w:themeColor="text1"/>
                <w:szCs w:val="16"/>
              </w:rPr>
            </w:pPr>
            <w:r w:rsidRPr="00781112">
              <w:rPr>
                <w:rFonts w:cs="Arial"/>
                <w:color w:val="000000" w:themeColor="text1"/>
                <w:szCs w:val="16"/>
              </w:rPr>
              <w:t>190</w:t>
            </w:r>
          </w:p>
        </w:tc>
      </w:tr>
      <w:tr w:rsidR="0011161A" w:rsidRPr="00781112" w14:paraId="56B284E9" w14:textId="77777777" w:rsidTr="0011161A">
        <w:trPr>
          <w:trHeight w:val="380"/>
        </w:trPr>
        <w:tc>
          <w:tcPr>
            <w:tcW w:w="1003" w:type="pct"/>
            <w:shd w:val="clear" w:color="auto" w:fill="auto"/>
          </w:tcPr>
          <w:p w14:paraId="73E78D27" w14:textId="6A11D514" w:rsidR="0011161A" w:rsidRPr="00781112" w:rsidRDefault="0011161A" w:rsidP="0011161A">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151F192A" w14:textId="492844E5" w:rsidR="0011161A" w:rsidRPr="00781112" w:rsidRDefault="0011161A" w:rsidP="0011161A">
            <w:pPr>
              <w:jc w:val="center"/>
              <w:rPr>
                <w:rFonts w:cs="Arial"/>
                <w:color w:val="000000" w:themeColor="text1"/>
                <w:szCs w:val="16"/>
              </w:rPr>
            </w:pPr>
            <w:r w:rsidRPr="00781112">
              <w:rPr>
                <w:rFonts w:cs="Arial"/>
                <w:color w:val="000000" w:themeColor="text1"/>
                <w:szCs w:val="16"/>
              </w:rPr>
              <w:t>05/26/2021</w:t>
            </w:r>
          </w:p>
        </w:tc>
        <w:tc>
          <w:tcPr>
            <w:tcW w:w="2284" w:type="pct"/>
            <w:shd w:val="clear" w:color="auto" w:fill="auto"/>
          </w:tcPr>
          <w:p w14:paraId="65152DCF" w14:textId="4124B416" w:rsidR="0011161A" w:rsidRPr="00781112" w:rsidRDefault="0011161A" w:rsidP="0011161A">
            <w:pPr>
              <w:rPr>
                <w:rFonts w:cs="Arial"/>
                <w:color w:val="000000" w:themeColor="text1"/>
                <w:szCs w:val="16"/>
              </w:rPr>
            </w:pPr>
            <w:r w:rsidRPr="00781112">
              <w:rPr>
                <w:rFonts w:cs="Arial"/>
                <w:color w:val="000000" w:themeColor="text1"/>
                <w:szCs w:val="16"/>
              </w:rPr>
              <w:t>Number of youth with IEPs (ages 14-21) who exited special education by reaching maximum age (d)</w:t>
            </w:r>
          </w:p>
        </w:tc>
        <w:tc>
          <w:tcPr>
            <w:tcW w:w="726" w:type="pct"/>
            <w:shd w:val="clear" w:color="auto" w:fill="auto"/>
          </w:tcPr>
          <w:p w14:paraId="788B37F6" w14:textId="1E312572" w:rsidR="0011161A" w:rsidRPr="00781112" w:rsidRDefault="0011161A" w:rsidP="0011161A">
            <w:pPr>
              <w:jc w:val="center"/>
              <w:rPr>
                <w:rFonts w:cs="Arial"/>
                <w:color w:val="000000" w:themeColor="text1"/>
                <w:szCs w:val="16"/>
              </w:rPr>
            </w:pPr>
            <w:r w:rsidRPr="00781112">
              <w:rPr>
                <w:rFonts w:cs="Arial"/>
                <w:color w:val="000000" w:themeColor="text1"/>
                <w:szCs w:val="16"/>
              </w:rPr>
              <w:t>43</w:t>
            </w:r>
          </w:p>
        </w:tc>
      </w:tr>
      <w:tr w:rsidR="005C29F8" w:rsidRPr="00781112" w14:paraId="245FE023" w14:textId="77777777" w:rsidTr="0011161A">
        <w:trPr>
          <w:trHeight w:val="380"/>
        </w:trPr>
        <w:tc>
          <w:tcPr>
            <w:tcW w:w="1003" w:type="pct"/>
            <w:shd w:val="clear" w:color="auto" w:fill="auto"/>
          </w:tcPr>
          <w:p w14:paraId="67B529F8" w14:textId="28E7DCDC" w:rsidR="00C470E8" w:rsidRPr="00781112" w:rsidRDefault="008A2533" w:rsidP="00A018D4">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2C17EFE7" w14:textId="6210AB54" w:rsidR="00C470E8" w:rsidRPr="00781112" w:rsidRDefault="008A2533" w:rsidP="00A018D4">
            <w:pPr>
              <w:jc w:val="center"/>
              <w:rPr>
                <w:rFonts w:cs="Arial"/>
                <w:color w:val="000000" w:themeColor="text1"/>
                <w:szCs w:val="16"/>
              </w:rPr>
            </w:pPr>
            <w:r w:rsidRPr="00781112">
              <w:rPr>
                <w:rFonts w:cs="Arial"/>
                <w:color w:val="000000" w:themeColor="text1"/>
                <w:szCs w:val="16"/>
              </w:rPr>
              <w:t>05/26/2021</w:t>
            </w:r>
          </w:p>
        </w:tc>
        <w:tc>
          <w:tcPr>
            <w:tcW w:w="2284" w:type="pct"/>
            <w:shd w:val="clear" w:color="auto" w:fill="auto"/>
          </w:tcPr>
          <w:p w14:paraId="2D5B3E78" w14:textId="5F9109CF" w:rsidR="00C470E8" w:rsidRPr="00781112" w:rsidRDefault="00C470E8" w:rsidP="00C470E8">
            <w:pPr>
              <w:rPr>
                <w:rFonts w:cs="Arial"/>
                <w:color w:val="000000" w:themeColor="text1"/>
                <w:szCs w:val="16"/>
              </w:rPr>
            </w:pPr>
            <w:r w:rsidRPr="00781112">
              <w:rPr>
                <w:rFonts w:cs="Arial"/>
                <w:color w:val="000000" w:themeColor="text1"/>
                <w:szCs w:val="16"/>
              </w:rPr>
              <w:t>Number of youth with IEPs (ages 14-21) who exited special education due to dropping out (e)</w:t>
            </w:r>
          </w:p>
        </w:tc>
        <w:tc>
          <w:tcPr>
            <w:tcW w:w="726" w:type="pct"/>
            <w:shd w:val="clear" w:color="auto" w:fill="auto"/>
          </w:tcPr>
          <w:p w14:paraId="20785B5C" w14:textId="176AF317" w:rsidR="00C470E8" w:rsidRPr="00781112" w:rsidRDefault="00FE0F05" w:rsidP="00A018D4">
            <w:pPr>
              <w:jc w:val="center"/>
              <w:rPr>
                <w:rFonts w:cs="Arial"/>
                <w:color w:val="000000" w:themeColor="text1"/>
                <w:szCs w:val="16"/>
              </w:rPr>
            </w:pPr>
            <w:r w:rsidRPr="00781112">
              <w:rPr>
                <w:rFonts w:cs="Arial"/>
                <w:color w:val="000000" w:themeColor="text1"/>
                <w:szCs w:val="16"/>
              </w:rPr>
              <w:t>615</w:t>
            </w:r>
          </w:p>
        </w:tc>
      </w:tr>
    </w:tbl>
    <w:p w14:paraId="7CE42756" w14:textId="445D9372" w:rsidR="00654A4B" w:rsidRPr="00781112" w:rsidRDefault="00654A4B" w:rsidP="004369B2">
      <w:pPr>
        <w:rPr>
          <w:color w:val="000000" w:themeColor="text1"/>
        </w:rPr>
      </w:pPr>
    </w:p>
    <w:p w14:paraId="4463AFB2" w14:textId="3EDEBA57" w:rsidR="00C96339" w:rsidRPr="00781112" w:rsidRDefault="00F6415A" w:rsidP="004369B2">
      <w:pPr>
        <w:rPr>
          <w:color w:val="000000" w:themeColor="text1"/>
        </w:rPr>
      </w:pPr>
      <w:r w:rsidRPr="00781112">
        <w:rPr>
          <w:b/>
          <w:color w:val="000000" w:themeColor="text1"/>
        </w:rPr>
        <w:t xml:space="preserve">FFY 2020 SPP/APR Data </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2CFFYAPRDATAOPT1"/>
      </w:tblPr>
      <w:tblGrid>
        <w:gridCol w:w="1528"/>
        <w:gridCol w:w="1507"/>
        <w:gridCol w:w="1367"/>
        <w:gridCol w:w="2088"/>
        <w:gridCol w:w="1228"/>
        <w:gridCol w:w="1563"/>
        <w:gridCol w:w="1513"/>
      </w:tblGrid>
      <w:tr w:rsidR="005C29F8" w:rsidRPr="00781112" w14:paraId="5C4D1C2F" w14:textId="77777777" w:rsidTr="004D0044">
        <w:trPr>
          <w:trHeight w:val="359"/>
          <w:tblHeader/>
        </w:trPr>
        <w:tc>
          <w:tcPr>
            <w:tcW w:w="708" w:type="pct"/>
            <w:shd w:val="clear" w:color="auto" w:fill="auto"/>
            <w:vAlign w:val="bottom"/>
          </w:tcPr>
          <w:p w14:paraId="3F5808F2" w14:textId="257E84C8" w:rsidR="00C96339" w:rsidRPr="00781112" w:rsidRDefault="00C96339" w:rsidP="00212954">
            <w:pPr>
              <w:jc w:val="center"/>
              <w:rPr>
                <w:rFonts w:cs="Arial"/>
                <w:b/>
                <w:color w:val="000000" w:themeColor="text1"/>
                <w:szCs w:val="16"/>
              </w:rPr>
            </w:pPr>
            <w:r w:rsidRPr="00781112">
              <w:rPr>
                <w:rFonts w:cs="Arial"/>
                <w:b/>
                <w:color w:val="000000" w:themeColor="text1"/>
                <w:szCs w:val="16"/>
              </w:rPr>
              <w:t>Number of youth with IEPs (ages 14-21) who exited special education due to dropping out</w:t>
            </w:r>
          </w:p>
        </w:tc>
        <w:tc>
          <w:tcPr>
            <w:tcW w:w="698" w:type="pct"/>
            <w:shd w:val="clear" w:color="auto" w:fill="auto"/>
            <w:vAlign w:val="bottom"/>
          </w:tcPr>
          <w:p w14:paraId="2F5BF81E" w14:textId="25314F83" w:rsidR="00C96339" w:rsidRPr="00781112" w:rsidRDefault="008137CC" w:rsidP="00212954">
            <w:pPr>
              <w:jc w:val="center"/>
              <w:rPr>
                <w:rFonts w:cs="Arial"/>
                <w:color w:val="000000" w:themeColor="text1"/>
                <w:szCs w:val="16"/>
              </w:rPr>
            </w:pPr>
            <w:r w:rsidRPr="008137CC">
              <w:rPr>
                <w:rFonts w:cs="Arial"/>
                <w:b/>
                <w:color w:val="000000" w:themeColor="text1"/>
                <w:szCs w:val="16"/>
              </w:rPr>
              <w:t xml:space="preserve">Number of all youth with IEPs who exited special education (ages 14-21)  </w:t>
            </w:r>
          </w:p>
        </w:tc>
        <w:tc>
          <w:tcPr>
            <w:tcW w:w="633" w:type="pct"/>
            <w:shd w:val="clear" w:color="auto" w:fill="auto"/>
            <w:vAlign w:val="bottom"/>
          </w:tcPr>
          <w:p w14:paraId="764A6652" w14:textId="019F7C44" w:rsidR="00C96339" w:rsidRPr="00781112" w:rsidRDefault="00F6415A" w:rsidP="00212954">
            <w:pPr>
              <w:jc w:val="center"/>
              <w:rPr>
                <w:rFonts w:cs="Arial"/>
                <w:b/>
                <w:color w:val="000000" w:themeColor="text1"/>
                <w:szCs w:val="16"/>
              </w:rPr>
            </w:pPr>
            <w:r w:rsidRPr="00781112">
              <w:rPr>
                <w:rFonts w:cs="Arial"/>
                <w:b/>
                <w:color w:val="000000" w:themeColor="text1"/>
                <w:szCs w:val="16"/>
              </w:rPr>
              <w:t>FFY 2019 Data</w:t>
            </w:r>
          </w:p>
        </w:tc>
        <w:tc>
          <w:tcPr>
            <w:tcW w:w="967" w:type="pct"/>
            <w:shd w:val="clear" w:color="auto" w:fill="auto"/>
            <w:vAlign w:val="bottom"/>
          </w:tcPr>
          <w:p w14:paraId="1F444650" w14:textId="5E6EFC51" w:rsidR="00C96339" w:rsidRPr="00781112" w:rsidRDefault="00F6415A" w:rsidP="00212954">
            <w:pPr>
              <w:jc w:val="center"/>
              <w:rPr>
                <w:rFonts w:cs="Arial"/>
                <w:b/>
                <w:color w:val="000000" w:themeColor="text1"/>
                <w:szCs w:val="16"/>
              </w:rPr>
            </w:pPr>
            <w:r w:rsidRPr="00781112">
              <w:rPr>
                <w:rFonts w:cs="Arial"/>
                <w:b/>
                <w:color w:val="000000" w:themeColor="text1"/>
                <w:szCs w:val="16"/>
              </w:rPr>
              <w:t>FFY 2020 Target</w:t>
            </w:r>
          </w:p>
        </w:tc>
        <w:tc>
          <w:tcPr>
            <w:tcW w:w="569" w:type="pct"/>
            <w:shd w:val="clear" w:color="auto" w:fill="auto"/>
            <w:vAlign w:val="bottom"/>
          </w:tcPr>
          <w:p w14:paraId="194A1B8B" w14:textId="62D2916E" w:rsidR="00C96339" w:rsidRPr="00781112" w:rsidRDefault="00F6415A" w:rsidP="00212954">
            <w:pPr>
              <w:jc w:val="center"/>
              <w:rPr>
                <w:rFonts w:cs="Arial"/>
                <w:b/>
                <w:color w:val="000000" w:themeColor="text1"/>
                <w:szCs w:val="16"/>
              </w:rPr>
            </w:pPr>
            <w:r w:rsidRPr="00781112">
              <w:rPr>
                <w:rFonts w:cs="Arial"/>
                <w:b/>
                <w:color w:val="000000" w:themeColor="text1"/>
                <w:szCs w:val="16"/>
              </w:rPr>
              <w:t>FFY 2020 Data</w:t>
            </w:r>
          </w:p>
        </w:tc>
        <w:tc>
          <w:tcPr>
            <w:tcW w:w="724" w:type="pct"/>
            <w:shd w:val="clear" w:color="auto" w:fill="auto"/>
            <w:vAlign w:val="bottom"/>
          </w:tcPr>
          <w:p w14:paraId="4B0F6AFA" w14:textId="77777777" w:rsidR="00C96339" w:rsidRPr="00781112" w:rsidRDefault="00C96339" w:rsidP="00212954">
            <w:pPr>
              <w:jc w:val="center"/>
              <w:rPr>
                <w:rFonts w:cs="Arial"/>
                <w:b/>
                <w:color w:val="000000" w:themeColor="text1"/>
                <w:szCs w:val="16"/>
              </w:rPr>
            </w:pPr>
            <w:r w:rsidRPr="00781112">
              <w:rPr>
                <w:rFonts w:cs="Arial"/>
                <w:b/>
                <w:color w:val="000000" w:themeColor="text1"/>
                <w:szCs w:val="16"/>
              </w:rPr>
              <w:t>Status</w:t>
            </w:r>
          </w:p>
        </w:tc>
        <w:tc>
          <w:tcPr>
            <w:tcW w:w="701" w:type="pct"/>
            <w:shd w:val="clear" w:color="auto" w:fill="auto"/>
            <w:vAlign w:val="bottom"/>
          </w:tcPr>
          <w:p w14:paraId="2987DD9A" w14:textId="77777777" w:rsidR="00C96339" w:rsidRPr="00781112" w:rsidRDefault="00C96339" w:rsidP="00212954">
            <w:pPr>
              <w:jc w:val="center"/>
              <w:rPr>
                <w:rFonts w:cs="Arial"/>
                <w:b/>
                <w:color w:val="000000" w:themeColor="text1"/>
                <w:szCs w:val="16"/>
              </w:rPr>
            </w:pPr>
            <w:r w:rsidRPr="00781112">
              <w:rPr>
                <w:rFonts w:cs="Arial"/>
                <w:b/>
                <w:color w:val="000000" w:themeColor="text1"/>
                <w:szCs w:val="16"/>
              </w:rPr>
              <w:t>Slippage</w:t>
            </w:r>
          </w:p>
        </w:tc>
      </w:tr>
      <w:tr w:rsidR="005C29F8" w:rsidRPr="00781112" w14:paraId="2928907F" w14:textId="77777777" w:rsidTr="004D0044">
        <w:trPr>
          <w:trHeight w:val="366"/>
        </w:trPr>
        <w:tc>
          <w:tcPr>
            <w:tcW w:w="708" w:type="pct"/>
            <w:shd w:val="clear" w:color="auto" w:fill="auto"/>
            <w:vAlign w:val="center"/>
          </w:tcPr>
          <w:p w14:paraId="153F1C9B" w14:textId="5227014D" w:rsidR="00C96339" w:rsidRPr="00781112" w:rsidRDefault="002B7490" w:rsidP="00A018D4">
            <w:pPr>
              <w:jc w:val="center"/>
              <w:rPr>
                <w:rFonts w:cs="Arial"/>
                <w:color w:val="000000" w:themeColor="text1"/>
                <w:szCs w:val="16"/>
              </w:rPr>
            </w:pPr>
            <w:r w:rsidRPr="00781112">
              <w:rPr>
                <w:rFonts w:cs="Arial"/>
                <w:color w:val="000000" w:themeColor="text1"/>
                <w:szCs w:val="16"/>
              </w:rPr>
              <w:t>615</w:t>
            </w:r>
          </w:p>
        </w:tc>
        <w:tc>
          <w:tcPr>
            <w:tcW w:w="698" w:type="pct"/>
            <w:shd w:val="clear" w:color="auto" w:fill="auto"/>
            <w:vAlign w:val="center"/>
          </w:tcPr>
          <w:p w14:paraId="31391E82" w14:textId="0E0F2A0A" w:rsidR="00C96339" w:rsidRPr="00781112" w:rsidRDefault="002B7490" w:rsidP="00A018D4">
            <w:pPr>
              <w:jc w:val="center"/>
              <w:rPr>
                <w:rFonts w:cs="Arial"/>
                <w:color w:val="000000" w:themeColor="text1"/>
                <w:szCs w:val="16"/>
              </w:rPr>
            </w:pPr>
            <w:r w:rsidRPr="00781112">
              <w:rPr>
                <w:rFonts w:cs="Arial"/>
                <w:color w:val="000000" w:themeColor="text1"/>
                <w:szCs w:val="16"/>
              </w:rPr>
              <w:t>3,601</w:t>
            </w:r>
          </w:p>
        </w:tc>
        <w:tc>
          <w:tcPr>
            <w:tcW w:w="633" w:type="pct"/>
            <w:shd w:val="clear" w:color="auto" w:fill="auto"/>
          </w:tcPr>
          <w:p w14:paraId="77541D8A" w14:textId="254EC6F2" w:rsidR="00C96339" w:rsidRPr="00781112" w:rsidRDefault="00C96339" w:rsidP="00A018D4">
            <w:pPr>
              <w:jc w:val="center"/>
              <w:rPr>
                <w:rFonts w:cs="Arial"/>
                <w:color w:val="000000" w:themeColor="text1"/>
                <w:szCs w:val="16"/>
              </w:rPr>
            </w:pPr>
          </w:p>
        </w:tc>
        <w:tc>
          <w:tcPr>
            <w:tcW w:w="967" w:type="pct"/>
            <w:shd w:val="clear" w:color="auto" w:fill="auto"/>
          </w:tcPr>
          <w:p w14:paraId="70FE3FCD" w14:textId="1A7F9FE0" w:rsidR="00C96339" w:rsidRPr="00781112" w:rsidRDefault="002B7490" w:rsidP="00A018D4">
            <w:pPr>
              <w:jc w:val="center"/>
              <w:rPr>
                <w:rFonts w:cs="Arial"/>
                <w:color w:val="000000" w:themeColor="text1"/>
                <w:szCs w:val="16"/>
              </w:rPr>
            </w:pPr>
            <w:r w:rsidRPr="00781112">
              <w:rPr>
                <w:rFonts w:cs="Arial"/>
                <w:color w:val="000000" w:themeColor="text1"/>
                <w:szCs w:val="16"/>
              </w:rPr>
              <w:t>20.00%</w:t>
            </w:r>
          </w:p>
        </w:tc>
        <w:tc>
          <w:tcPr>
            <w:tcW w:w="569" w:type="pct"/>
            <w:shd w:val="clear" w:color="auto" w:fill="auto"/>
          </w:tcPr>
          <w:p w14:paraId="64E2814C" w14:textId="135DB5EE" w:rsidR="00C96339" w:rsidRPr="00781112" w:rsidRDefault="002B7490" w:rsidP="00A018D4">
            <w:pPr>
              <w:jc w:val="center"/>
              <w:rPr>
                <w:rFonts w:cs="Arial"/>
                <w:color w:val="000000" w:themeColor="text1"/>
                <w:szCs w:val="16"/>
              </w:rPr>
            </w:pPr>
            <w:r w:rsidRPr="00781112">
              <w:rPr>
                <w:rFonts w:cs="Arial"/>
                <w:color w:val="000000" w:themeColor="text1"/>
                <w:szCs w:val="16"/>
              </w:rPr>
              <w:t>17.08%</w:t>
            </w:r>
          </w:p>
        </w:tc>
        <w:tc>
          <w:tcPr>
            <w:tcW w:w="724" w:type="pct"/>
            <w:shd w:val="clear" w:color="auto" w:fill="auto"/>
          </w:tcPr>
          <w:p w14:paraId="60873B1E" w14:textId="3A0A0AC5" w:rsidR="00C96339"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701" w:type="pct"/>
            <w:shd w:val="clear" w:color="auto" w:fill="auto"/>
          </w:tcPr>
          <w:p w14:paraId="3EF3C710" w14:textId="04969BC1" w:rsidR="00C96339"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27A2EAFB" w14:textId="5DAAB5B0" w:rsidR="00A87A9D" w:rsidRPr="00781112" w:rsidRDefault="0083500D" w:rsidP="00552927">
      <w:pPr>
        <w:rPr>
          <w:rFonts w:cs="Arial"/>
          <w:b/>
          <w:color w:val="000000" w:themeColor="text1"/>
          <w:szCs w:val="16"/>
        </w:rPr>
      </w:pPr>
      <w:r w:rsidRPr="00781112">
        <w:rPr>
          <w:rFonts w:cs="Arial"/>
          <w:b/>
          <w:color w:val="000000" w:themeColor="text1"/>
          <w:szCs w:val="16"/>
        </w:rPr>
        <w:t>Provide a narrative that describes what counts as dropping out for all youth</w:t>
      </w:r>
    </w:p>
    <w:p w14:paraId="32A15CDA" w14:textId="3CA05678"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LDOE is required to federally report dropout statistics via the National Center for Education Statistics (NCES) Common Core of Data (CCD) Local Education Agency Survey website http://nces.ed.gov/. The NCES definition of a dropout is an individual who was enrolled at some time during the previous school year and was not enrolled on October 1 of the current school year, or was not enrolled on October 1 of the previous school year and has not graduated or completed a state or school system approved educational program, and does not meet any of the exclusionary conditions for leaving school. A student is considered a dropout if s/he left school without receiving a diploma or other certification; or left school, and status is unknown or not in school; or transferred and enrolled in and adult education program (unless the program is monitored by an LEA). Examples include, but not limited to, students enrolled but stop attending, joined the military, moved but whereabouts are unknown, is incarcerated, or enrolled in a vocational technical college (not monitored by the LEA).</w:t>
      </w:r>
    </w:p>
    <w:p w14:paraId="6E220BF0" w14:textId="157218DF" w:rsidR="00DD051F" w:rsidRPr="00781112" w:rsidRDefault="00DD051F" w:rsidP="000E33D0">
      <w:pPr>
        <w:rPr>
          <w:rFonts w:cs="Arial"/>
          <w:b/>
          <w:color w:val="000000" w:themeColor="text1"/>
          <w:szCs w:val="16"/>
        </w:rPr>
      </w:pPr>
      <w:r w:rsidRPr="00781112">
        <w:rPr>
          <w:rFonts w:cs="Arial"/>
          <w:b/>
          <w:color w:val="000000" w:themeColor="text1"/>
          <w:szCs w:val="16"/>
        </w:rPr>
        <w:t>Is there a difference in what counts as dropping out for youth with IEPs? (yes/no)</w:t>
      </w:r>
    </w:p>
    <w:p w14:paraId="5530CE18" w14:textId="2E8B8BC5" w:rsidR="00DD051F" w:rsidRPr="00781112" w:rsidRDefault="00DD051F" w:rsidP="000E33D0">
      <w:pPr>
        <w:rPr>
          <w:rFonts w:cs="Arial"/>
          <w:color w:val="000000" w:themeColor="text1"/>
          <w:szCs w:val="16"/>
        </w:rPr>
      </w:pPr>
      <w:r w:rsidRPr="00781112">
        <w:rPr>
          <w:rFonts w:cs="Arial"/>
          <w:color w:val="000000" w:themeColor="text1"/>
          <w:szCs w:val="16"/>
        </w:rPr>
        <w:t>NO</w:t>
      </w:r>
    </w:p>
    <w:p w14:paraId="4903B3F9" w14:textId="50D12777" w:rsidR="00E418E6" w:rsidRPr="00781112" w:rsidRDefault="00B7068F" w:rsidP="004369B2">
      <w:pPr>
        <w:rPr>
          <w:b/>
          <w:color w:val="000000" w:themeColor="text1"/>
        </w:rPr>
      </w:pPr>
      <w:r w:rsidRPr="00781112">
        <w:rPr>
          <w:b/>
          <w:color w:val="000000" w:themeColor="text1"/>
        </w:rPr>
        <w:t>If yes, explain the difference in what counts as dropping out for youth with IEPs.</w:t>
      </w:r>
    </w:p>
    <w:p w14:paraId="79A7C25A" w14:textId="1EDF1407" w:rsidR="00A869E9" w:rsidRPr="00781112" w:rsidRDefault="00A869E9" w:rsidP="000E33D0">
      <w:pPr>
        <w:rPr>
          <w:rFonts w:cs="Arial"/>
          <w:color w:val="000000" w:themeColor="text1"/>
          <w:szCs w:val="16"/>
          <w:shd w:val="clear" w:color="auto" w:fill="FFFFFF"/>
        </w:rPr>
      </w:pPr>
    </w:p>
    <w:p w14:paraId="44F7B282" w14:textId="77777777" w:rsidR="00F56834" w:rsidRPr="00781112" w:rsidRDefault="00F56834" w:rsidP="004369B2">
      <w:pPr>
        <w:rPr>
          <w:b/>
          <w:color w:val="000000" w:themeColor="text1"/>
        </w:rPr>
      </w:pPr>
      <w:bookmarkStart w:id="10" w:name="_Toc382082362"/>
      <w:bookmarkStart w:id="11" w:name="_Toc392159270"/>
      <w:bookmarkStart w:id="12" w:name="_Toc365403651"/>
      <w:r w:rsidRPr="00781112">
        <w:rPr>
          <w:b/>
          <w:color w:val="000000" w:themeColor="text1"/>
        </w:rPr>
        <w:t>Provide additional information about this indicator (optional)</w:t>
      </w:r>
    </w:p>
    <w:p w14:paraId="4492AB5A" w14:textId="63C5DA7E" w:rsidR="00A869E9" w:rsidRPr="00781112" w:rsidRDefault="00A869E9" w:rsidP="000E33D0">
      <w:pPr>
        <w:rPr>
          <w:rFonts w:cs="Arial"/>
          <w:color w:val="000000" w:themeColor="text1"/>
          <w:szCs w:val="16"/>
        </w:rPr>
      </w:pPr>
    </w:p>
    <w:p w14:paraId="6E187388" w14:textId="724EF642" w:rsidR="000A2C83" w:rsidRPr="00781112" w:rsidRDefault="00F914B4" w:rsidP="008645AD">
      <w:pPr>
        <w:pStyle w:val="Heading2"/>
      </w:pPr>
      <w:r w:rsidRPr="00781112">
        <w:lastRenderedPageBreak/>
        <w:t>2</w:t>
      </w:r>
      <w:r w:rsidR="00684B51" w:rsidRPr="00781112">
        <w:t xml:space="preserve"> </w:t>
      </w:r>
      <w:r w:rsidRPr="00781112">
        <w:t xml:space="preserve">- </w:t>
      </w:r>
      <w:r w:rsidR="000A2C83" w:rsidRPr="00781112">
        <w:t>Prior FFY Required Actions</w:t>
      </w:r>
    </w:p>
    <w:p w14:paraId="3B152B02" w14:textId="0A6719CC" w:rsidR="000A2C83" w:rsidRPr="00781112" w:rsidRDefault="002B7490" w:rsidP="000A2C83">
      <w:pPr>
        <w:rPr>
          <w:rFonts w:cs="Arial"/>
          <w:color w:val="000000" w:themeColor="text1"/>
          <w:szCs w:val="16"/>
        </w:rPr>
      </w:pPr>
      <w:r w:rsidRPr="00781112">
        <w:rPr>
          <w:rFonts w:cs="Arial"/>
          <w:color w:val="000000" w:themeColor="text1"/>
          <w:szCs w:val="16"/>
        </w:rPr>
        <w:t>None</w:t>
      </w:r>
    </w:p>
    <w:p w14:paraId="7896DD52" w14:textId="585814D8" w:rsidR="00DD051F" w:rsidRPr="00781112" w:rsidRDefault="00DD051F" w:rsidP="000A2C83">
      <w:pPr>
        <w:rPr>
          <w:rFonts w:cs="Arial"/>
          <w:color w:val="000000" w:themeColor="text1"/>
          <w:szCs w:val="16"/>
        </w:rPr>
      </w:pPr>
    </w:p>
    <w:p w14:paraId="306FF021" w14:textId="5A4A312B" w:rsidR="00F56834" w:rsidRPr="00781112" w:rsidRDefault="000D2287" w:rsidP="008645AD">
      <w:pPr>
        <w:pStyle w:val="Heading2"/>
      </w:pPr>
      <w:r w:rsidRPr="00781112">
        <w:t>2</w:t>
      </w:r>
      <w:r w:rsidR="00684B51" w:rsidRPr="00781112">
        <w:t xml:space="preserve"> </w:t>
      </w:r>
      <w:r w:rsidRPr="00781112">
        <w:t xml:space="preserve">- </w:t>
      </w:r>
      <w:r w:rsidR="00F56834" w:rsidRPr="00781112">
        <w:t>OSEP Response</w:t>
      </w:r>
    </w:p>
    <w:p w14:paraId="079F48D0" w14:textId="5CDDFF24" w:rsidR="00A869E9" w:rsidRPr="00781112" w:rsidRDefault="002B7490" w:rsidP="001F692C">
      <w:pPr>
        <w:rPr>
          <w:rFonts w:cs="Arial"/>
          <w:color w:val="000000" w:themeColor="text1"/>
          <w:szCs w:val="16"/>
        </w:rPr>
      </w:pPr>
      <w:r w:rsidRPr="00781112">
        <w:rPr>
          <w:rFonts w:cs="Arial"/>
          <w:color w:val="000000" w:themeColor="text1"/>
          <w:szCs w:val="16"/>
          <w:shd w:val="clear" w:color="auto" w:fill="FFFFFF"/>
        </w:rPr>
        <w:t>The State provided targets for FFYs 2020 through 2025 for this indicator, and OSEP accepts those targets.</w:t>
      </w:r>
    </w:p>
    <w:p w14:paraId="6A1E3D87" w14:textId="6B4D2DBD" w:rsidR="00F56834" w:rsidRPr="00781112" w:rsidRDefault="000105C5" w:rsidP="008645AD">
      <w:pPr>
        <w:pStyle w:val="Heading2"/>
      </w:pPr>
      <w:r w:rsidRPr="00781112">
        <w:t>2 - Required Actions</w:t>
      </w:r>
    </w:p>
    <w:p w14:paraId="6C7960E7" w14:textId="06463459" w:rsidR="00A869E9" w:rsidRPr="00781112" w:rsidRDefault="00A869E9" w:rsidP="001F692C">
      <w:pPr>
        <w:rPr>
          <w:rFonts w:cs="Arial"/>
          <w:color w:val="000000" w:themeColor="text1"/>
          <w:szCs w:val="16"/>
        </w:rPr>
      </w:pPr>
    </w:p>
    <w:p w14:paraId="735D3BB6" w14:textId="20B8192A" w:rsidR="00553A47" w:rsidRPr="00781112" w:rsidRDefault="00D37BF0" w:rsidP="00553A47">
      <w:pPr>
        <w:pStyle w:val="Heading1"/>
        <w:rPr>
          <w:color w:val="000000" w:themeColor="text1"/>
          <w:sz w:val="22"/>
        </w:rPr>
      </w:pPr>
      <w:r w:rsidRPr="00781112">
        <w:rPr>
          <w:color w:val="000000" w:themeColor="text1"/>
          <w:szCs w:val="16"/>
        </w:rPr>
        <w:br w:type="page"/>
      </w:r>
      <w:r w:rsidR="00553A47" w:rsidRPr="00781112">
        <w:rPr>
          <w:color w:val="000000" w:themeColor="text1"/>
          <w:sz w:val="22"/>
        </w:rPr>
        <w:lastRenderedPageBreak/>
        <w:t>Indicator 3A: Participation for Children with IEPs</w:t>
      </w:r>
    </w:p>
    <w:p w14:paraId="5AC89D57" w14:textId="77777777" w:rsidR="00553A47" w:rsidRPr="00781112" w:rsidRDefault="00553A47" w:rsidP="00553A47">
      <w:pPr>
        <w:rPr>
          <w:color w:val="000000" w:themeColor="text1"/>
          <w:szCs w:val="20"/>
        </w:rPr>
      </w:pPr>
      <w:r w:rsidRPr="00781112">
        <w:rPr>
          <w:b/>
          <w:color w:val="000000" w:themeColor="text1"/>
          <w:sz w:val="20"/>
          <w:szCs w:val="20"/>
        </w:rPr>
        <w:t>Instructions and Measurement</w:t>
      </w:r>
    </w:p>
    <w:p w14:paraId="5D4905EB" w14:textId="77777777" w:rsidR="00553A47" w:rsidRPr="00781112" w:rsidRDefault="00553A47" w:rsidP="00553A47">
      <w:pPr>
        <w:rPr>
          <w:color w:val="000000" w:themeColor="text1"/>
        </w:rPr>
      </w:pPr>
      <w:r w:rsidRPr="00781112">
        <w:rPr>
          <w:b/>
          <w:color w:val="000000" w:themeColor="text1"/>
        </w:rPr>
        <w:t>Monitoring Priority:</w:t>
      </w:r>
      <w:r w:rsidRPr="00781112">
        <w:rPr>
          <w:color w:val="000000" w:themeColor="text1"/>
        </w:rPr>
        <w:t xml:space="preserve"> FAPE in the LRE</w:t>
      </w:r>
    </w:p>
    <w:p w14:paraId="5574F71D" w14:textId="77777777" w:rsidR="00553A47" w:rsidRPr="00781112" w:rsidRDefault="00553A47" w:rsidP="00553A4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0338FF36" w14:textId="39B31752" w:rsidR="00553A47" w:rsidRPr="00781112" w:rsidRDefault="00553A47" w:rsidP="00553A47">
      <w:pPr>
        <w:ind w:firstLine="720"/>
        <w:rPr>
          <w:rFonts w:cs="Arial"/>
          <w:color w:val="000000" w:themeColor="text1"/>
          <w:szCs w:val="16"/>
        </w:rPr>
      </w:pPr>
      <w:r w:rsidRPr="00781112">
        <w:rPr>
          <w:rFonts w:cs="Arial"/>
          <w:color w:val="000000" w:themeColor="text1"/>
          <w:szCs w:val="16"/>
        </w:rPr>
        <w:t>A. Participation rate for children with IEPs.</w:t>
      </w:r>
    </w:p>
    <w:p w14:paraId="3CA36EC5" w14:textId="078762D9" w:rsidR="00553A47" w:rsidRPr="00781112" w:rsidRDefault="00553A47" w:rsidP="00553A47">
      <w:pPr>
        <w:ind w:firstLine="720"/>
        <w:rPr>
          <w:rFonts w:cs="Arial"/>
          <w:color w:val="000000" w:themeColor="text1"/>
          <w:szCs w:val="16"/>
        </w:rPr>
      </w:pPr>
      <w:r w:rsidRPr="00781112">
        <w:rPr>
          <w:rFonts w:cs="Arial"/>
          <w:color w:val="000000" w:themeColor="text1"/>
          <w:szCs w:val="16"/>
        </w:rPr>
        <w:t xml:space="preserve">B. </w:t>
      </w:r>
      <w:r w:rsidR="001A2D6A" w:rsidRPr="00781112">
        <w:rPr>
          <w:rFonts w:cs="Arial"/>
          <w:szCs w:val="16"/>
        </w:rPr>
        <w:t>Proficiency rate for children with IEPs against grade level academic achievement standards.</w:t>
      </w:r>
    </w:p>
    <w:p w14:paraId="64DD3F3A" w14:textId="04853D07" w:rsidR="00553A47" w:rsidRPr="00781112" w:rsidRDefault="00553A47" w:rsidP="00553A4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0682F204" w14:textId="1717FB60" w:rsidR="00EB7555" w:rsidRPr="00781112" w:rsidRDefault="00EB7555" w:rsidP="00553A47">
      <w:pPr>
        <w:ind w:firstLine="720"/>
        <w:rPr>
          <w:rFonts w:cs="Arial"/>
          <w:color w:val="000000" w:themeColor="text1"/>
          <w:szCs w:val="16"/>
        </w:rPr>
      </w:pPr>
      <w:r w:rsidRPr="00781112">
        <w:rPr>
          <w:rFonts w:cs="Arial"/>
          <w:color w:val="000000" w:themeColor="text1"/>
          <w:szCs w:val="16"/>
        </w:rPr>
        <w:t>D.</w:t>
      </w:r>
      <w:r w:rsidR="00943CE1" w:rsidRPr="00781112">
        <w:rPr>
          <w:rFonts w:cs="Arial"/>
          <w:szCs w:val="16"/>
        </w:rPr>
        <w:t xml:space="preserve"> Gap in proficiency rates for children with IEPs and all students against grade level academic achievement standards.</w:t>
      </w:r>
    </w:p>
    <w:p w14:paraId="16CF85BD" w14:textId="77777777" w:rsidR="00553A47" w:rsidRPr="00781112" w:rsidRDefault="00553A47" w:rsidP="00553A47">
      <w:pPr>
        <w:rPr>
          <w:rFonts w:cs="Arial"/>
          <w:color w:val="000000" w:themeColor="text1"/>
          <w:szCs w:val="16"/>
        </w:rPr>
      </w:pPr>
      <w:r w:rsidRPr="00781112">
        <w:rPr>
          <w:rFonts w:cs="Arial"/>
          <w:color w:val="000000" w:themeColor="text1"/>
          <w:szCs w:val="16"/>
        </w:rPr>
        <w:t>(20 U.S.C. 1416 (a)(3)(A))</w:t>
      </w:r>
    </w:p>
    <w:p w14:paraId="324A6C31" w14:textId="77777777" w:rsidR="00553A47" w:rsidRPr="00781112" w:rsidRDefault="00553A47" w:rsidP="00553A47">
      <w:pPr>
        <w:rPr>
          <w:color w:val="000000" w:themeColor="text1"/>
        </w:rPr>
      </w:pPr>
      <w:r w:rsidRPr="00781112">
        <w:rPr>
          <w:b/>
          <w:color w:val="000000" w:themeColor="text1"/>
        </w:rPr>
        <w:t>Data Source</w:t>
      </w:r>
    </w:p>
    <w:p w14:paraId="6C25670B" w14:textId="158BF188" w:rsidR="00553A47" w:rsidRPr="00781112" w:rsidRDefault="00553A47" w:rsidP="00553A47">
      <w:pPr>
        <w:rPr>
          <w:rFonts w:cs="Arial"/>
          <w:color w:val="000000" w:themeColor="text1"/>
          <w:szCs w:val="16"/>
        </w:rPr>
      </w:pPr>
      <w:r w:rsidRPr="00781112">
        <w:rPr>
          <w:rFonts w:cs="Arial"/>
          <w:color w:val="000000" w:themeColor="text1"/>
          <w:szCs w:val="16"/>
        </w:rPr>
        <w:t>3A. Same data as used for reporting to the Department under Title I of the ESEA, using EDFacts file specifications FS185 and 188.</w:t>
      </w:r>
    </w:p>
    <w:p w14:paraId="71EF09A1" w14:textId="77777777" w:rsidR="00553A47" w:rsidRPr="00781112" w:rsidRDefault="00553A47" w:rsidP="00553A47">
      <w:pPr>
        <w:rPr>
          <w:color w:val="000000" w:themeColor="text1"/>
        </w:rPr>
      </w:pPr>
      <w:r w:rsidRPr="00781112">
        <w:rPr>
          <w:b/>
          <w:color w:val="000000" w:themeColor="text1"/>
        </w:rPr>
        <w:t>Measurement</w:t>
      </w:r>
    </w:p>
    <w:p w14:paraId="7A515068" w14:textId="2DA214AF" w:rsidR="00553A47" w:rsidRPr="00781112" w:rsidRDefault="00943CE1" w:rsidP="00553A47">
      <w:pPr>
        <w:rPr>
          <w:rFonts w:cs="Arial"/>
          <w:color w:val="000000" w:themeColor="text1"/>
          <w:szCs w:val="16"/>
        </w:rPr>
      </w:pPr>
      <w:r w:rsidRPr="00781112">
        <w:rPr>
          <w:rFonts w:cs="Arial"/>
          <w:color w:val="000000" w:themeColor="text1"/>
          <w:szCs w:val="16"/>
        </w:rPr>
        <w:t>A. Participation rate percent = [(# of children with IEPs participating in an assessment) divided by the (total # of children with IEPs enrolled during the testing window)]. Calculate separately for reading and math. Calculate separately for grades 4, 8, and high school. The participation rate is based on all children with IEPs, including both children with IEPs enrolled for a full academic year and those not enrolled for a full academic year.</w:t>
      </w:r>
    </w:p>
    <w:p w14:paraId="1C86ADC7" w14:textId="77777777" w:rsidR="00553A47" w:rsidRPr="00781112" w:rsidRDefault="00553A47" w:rsidP="00553A47">
      <w:pPr>
        <w:rPr>
          <w:color w:val="000000" w:themeColor="text1"/>
        </w:rPr>
      </w:pPr>
      <w:r w:rsidRPr="00781112">
        <w:rPr>
          <w:b/>
          <w:color w:val="000000" w:themeColor="text1"/>
        </w:rPr>
        <w:t>Instructions</w:t>
      </w:r>
    </w:p>
    <w:p w14:paraId="2E7C9B5C" w14:textId="77777777" w:rsidR="001B75FD" w:rsidRPr="00781112" w:rsidRDefault="001B75FD" w:rsidP="001B75FD">
      <w:pPr>
        <w:pStyle w:val="Subhed"/>
        <w:rPr>
          <w:b w:val="0"/>
          <w:bCs/>
        </w:rPr>
      </w:pPr>
      <w:r w:rsidRPr="00781112">
        <w:rPr>
          <w:b w:val="0"/>
          <w:bCs/>
        </w:rPr>
        <w:t>Describe the results of the calculations and compare the results to the targets.  Provide the actual numbers used in the calculation.</w:t>
      </w:r>
    </w:p>
    <w:p w14:paraId="7D60E85E" w14:textId="77777777" w:rsidR="001B75FD" w:rsidRPr="00781112" w:rsidRDefault="001B75FD" w:rsidP="001B75FD">
      <w:pPr>
        <w:pStyle w:val="Subhed"/>
        <w:rPr>
          <w:b w:val="0"/>
          <w:bCs/>
        </w:rPr>
      </w:pPr>
      <w:r w:rsidRPr="00781112">
        <w:rPr>
          <w:b w:val="0"/>
          <w:bCs/>
        </w:rPr>
        <w:t xml:space="preserve">Include information regarding where to find public reports of assessment participation and performance results, as required by 34 CFR §300.160(f), </w:t>
      </w:r>
      <w:r w:rsidRPr="00781112">
        <w:rPr>
          <w:b w:val="0"/>
          <w:bCs/>
          <w:i/>
        </w:rPr>
        <w:t>i.e.</w:t>
      </w:r>
      <w:r w:rsidRPr="00781112">
        <w:rPr>
          <w:b w:val="0"/>
          <w:bCs/>
        </w:rPr>
        <w:t>, a link to the Web site where these data are reported.</w:t>
      </w:r>
    </w:p>
    <w:p w14:paraId="7A7658A6" w14:textId="09BF5716" w:rsidR="00553A47" w:rsidRPr="00781112" w:rsidRDefault="001B75FD" w:rsidP="001B75FD">
      <w:pPr>
        <w:rPr>
          <w:rFonts w:cs="Arial"/>
          <w:color w:val="000000" w:themeColor="text1"/>
          <w:szCs w:val="16"/>
        </w:rPr>
      </w:pPr>
      <w:r w:rsidRPr="00781112">
        <w:rPr>
          <w:bCs/>
        </w:rPr>
        <w:t>Indicator 3A: Provide separate reading/language arts and mathematics participation rates for children with IEPs for each of the following grades: 4, 8, &amp; high school.  Account for ALL children with IEPs, in grades 4, 8, and high school, including children not participating in assessments and those not enrolled for a full academic year. Only include children with disabilities who had an IEP at the time of testing</w:t>
      </w:r>
      <w:r w:rsidR="00553A47" w:rsidRPr="00781112">
        <w:rPr>
          <w:rFonts w:cs="Arial"/>
          <w:color w:val="000000" w:themeColor="text1"/>
          <w:szCs w:val="16"/>
        </w:rPr>
        <w:t>.</w:t>
      </w:r>
    </w:p>
    <w:p w14:paraId="2933C3C1" w14:textId="76D8DB4D" w:rsidR="00553A47" w:rsidRPr="00781112" w:rsidRDefault="00553A47" w:rsidP="00553A47">
      <w:pPr>
        <w:pStyle w:val="Heading2"/>
      </w:pPr>
      <w:r w:rsidRPr="00781112">
        <w:t>3A - Indicator Data</w:t>
      </w:r>
    </w:p>
    <w:p w14:paraId="1E2CE8D4" w14:textId="48F23E39" w:rsidR="00361CFA" w:rsidRPr="00781112" w:rsidRDefault="00CB348D" w:rsidP="00360DD6">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HISTDATA"/>
      </w:tblPr>
      <w:tblGrid>
        <w:gridCol w:w="1588"/>
        <w:gridCol w:w="1588"/>
        <w:gridCol w:w="2538"/>
        <w:gridCol w:w="2538"/>
        <w:gridCol w:w="2538"/>
      </w:tblGrid>
      <w:tr w:rsidR="0050331E" w:rsidRPr="00781112" w14:paraId="640BEE62" w14:textId="0ABABB4E" w:rsidTr="009725F4">
        <w:trPr>
          <w:trHeight w:val="368"/>
          <w:tblHeader/>
        </w:trPr>
        <w:tc>
          <w:tcPr>
            <w:tcW w:w="736" w:type="pct"/>
            <w:tcBorders>
              <w:top w:val="single" w:sz="4" w:space="0" w:color="auto"/>
            </w:tcBorders>
            <w:vAlign w:val="center"/>
          </w:tcPr>
          <w:p w14:paraId="41D9612B" w14:textId="31CE748B" w:rsidR="00E5212B" w:rsidRPr="00781112" w:rsidRDefault="00E5212B"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7F27E97C" w14:textId="557342E0"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39353288" w14:textId="77777777"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48E0683E" w14:textId="7AFDFE4C"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8B04ED7" w14:textId="46EC1601" w:rsidR="00E5212B" w:rsidRPr="00781112" w:rsidRDefault="00E5212B" w:rsidP="00827FF4">
            <w:pPr>
              <w:jc w:val="center"/>
              <w:rPr>
                <w:rFonts w:cs="Arial"/>
                <w:b/>
                <w:color w:val="000000" w:themeColor="text1"/>
                <w:szCs w:val="16"/>
              </w:rPr>
            </w:pPr>
            <w:r w:rsidRPr="00781112">
              <w:rPr>
                <w:rFonts w:cs="Arial"/>
                <w:b/>
                <w:color w:val="000000" w:themeColor="text1"/>
                <w:szCs w:val="16"/>
              </w:rPr>
              <w:t>Baseline Data</w:t>
            </w:r>
          </w:p>
        </w:tc>
      </w:tr>
      <w:tr w:rsidR="0050331E" w:rsidRPr="00781112" w14:paraId="24FC0173" w14:textId="04F4BEEC" w:rsidTr="00360DD6">
        <w:trPr>
          <w:trHeight w:val="368"/>
        </w:trPr>
        <w:tc>
          <w:tcPr>
            <w:tcW w:w="736" w:type="pct"/>
            <w:vAlign w:val="center"/>
          </w:tcPr>
          <w:p w14:paraId="5EFBA3AC" w14:textId="71314A80" w:rsidR="0044716A" w:rsidRPr="00781112" w:rsidRDefault="0044716A" w:rsidP="0044716A">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38C519F7" w14:textId="44BB42BA" w:rsidR="0044716A" w:rsidRPr="00781112" w:rsidRDefault="0044716A" w:rsidP="0044716A">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C81F5F0" w14:textId="67FBA765" w:rsidR="0044716A" w:rsidRPr="00781112" w:rsidRDefault="0044716A" w:rsidP="0044716A">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3F4068A9" w14:textId="08EF8DB7" w:rsidR="0044716A" w:rsidRPr="00781112" w:rsidRDefault="0044716A"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C4D03F4" w14:textId="691C6AA3" w:rsidR="0044716A" w:rsidRPr="00781112" w:rsidRDefault="0044716A" w:rsidP="0044716A">
            <w:pPr>
              <w:spacing w:before="0" w:after="0"/>
              <w:jc w:val="center"/>
              <w:rPr>
                <w:color w:val="000000" w:themeColor="text1"/>
              </w:rPr>
            </w:pPr>
            <w:r w:rsidRPr="00781112">
              <w:rPr>
                <w:rFonts w:cs="Arial"/>
                <w:color w:val="000000" w:themeColor="text1"/>
                <w:szCs w:val="16"/>
              </w:rPr>
              <w:t>97.50%</w:t>
            </w:r>
          </w:p>
        </w:tc>
      </w:tr>
      <w:tr w:rsidR="0050331E" w:rsidRPr="00781112" w14:paraId="4F9BC9D4" w14:textId="17B65B8C" w:rsidTr="00360DD6">
        <w:trPr>
          <w:trHeight w:val="368"/>
        </w:trPr>
        <w:tc>
          <w:tcPr>
            <w:tcW w:w="736" w:type="pct"/>
            <w:vAlign w:val="center"/>
          </w:tcPr>
          <w:p w14:paraId="7AB33ACC" w14:textId="0B04094A"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72D05B63" w14:textId="45D6CED5"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E4ED129" w14:textId="1B77E470"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0BAF6D2" w14:textId="6183503D" w:rsidR="005246CC" w:rsidRPr="00781112" w:rsidRDefault="005246CC"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9E2C5F4" w14:textId="05AA23CF"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95.63%</w:t>
            </w:r>
          </w:p>
        </w:tc>
      </w:tr>
      <w:tr w:rsidR="0050331E" w:rsidRPr="00781112" w14:paraId="0B899335" w14:textId="7CB02598" w:rsidTr="00360DD6">
        <w:trPr>
          <w:trHeight w:val="368"/>
        </w:trPr>
        <w:tc>
          <w:tcPr>
            <w:tcW w:w="736" w:type="pct"/>
            <w:vAlign w:val="center"/>
          </w:tcPr>
          <w:p w14:paraId="6148FD1E" w14:textId="34E507DE"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69AA774" w14:textId="3B2C9DD9"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616D407" w14:textId="20B9E90F" w:rsidR="005246CC" w:rsidRPr="00781112" w:rsidRDefault="005246CC" w:rsidP="005246CC">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705909C" w14:textId="172EAC9C" w:rsidR="005246CC" w:rsidRPr="00781112" w:rsidRDefault="005246CC"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C9F3B59" w14:textId="74A08D13"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90.73%</w:t>
            </w:r>
          </w:p>
        </w:tc>
      </w:tr>
      <w:tr w:rsidR="00312480" w:rsidRPr="00781112" w14:paraId="3D1AAF73" w14:textId="678EC166" w:rsidTr="00360DD6">
        <w:trPr>
          <w:trHeight w:val="368"/>
        </w:trPr>
        <w:tc>
          <w:tcPr>
            <w:tcW w:w="736" w:type="pct"/>
            <w:vAlign w:val="center"/>
          </w:tcPr>
          <w:p w14:paraId="49AF9334" w14:textId="516B9B07"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7E10643" w14:textId="3D4CDCC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EBA000C" w14:textId="1E09C3E7"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0A09FAE" w14:textId="4A9CE939"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A9E42AA" w14:textId="63810B5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97.43%</w:t>
            </w:r>
          </w:p>
        </w:tc>
      </w:tr>
      <w:tr w:rsidR="00312480" w:rsidRPr="00781112" w14:paraId="4B0C895C" w14:textId="6CF5FA93" w:rsidTr="00360DD6">
        <w:trPr>
          <w:trHeight w:val="368"/>
        </w:trPr>
        <w:tc>
          <w:tcPr>
            <w:tcW w:w="736" w:type="pct"/>
            <w:vAlign w:val="center"/>
          </w:tcPr>
          <w:p w14:paraId="6ED5896C" w14:textId="28272B0B"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43C9B56E" w14:textId="3D5B99D0"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C4210F5" w14:textId="3BFF9BEC" w:rsidR="00312480" w:rsidRPr="00781112" w:rsidRDefault="00312480" w:rsidP="00312480">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D91523A" w14:textId="169DAD5C"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39ABC62" w14:textId="1E7FF874"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95.46%</w:t>
            </w:r>
          </w:p>
        </w:tc>
      </w:tr>
      <w:tr w:rsidR="00312480" w:rsidRPr="00781112" w14:paraId="43BF7697" w14:textId="58F9CE70" w:rsidTr="00360DD6">
        <w:trPr>
          <w:trHeight w:val="368"/>
        </w:trPr>
        <w:tc>
          <w:tcPr>
            <w:tcW w:w="736" w:type="pct"/>
            <w:vAlign w:val="center"/>
          </w:tcPr>
          <w:p w14:paraId="10E5C656" w14:textId="01AB1420"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AFE65DD" w14:textId="5679921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C96A826" w14:textId="656222C9"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6848966B" w14:textId="49F3A33A"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271898A" w14:textId="300CF13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89.15%</w:t>
            </w:r>
          </w:p>
        </w:tc>
      </w:tr>
    </w:tbl>
    <w:p w14:paraId="1049ED79" w14:textId="19F4A63B" w:rsidR="00E023E6" w:rsidRPr="00781112" w:rsidRDefault="00E023E6">
      <w:pPr>
        <w:spacing w:before="0" w:after="200" w:line="276" w:lineRule="auto"/>
        <w:rPr>
          <w:b/>
          <w:color w:val="000000" w:themeColor="text1"/>
        </w:rPr>
      </w:pPr>
    </w:p>
    <w:p w14:paraId="7F4B46FE" w14:textId="77777777" w:rsidR="0034094E" w:rsidRPr="00781112" w:rsidRDefault="0034094E" w:rsidP="0034094E">
      <w:pPr>
        <w:rPr>
          <w:b/>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TARGETS"/>
      </w:tblPr>
      <w:tblGrid>
        <w:gridCol w:w="895"/>
        <w:gridCol w:w="721"/>
        <w:gridCol w:w="1170"/>
        <w:gridCol w:w="1334"/>
        <w:gridCol w:w="1334"/>
        <w:gridCol w:w="1334"/>
        <w:gridCol w:w="1334"/>
        <w:gridCol w:w="1334"/>
        <w:gridCol w:w="1334"/>
      </w:tblGrid>
      <w:tr w:rsidR="001E2F3E" w:rsidRPr="00781112" w14:paraId="61B13027" w14:textId="7E8C0770" w:rsidTr="009E026B">
        <w:tc>
          <w:tcPr>
            <w:tcW w:w="415" w:type="pct"/>
            <w:tcBorders>
              <w:bottom w:val="single" w:sz="4" w:space="0" w:color="auto"/>
            </w:tcBorders>
            <w:shd w:val="clear" w:color="auto" w:fill="auto"/>
            <w:vAlign w:val="center"/>
          </w:tcPr>
          <w:p w14:paraId="41C1EDA8" w14:textId="77777777" w:rsidR="00FD5357" w:rsidRPr="00781112" w:rsidRDefault="00FD5357" w:rsidP="00FD5357">
            <w:pPr>
              <w:jc w:val="center"/>
              <w:rPr>
                <w:b/>
                <w:color w:val="000000" w:themeColor="text1"/>
              </w:rPr>
            </w:pPr>
            <w:r w:rsidRPr="00781112">
              <w:rPr>
                <w:b/>
                <w:color w:val="000000" w:themeColor="text1"/>
              </w:rPr>
              <w:t>Subject</w:t>
            </w:r>
          </w:p>
        </w:tc>
        <w:tc>
          <w:tcPr>
            <w:tcW w:w="334" w:type="pct"/>
            <w:tcBorders>
              <w:bottom w:val="single" w:sz="4" w:space="0" w:color="auto"/>
            </w:tcBorders>
            <w:shd w:val="clear" w:color="auto" w:fill="auto"/>
            <w:vAlign w:val="center"/>
          </w:tcPr>
          <w:p w14:paraId="47C72AA9" w14:textId="77777777" w:rsidR="00FD5357" w:rsidRPr="00781112" w:rsidRDefault="00FD5357" w:rsidP="00FD5357">
            <w:pPr>
              <w:jc w:val="center"/>
              <w:rPr>
                <w:b/>
                <w:color w:val="000000" w:themeColor="text1"/>
              </w:rPr>
            </w:pPr>
            <w:r w:rsidRPr="00781112">
              <w:rPr>
                <w:b/>
                <w:color w:val="000000" w:themeColor="text1"/>
              </w:rPr>
              <w:t>Group</w:t>
            </w:r>
          </w:p>
        </w:tc>
        <w:tc>
          <w:tcPr>
            <w:tcW w:w="542" w:type="pct"/>
            <w:shd w:val="clear" w:color="auto" w:fill="auto"/>
            <w:vAlign w:val="center"/>
          </w:tcPr>
          <w:p w14:paraId="3EBC6D10" w14:textId="77777777" w:rsidR="00FD5357" w:rsidRPr="00781112" w:rsidDel="008E7B87" w:rsidRDefault="00FD5357" w:rsidP="00FD5357">
            <w:pPr>
              <w:jc w:val="center"/>
              <w:rPr>
                <w:b/>
                <w:color w:val="000000" w:themeColor="text1"/>
              </w:rPr>
            </w:pPr>
            <w:r w:rsidRPr="00781112">
              <w:rPr>
                <w:b/>
                <w:color w:val="000000" w:themeColor="text1"/>
              </w:rPr>
              <w:t>Group Name</w:t>
            </w:r>
          </w:p>
        </w:tc>
        <w:tc>
          <w:tcPr>
            <w:tcW w:w="618" w:type="pct"/>
            <w:shd w:val="clear" w:color="auto" w:fill="auto"/>
            <w:vAlign w:val="center"/>
          </w:tcPr>
          <w:p w14:paraId="5DB0C638" w14:textId="77777777" w:rsidR="00FD5357" w:rsidRPr="00781112" w:rsidRDefault="00FD5357" w:rsidP="00FD5357">
            <w:pPr>
              <w:jc w:val="center"/>
              <w:rPr>
                <w:b/>
                <w:color w:val="000000" w:themeColor="text1"/>
              </w:rPr>
            </w:pPr>
            <w:r w:rsidRPr="00781112">
              <w:rPr>
                <w:b/>
                <w:color w:val="000000" w:themeColor="text1"/>
              </w:rPr>
              <w:t>2020</w:t>
            </w:r>
          </w:p>
        </w:tc>
        <w:tc>
          <w:tcPr>
            <w:tcW w:w="618" w:type="pct"/>
            <w:vAlign w:val="center"/>
          </w:tcPr>
          <w:p w14:paraId="2BCE0486" w14:textId="3C221AF8" w:rsidR="00FD5357" w:rsidRPr="00781112" w:rsidRDefault="00FD5357" w:rsidP="00FD5357">
            <w:pPr>
              <w:jc w:val="center"/>
              <w:rPr>
                <w:b/>
                <w:color w:val="000000" w:themeColor="text1"/>
              </w:rPr>
            </w:pPr>
            <w:r w:rsidRPr="00781112">
              <w:rPr>
                <w:rFonts w:cs="Arial"/>
                <w:b/>
                <w:color w:val="000000" w:themeColor="text1"/>
                <w:szCs w:val="16"/>
              </w:rPr>
              <w:t>2021</w:t>
            </w:r>
          </w:p>
        </w:tc>
        <w:tc>
          <w:tcPr>
            <w:tcW w:w="618" w:type="pct"/>
            <w:vAlign w:val="center"/>
          </w:tcPr>
          <w:p w14:paraId="1990502A" w14:textId="03716A79" w:rsidR="00FD5357" w:rsidRPr="00781112" w:rsidRDefault="00FD5357" w:rsidP="00FD5357">
            <w:pPr>
              <w:jc w:val="center"/>
              <w:rPr>
                <w:b/>
                <w:color w:val="000000" w:themeColor="text1"/>
              </w:rPr>
            </w:pPr>
            <w:r w:rsidRPr="00781112">
              <w:rPr>
                <w:rFonts w:cs="Arial"/>
                <w:b/>
                <w:color w:val="000000" w:themeColor="text1"/>
                <w:szCs w:val="16"/>
              </w:rPr>
              <w:t>2022</w:t>
            </w:r>
          </w:p>
        </w:tc>
        <w:tc>
          <w:tcPr>
            <w:tcW w:w="618" w:type="pct"/>
            <w:vAlign w:val="center"/>
          </w:tcPr>
          <w:p w14:paraId="72DB4D15" w14:textId="310E5749" w:rsidR="00FD5357" w:rsidRPr="00781112" w:rsidRDefault="00FD5357" w:rsidP="00FD5357">
            <w:pPr>
              <w:jc w:val="center"/>
              <w:rPr>
                <w:b/>
                <w:color w:val="000000" w:themeColor="text1"/>
              </w:rPr>
            </w:pPr>
            <w:r w:rsidRPr="00781112">
              <w:rPr>
                <w:rFonts w:cs="Arial"/>
                <w:b/>
                <w:color w:val="000000" w:themeColor="text1"/>
                <w:szCs w:val="16"/>
              </w:rPr>
              <w:t>2023</w:t>
            </w:r>
          </w:p>
        </w:tc>
        <w:tc>
          <w:tcPr>
            <w:tcW w:w="618" w:type="pct"/>
            <w:vAlign w:val="center"/>
          </w:tcPr>
          <w:p w14:paraId="62291C5B" w14:textId="0E374F42" w:rsidR="00FD5357" w:rsidRPr="00781112" w:rsidRDefault="00FD5357" w:rsidP="00FD5357">
            <w:pPr>
              <w:jc w:val="center"/>
              <w:rPr>
                <w:b/>
                <w:color w:val="000000" w:themeColor="text1"/>
              </w:rPr>
            </w:pPr>
            <w:r w:rsidRPr="00781112">
              <w:rPr>
                <w:rFonts w:cs="Arial"/>
                <w:b/>
                <w:color w:val="000000" w:themeColor="text1"/>
                <w:szCs w:val="16"/>
              </w:rPr>
              <w:t>2024</w:t>
            </w:r>
          </w:p>
        </w:tc>
        <w:tc>
          <w:tcPr>
            <w:tcW w:w="618" w:type="pct"/>
            <w:vAlign w:val="center"/>
          </w:tcPr>
          <w:p w14:paraId="5D064D25" w14:textId="7AE8523E" w:rsidR="00FD5357" w:rsidRPr="00781112" w:rsidRDefault="00FD5357" w:rsidP="00FD5357">
            <w:pPr>
              <w:jc w:val="center"/>
              <w:rPr>
                <w:b/>
                <w:color w:val="000000" w:themeColor="text1"/>
              </w:rPr>
            </w:pPr>
            <w:r w:rsidRPr="00781112">
              <w:rPr>
                <w:rFonts w:cs="Arial"/>
                <w:b/>
                <w:color w:val="000000" w:themeColor="text1"/>
                <w:szCs w:val="16"/>
              </w:rPr>
              <w:t>2025</w:t>
            </w:r>
          </w:p>
        </w:tc>
      </w:tr>
      <w:tr w:rsidR="001E2F3E" w:rsidRPr="00781112" w14:paraId="5EF23A8E" w14:textId="333536B2" w:rsidTr="009E026B">
        <w:tc>
          <w:tcPr>
            <w:tcW w:w="415" w:type="pct"/>
            <w:shd w:val="clear" w:color="auto" w:fill="auto"/>
            <w:vAlign w:val="center"/>
          </w:tcPr>
          <w:p w14:paraId="659131E4"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0E33DCFC"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A &gt;=</w:t>
            </w:r>
          </w:p>
        </w:tc>
        <w:tc>
          <w:tcPr>
            <w:tcW w:w="542" w:type="pct"/>
            <w:shd w:val="clear" w:color="auto" w:fill="auto"/>
            <w:vAlign w:val="center"/>
          </w:tcPr>
          <w:p w14:paraId="76B16B43" w14:textId="39FB8899"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4</w:t>
            </w:r>
          </w:p>
        </w:tc>
        <w:tc>
          <w:tcPr>
            <w:tcW w:w="618" w:type="pct"/>
            <w:shd w:val="clear" w:color="auto" w:fill="auto"/>
            <w:vAlign w:val="center"/>
          </w:tcPr>
          <w:p w14:paraId="0F6CE0A1" w14:textId="29A64BBD"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4A0A22E0" w14:textId="6BB46B0C" w:rsidR="00C362C0" w:rsidRPr="00781112" w:rsidRDefault="00C362C0" w:rsidP="00C362C0">
            <w:pPr>
              <w:jc w:val="center"/>
              <w:rPr>
                <w:rFonts w:cs="Arial"/>
                <w:color w:val="000000" w:themeColor="text1"/>
                <w:szCs w:val="16"/>
              </w:rPr>
            </w:pPr>
            <w:r w:rsidRPr="00781112">
              <w:rPr>
                <w:rFonts w:cs="Arial"/>
                <w:color w:val="000000" w:themeColor="text1"/>
                <w:szCs w:val="16"/>
              </w:rPr>
              <w:t>98.80%</w:t>
            </w:r>
            <w:r w:rsidRPr="00781112">
              <w:t xml:space="preserve"> </w:t>
            </w:r>
          </w:p>
        </w:tc>
        <w:tc>
          <w:tcPr>
            <w:tcW w:w="618" w:type="pct"/>
            <w:vAlign w:val="center"/>
          </w:tcPr>
          <w:p w14:paraId="01E8CE0F" w14:textId="037B9FF4"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384B0AD2" w14:textId="38B3F908"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31EAFB06" w14:textId="6B6573E2"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1B8020D6" w14:textId="2E1B85FC"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r>
      <w:tr w:rsidR="001E2F3E" w:rsidRPr="00781112" w14:paraId="0DC87485" w14:textId="7CEA602E" w:rsidTr="009E026B">
        <w:tc>
          <w:tcPr>
            <w:tcW w:w="415" w:type="pct"/>
            <w:shd w:val="clear" w:color="auto" w:fill="auto"/>
            <w:vAlign w:val="center"/>
          </w:tcPr>
          <w:p w14:paraId="0DBD5106"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32DA1B30"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B &gt;=</w:t>
            </w:r>
          </w:p>
        </w:tc>
        <w:tc>
          <w:tcPr>
            <w:tcW w:w="542" w:type="pct"/>
            <w:shd w:val="clear" w:color="auto" w:fill="auto"/>
            <w:vAlign w:val="center"/>
          </w:tcPr>
          <w:p w14:paraId="7451C944" w14:textId="48D1DB42"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8</w:t>
            </w:r>
          </w:p>
        </w:tc>
        <w:tc>
          <w:tcPr>
            <w:tcW w:w="618" w:type="pct"/>
            <w:shd w:val="clear" w:color="auto" w:fill="auto"/>
            <w:vAlign w:val="center"/>
          </w:tcPr>
          <w:p w14:paraId="00A324D3" w14:textId="7CE00F34"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52AC2F70" w14:textId="3AB4351A"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32A4C051" w14:textId="2E65FFFC"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77CC4A95" w14:textId="1A1A42B6"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73563EF2" w14:textId="7C7E03A0"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4678C9EF" w14:textId="095E0438"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r>
      <w:tr w:rsidR="001E2F3E" w:rsidRPr="00781112" w14:paraId="546837A9" w14:textId="0EC3B58A" w:rsidTr="009E026B">
        <w:tc>
          <w:tcPr>
            <w:tcW w:w="415" w:type="pct"/>
            <w:shd w:val="clear" w:color="auto" w:fill="auto"/>
            <w:vAlign w:val="center"/>
          </w:tcPr>
          <w:p w14:paraId="5E2AB8D4"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2801904B"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C &gt;=</w:t>
            </w:r>
          </w:p>
        </w:tc>
        <w:tc>
          <w:tcPr>
            <w:tcW w:w="542" w:type="pct"/>
            <w:shd w:val="clear" w:color="auto" w:fill="auto"/>
            <w:vAlign w:val="center"/>
          </w:tcPr>
          <w:p w14:paraId="5F09655C" w14:textId="799E5EE7"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HS</w:t>
            </w:r>
          </w:p>
        </w:tc>
        <w:tc>
          <w:tcPr>
            <w:tcW w:w="618" w:type="pct"/>
            <w:shd w:val="clear" w:color="auto" w:fill="auto"/>
            <w:vAlign w:val="center"/>
          </w:tcPr>
          <w:p w14:paraId="06826BA4" w14:textId="5829FE90"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14B1D7EC" w14:textId="5E17D245"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05B53368" w14:textId="52EA99DA"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55D2A6D2" w14:textId="0D1D128C"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0D56BAE2" w14:textId="2F5D29E0"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051835DE" w14:textId="241C45E0"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r>
      <w:tr w:rsidR="001E2F3E" w:rsidRPr="00781112" w14:paraId="42FB4D55" w14:textId="70E04CC1" w:rsidTr="009E026B">
        <w:tc>
          <w:tcPr>
            <w:tcW w:w="415" w:type="pct"/>
            <w:shd w:val="clear" w:color="auto" w:fill="auto"/>
            <w:vAlign w:val="center"/>
          </w:tcPr>
          <w:p w14:paraId="5003C653"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3BDC476D"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A &gt;=</w:t>
            </w:r>
          </w:p>
        </w:tc>
        <w:tc>
          <w:tcPr>
            <w:tcW w:w="542" w:type="pct"/>
            <w:shd w:val="clear" w:color="auto" w:fill="auto"/>
            <w:vAlign w:val="center"/>
          </w:tcPr>
          <w:p w14:paraId="0CAD024F" w14:textId="139788C5"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4</w:t>
            </w:r>
          </w:p>
        </w:tc>
        <w:tc>
          <w:tcPr>
            <w:tcW w:w="618" w:type="pct"/>
            <w:shd w:val="clear" w:color="auto" w:fill="auto"/>
            <w:vAlign w:val="center"/>
          </w:tcPr>
          <w:p w14:paraId="643E3EC7" w14:textId="5E734881"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5C17E435" w14:textId="07B15AE7"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1B9AA205" w14:textId="39F901D2"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4966A75F" w14:textId="20C7AE15"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022FBD29" w14:textId="276E1879"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67ED89E3" w14:textId="45ADA051"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r>
      <w:tr w:rsidR="001E2F3E" w:rsidRPr="00781112" w14:paraId="36D735AC" w14:textId="5C55C170" w:rsidTr="009E026B">
        <w:tc>
          <w:tcPr>
            <w:tcW w:w="415" w:type="pct"/>
            <w:shd w:val="clear" w:color="auto" w:fill="auto"/>
            <w:vAlign w:val="center"/>
          </w:tcPr>
          <w:p w14:paraId="3DD28514"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504829E1"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B &gt;=</w:t>
            </w:r>
          </w:p>
        </w:tc>
        <w:tc>
          <w:tcPr>
            <w:tcW w:w="542" w:type="pct"/>
            <w:shd w:val="clear" w:color="auto" w:fill="auto"/>
            <w:vAlign w:val="center"/>
          </w:tcPr>
          <w:p w14:paraId="7B7B7FDD" w14:textId="4EABA9DD"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8</w:t>
            </w:r>
          </w:p>
        </w:tc>
        <w:tc>
          <w:tcPr>
            <w:tcW w:w="618" w:type="pct"/>
            <w:shd w:val="clear" w:color="auto" w:fill="auto"/>
            <w:vAlign w:val="center"/>
          </w:tcPr>
          <w:p w14:paraId="4BE54D67" w14:textId="13C82F03"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1113A8B0" w14:textId="01C04123"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3A3B0FBA" w14:textId="478F9449"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789FBACE" w14:textId="6A3893AE"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22CE6700" w14:textId="17865EEB"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60EADA93" w14:textId="18F415A5"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r>
      <w:tr w:rsidR="001E2F3E" w:rsidRPr="00781112" w14:paraId="6D5345B6" w14:textId="77468A6F" w:rsidTr="009E026B">
        <w:tc>
          <w:tcPr>
            <w:tcW w:w="415" w:type="pct"/>
            <w:shd w:val="clear" w:color="auto" w:fill="auto"/>
            <w:vAlign w:val="center"/>
          </w:tcPr>
          <w:p w14:paraId="7932C55F"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2BCACF10"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C &gt;=</w:t>
            </w:r>
          </w:p>
        </w:tc>
        <w:tc>
          <w:tcPr>
            <w:tcW w:w="542" w:type="pct"/>
            <w:shd w:val="clear" w:color="auto" w:fill="auto"/>
            <w:vAlign w:val="center"/>
          </w:tcPr>
          <w:p w14:paraId="1E7674E7" w14:textId="620A24D0"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HS</w:t>
            </w:r>
          </w:p>
        </w:tc>
        <w:tc>
          <w:tcPr>
            <w:tcW w:w="618" w:type="pct"/>
            <w:shd w:val="clear" w:color="auto" w:fill="auto"/>
            <w:vAlign w:val="center"/>
          </w:tcPr>
          <w:p w14:paraId="416F7E76" w14:textId="5B460752"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7ADA18AC" w14:textId="2893C149"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1BF168BC" w14:textId="476AE7F5"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3BB5329F" w14:textId="6B51850F"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3163C52B" w14:textId="316A6F3C"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c>
          <w:tcPr>
            <w:tcW w:w="618" w:type="pct"/>
            <w:vAlign w:val="center"/>
          </w:tcPr>
          <w:p w14:paraId="6839B11E" w14:textId="5B3A2218" w:rsidR="00C362C0" w:rsidRPr="00781112" w:rsidRDefault="00C362C0" w:rsidP="00C362C0">
            <w:pPr>
              <w:jc w:val="center"/>
              <w:rPr>
                <w:rFonts w:cs="Arial"/>
                <w:color w:val="000000" w:themeColor="text1"/>
                <w:szCs w:val="16"/>
              </w:rPr>
            </w:pPr>
            <w:r w:rsidRPr="00781112">
              <w:rPr>
                <w:rFonts w:cs="Arial"/>
                <w:color w:val="000000" w:themeColor="text1"/>
                <w:szCs w:val="16"/>
              </w:rPr>
              <w:t>98.80%</w:t>
            </w:r>
          </w:p>
        </w:tc>
      </w:tr>
    </w:tbl>
    <w:p w14:paraId="4FED9CA8" w14:textId="44F264E8" w:rsidR="007765EF" w:rsidRDefault="007765EF" w:rsidP="00480083">
      <w:pPr>
        <w:rPr>
          <w:b/>
          <w:color w:val="000000" w:themeColor="text1"/>
        </w:rPr>
      </w:pPr>
    </w:p>
    <w:p w14:paraId="2215E695" w14:textId="77777777" w:rsidR="007765EF" w:rsidRDefault="007765EF">
      <w:pPr>
        <w:spacing w:before="0" w:after="200" w:line="276" w:lineRule="auto"/>
        <w:rPr>
          <w:b/>
          <w:color w:val="000000" w:themeColor="text1"/>
        </w:rPr>
      </w:pPr>
      <w:r>
        <w:rPr>
          <w:b/>
          <w:color w:val="000000" w:themeColor="text1"/>
        </w:rPr>
        <w:br w:type="page"/>
      </w:r>
    </w:p>
    <w:p w14:paraId="504D6A43" w14:textId="77777777" w:rsidR="00480083" w:rsidRPr="00781112" w:rsidRDefault="00480083" w:rsidP="00480083">
      <w:pPr>
        <w:rPr>
          <w:b/>
          <w:color w:val="000000" w:themeColor="text1"/>
        </w:rPr>
      </w:pPr>
    </w:p>
    <w:p w14:paraId="3F503660" w14:textId="72C6CE84" w:rsidR="00480083" w:rsidRPr="00781112" w:rsidRDefault="00480083" w:rsidP="00480083">
      <w:pPr>
        <w:rPr>
          <w:b/>
          <w:color w:val="000000" w:themeColor="text1"/>
        </w:rPr>
      </w:pPr>
      <w:r w:rsidRPr="00781112">
        <w:rPr>
          <w:b/>
          <w:color w:val="000000" w:themeColor="text1"/>
        </w:rPr>
        <w:t xml:space="preserve">Targets: Description of Stakeholder Input </w:t>
      </w:r>
    </w:p>
    <w:p w14:paraId="361B382C" w14:textId="77777777" w:rsidR="00480083" w:rsidRPr="00781112" w:rsidRDefault="00480083" w:rsidP="00480083">
      <w:pPr>
        <w:rPr>
          <w:rFonts w:cs="Arial"/>
          <w:color w:val="000000" w:themeColor="text1"/>
          <w:szCs w:val="16"/>
        </w:rPr>
      </w:pPr>
      <w:r w:rsidRPr="00781112">
        <w:rPr>
          <w:rFonts w:cs="Arial"/>
          <w:color w:val="000000" w:themeColor="text1"/>
          <w:szCs w:val="16"/>
        </w:rPr>
        <w:t>Louisiana has developed a comprehensive vision for the future of education in our state—Louisiana Believes. The driving force of this vision is that every one of Louisiana’s children should be on track to a college degree or a professional career. This inclusive vision and Louisiana’s values were apparent in the development of the SPP as we solicited and received broad stakeholder input to inform the target setting process for FFY 2020 - FFY 2025. The LDOE used three phases to develop the SPP targets for FFY 2020 - FFY 2025: 1) internal review, 2) external stakeholder feedback, and 3) Special Education Advisory Panel (SEAP) integration.</w:t>
      </w:r>
      <w:r w:rsidRPr="00781112">
        <w:rPr>
          <w:rFonts w:cs="Arial"/>
          <w:color w:val="000000" w:themeColor="text1"/>
          <w:szCs w:val="16"/>
        </w:rPr>
        <w:br/>
      </w:r>
      <w:r w:rsidRPr="00781112">
        <w:rPr>
          <w:rFonts w:cs="Arial"/>
          <w:color w:val="000000" w:themeColor="text1"/>
          <w:szCs w:val="16"/>
        </w:rPr>
        <w:br/>
        <w:t xml:space="preserve">Internal Review </w:t>
      </w:r>
      <w:r w:rsidRPr="00781112">
        <w:rPr>
          <w:rFonts w:cs="Arial"/>
          <w:color w:val="000000" w:themeColor="text1"/>
          <w:szCs w:val="16"/>
        </w:rPr>
        <w:br/>
        <w:t xml:space="preserve">The LDOE's Division for Diverse Learners reviewed historical data and LDOE policies, procedures, and practices; and collaborated with internal teams to develop targets that were rigorous and attainable. </w:t>
      </w:r>
      <w:r w:rsidRPr="00781112">
        <w:rPr>
          <w:rFonts w:cs="Arial"/>
          <w:color w:val="000000" w:themeColor="text1"/>
          <w:szCs w:val="16"/>
        </w:rPr>
        <w:br/>
      </w:r>
      <w:r w:rsidRPr="00781112">
        <w:rPr>
          <w:rFonts w:cs="Arial"/>
          <w:color w:val="000000" w:themeColor="text1"/>
          <w:szCs w:val="16"/>
        </w:rPr>
        <w:br/>
        <w:t>External Stakeholder Feedback</w:t>
      </w:r>
      <w:r w:rsidRPr="00781112">
        <w:rPr>
          <w:rFonts w:cs="Arial"/>
          <w:color w:val="000000" w:themeColor="text1"/>
          <w:szCs w:val="16"/>
        </w:rPr>
        <w:br/>
        <w:t xml:space="preserve">The Division for Diverse Learners developed and executed an SPP/APR target setting engagement strategy to solicit broad stakeholder feedback on the FFY 2020 - FFY 2025 targets. The LDOE developed a State Performance Plan / Annual Performance Report Target Setting webpage on the Louisiana Believes website. The webpage contains an overview document with an explanation of each indicator, historical data for each indicator, and tables to clearly identify whether or not the State met targets for each indicator. After review of the overview document, a target setting survey was available for stakeholders to provide input on targets. </w:t>
      </w:r>
      <w:r w:rsidRPr="00781112">
        <w:rPr>
          <w:rFonts w:cs="Arial"/>
          <w:color w:val="000000" w:themeColor="text1"/>
          <w:szCs w:val="16"/>
        </w:rPr>
        <w:br/>
      </w:r>
      <w:r w:rsidRPr="00781112">
        <w:rPr>
          <w:rFonts w:cs="Arial"/>
          <w:color w:val="000000" w:themeColor="text1"/>
          <w:szCs w:val="16"/>
        </w:rPr>
        <w:br/>
        <w:t>SEAP Integration</w:t>
      </w:r>
      <w:r w:rsidRPr="00781112">
        <w:rPr>
          <w:rFonts w:cs="Arial"/>
          <w:color w:val="000000" w:themeColor="text1"/>
          <w:szCs w:val="16"/>
        </w:rPr>
        <w:br/>
        <w:t>The LDOE informed the SEAP on the target setting process at two separate meetings. LDOE provided an overview of each indicator along with historical data to SEAP members who provided input. SEAP's structure also allows for public comments, which were exercised at the meetings, providing external stakeholder feedback.</w:t>
      </w:r>
      <w:r w:rsidRPr="00781112">
        <w:rPr>
          <w:rFonts w:cs="Arial"/>
          <w:color w:val="000000" w:themeColor="text1"/>
          <w:szCs w:val="16"/>
        </w:rPr>
        <w:br/>
      </w:r>
      <w:r w:rsidRPr="00781112">
        <w:rPr>
          <w:rFonts w:cs="Arial"/>
          <w:color w:val="000000" w:themeColor="text1"/>
          <w:szCs w:val="16"/>
        </w:rPr>
        <w:br/>
        <w:t>The LDOE set targets based on feedback, historical data, and whether previous targets set were met. LDOE will continue to monitor data, targets, and changes to Indicator methodology, and may revise targets in the future, as necessary. Any revisions will incorporate stakeholder feedback, including, but not limited to, SEAP.</w:t>
      </w:r>
    </w:p>
    <w:p w14:paraId="2DB4239B" w14:textId="2F83DC57" w:rsidR="00480083" w:rsidRPr="00781112" w:rsidRDefault="00480083" w:rsidP="00480083">
      <w:pPr>
        <w:rPr>
          <w:rFonts w:cs="Arial"/>
          <w:color w:val="000000" w:themeColor="text1"/>
          <w:szCs w:val="16"/>
        </w:rPr>
      </w:pPr>
    </w:p>
    <w:p w14:paraId="4B8B8032" w14:textId="4731FBE7" w:rsidR="0034094E" w:rsidRPr="00781112" w:rsidRDefault="0034094E">
      <w:pPr>
        <w:spacing w:before="0" w:after="200" w:line="276" w:lineRule="auto"/>
        <w:rPr>
          <w:b/>
          <w:color w:val="000000" w:themeColor="text1"/>
        </w:rPr>
      </w:pPr>
    </w:p>
    <w:p w14:paraId="185A3541" w14:textId="77777777" w:rsidR="004F4016" w:rsidRPr="00781112" w:rsidRDefault="004F4016" w:rsidP="004F4016">
      <w:pPr>
        <w:rPr>
          <w:b/>
          <w:color w:val="000000" w:themeColor="text1"/>
        </w:rPr>
      </w:pPr>
      <w:r w:rsidRPr="00781112">
        <w:rPr>
          <w:b/>
          <w:color w:val="000000" w:themeColor="text1"/>
        </w:rPr>
        <w:t>FFY 2020 Data Disaggregation from EDFacts</w:t>
      </w:r>
    </w:p>
    <w:p w14:paraId="0D0950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395788DA" w14:textId="77777777" w:rsidR="004F4016" w:rsidRPr="00781112" w:rsidRDefault="004F4016" w:rsidP="004F4016">
      <w:pPr>
        <w:rPr>
          <w:rFonts w:cs="Arial"/>
          <w:color w:val="000000" w:themeColor="text1"/>
          <w:szCs w:val="16"/>
        </w:rPr>
      </w:pPr>
      <w:r w:rsidRPr="00781112">
        <w:rPr>
          <w:rFonts w:cs="Arial"/>
          <w:color w:val="000000" w:themeColor="text1"/>
          <w:szCs w:val="16"/>
        </w:rPr>
        <w:t>SY 2020-21 Assessment Data Groups - Reading  (EDFacts file spec FS188; Data Group: 589)</w:t>
      </w:r>
    </w:p>
    <w:p w14:paraId="6E29ED7B"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5988832A" w14:textId="77777777" w:rsidR="004F4016" w:rsidRPr="00781112" w:rsidRDefault="004F4016" w:rsidP="004F4016">
      <w:pPr>
        <w:rPr>
          <w:rFonts w:cs="Arial"/>
          <w:color w:val="000000" w:themeColor="text1"/>
          <w:szCs w:val="16"/>
        </w:rPr>
      </w:pPr>
      <w:r w:rsidRPr="00781112">
        <w:rPr>
          <w:rFonts w:cs="Arial"/>
          <w:color w:val="000000" w:themeColor="text1"/>
          <w:szCs w:val="16"/>
        </w:rPr>
        <w:t>03/30/2022</w:t>
      </w:r>
    </w:p>
    <w:p w14:paraId="651CC948" w14:textId="77777777" w:rsidR="004F4016" w:rsidRPr="00781112" w:rsidRDefault="004F4016" w:rsidP="004F4016">
      <w:pPr>
        <w:rPr>
          <w:b/>
          <w:color w:val="000000" w:themeColor="text1"/>
        </w:rPr>
      </w:pPr>
      <w:r w:rsidRPr="00781112">
        <w:rPr>
          <w:b/>
          <w:color w:val="000000" w:themeColor="text1"/>
        </w:rPr>
        <w:t>Reading Assessment Participation Data by Grade</w:t>
      </w:r>
    </w:p>
    <w:tbl>
      <w:tblPr>
        <w:tblStyle w:val="TableGrid"/>
        <w:tblW w:w="5000" w:type="pct"/>
        <w:tblLayout w:type="fixed"/>
        <w:tblLook w:val="04A0" w:firstRow="1" w:lastRow="0" w:firstColumn="1" w:lastColumn="0" w:noHBand="0" w:noVBand="1"/>
        <w:tblCaption w:val="B03ASSPARTDATABYGRDRLA"/>
      </w:tblPr>
      <w:tblGrid>
        <w:gridCol w:w="3326"/>
        <w:gridCol w:w="2488"/>
        <w:gridCol w:w="2488"/>
        <w:gridCol w:w="2488"/>
      </w:tblGrid>
      <w:tr w:rsidR="00DD7CEF" w:rsidRPr="00781112" w14:paraId="403AD72A" w14:textId="77777777" w:rsidTr="009E026B">
        <w:tc>
          <w:tcPr>
            <w:tcW w:w="1541" w:type="pct"/>
            <w:shd w:val="clear" w:color="auto" w:fill="auto"/>
            <w:vAlign w:val="center"/>
          </w:tcPr>
          <w:p w14:paraId="1C62C5FF" w14:textId="603ACFA1" w:rsidR="00DD7CEF" w:rsidRPr="00781112" w:rsidRDefault="00DD7CEF" w:rsidP="00827FF4">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3BC293C7" w14:textId="23FBE050" w:rsidR="00DD7CEF" w:rsidRPr="00781112" w:rsidRDefault="0014778D">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2B9E34ED" w14:textId="748CD695" w:rsidR="00DD7CEF" w:rsidRPr="00781112" w:rsidRDefault="009A58F2">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1C889EA5" w14:textId="5C3575D5" w:rsidR="00DD7CEF" w:rsidRPr="00781112" w:rsidRDefault="00641893">
            <w:pPr>
              <w:jc w:val="center"/>
              <w:rPr>
                <w:rFonts w:cs="Arial"/>
                <w:b/>
                <w:bCs/>
                <w:color w:val="000000" w:themeColor="text1"/>
                <w:szCs w:val="16"/>
              </w:rPr>
            </w:pPr>
            <w:r w:rsidRPr="00781112">
              <w:rPr>
                <w:rFonts w:cs="Arial"/>
                <w:b/>
                <w:bCs/>
                <w:color w:val="000000" w:themeColor="text1"/>
                <w:szCs w:val="16"/>
              </w:rPr>
              <w:t>Grade HS</w:t>
            </w:r>
          </w:p>
        </w:tc>
      </w:tr>
      <w:tr w:rsidR="00DD7CEF" w:rsidRPr="00781112" w14:paraId="384D4241" w14:textId="77777777" w:rsidTr="009E026B">
        <w:tc>
          <w:tcPr>
            <w:tcW w:w="1541" w:type="pct"/>
            <w:shd w:val="clear" w:color="auto" w:fill="auto"/>
            <w:vAlign w:val="center"/>
          </w:tcPr>
          <w:p w14:paraId="2C5D3B14" w14:textId="422A2E91" w:rsidR="00DD7CEF" w:rsidRPr="00781112" w:rsidRDefault="00DD7CEF" w:rsidP="00827FF4">
            <w:pPr>
              <w:rPr>
                <w:rFonts w:cs="Arial"/>
                <w:color w:val="000000" w:themeColor="text1"/>
                <w:szCs w:val="16"/>
              </w:rPr>
            </w:pPr>
            <w:r w:rsidRPr="00781112">
              <w:rPr>
                <w:rFonts w:cs="Arial"/>
                <w:color w:val="000000" w:themeColor="text1"/>
                <w:szCs w:val="16"/>
              </w:rPr>
              <w:t>a. Children with IEPs*</w:t>
            </w:r>
          </w:p>
        </w:tc>
        <w:tc>
          <w:tcPr>
            <w:tcW w:w="1153" w:type="pct"/>
            <w:shd w:val="clear" w:color="auto" w:fill="auto"/>
            <w:vAlign w:val="center"/>
          </w:tcPr>
          <w:p w14:paraId="76979ED3" w14:textId="29C55693" w:rsidR="00DD7CEF" w:rsidRPr="00781112" w:rsidRDefault="00DD7CEF" w:rsidP="00360DD6">
            <w:pPr>
              <w:jc w:val="center"/>
              <w:rPr>
                <w:rFonts w:cs="Arial"/>
                <w:color w:val="000000" w:themeColor="text1"/>
                <w:szCs w:val="16"/>
              </w:rPr>
            </w:pPr>
            <w:r w:rsidRPr="00781112">
              <w:rPr>
                <w:rFonts w:cs="Arial"/>
                <w:color w:val="000000" w:themeColor="text1"/>
                <w:szCs w:val="16"/>
              </w:rPr>
              <w:t>6,805</w:t>
            </w:r>
          </w:p>
        </w:tc>
        <w:tc>
          <w:tcPr>
            <w:tcW w:w="1153" w:type="pct"/>
            <w:shd w:val="clear" w:color="auto" w:fill="auto"/>
            <w:vAlign w:val="center"/>
          </w:tcPr>
          <w:p w14:paraId="35D7BA3B" w14:textId="1A0E2FBE" w:rsidR="00DD7CEF" w:rsidRPr="00781112" w:rsidRDefault="00DD7CEF" w:rsidP="00360DD6">
            <w:pPr>
              <w:jc w:val="center"/>
              <w:rPr>
                <w:rFonts w:cs="Arial"/>
                <w:color w:val="000000" w:themeColor="text1"/>
                <w:szCs w:val="16"/>
              </w:rPr>
            </w:pPr>
            <w:r w:rsidRPr="00781112">
              <w:rPr>
                <w:rFonts w:cs="Arial"/>
                <w:color w:val="000000" w:themeColor="text1"/>
                <w:szCs w:val="16"/>
              </w:rPr>
              <w:t>6,383</w:t>
            </w:r>
          </w:p>
        </w:tc>
        <w:tc>
          <w:tcPr>
            <w:tcW w:w="1153" w:type="pct"/>
            <w:shd w:val="clear" w:color="auto" w:fill="auto"/>
            <w:vAlign w:val="center"/>
          </w:tcPr>
          <w:p w14:paraId="052A06A3" w14:textId="4AC6D010" w:rsidR="00DD7CEF" w:rsidRPr="00781112" w:rsidRDefault="00DD7CEF" w:rsidP="00360DD6">
            <w:pPr>
              <w:jc w:val="center"/>
              <w:rPr>
                <w:rFonts w:cs="Arial"/>
                <w:color w:val="000000" w:themeColor="text1"/>
                <w:szCs w:val="16"/>
              </w:rPr>
            </w:pPr>
            <w:r w:rsidRPr="00781112">
              <w:rPr>
                <w:rFonts w:cs="Arial"/>
                <w:color w:val="000000" w:themeColor="text1"/>
                <w:szCs w:val="16"/>
              </w:rPr>
              <w:t>6,007</w:t>
            </w:r>
          </w:p>
        </w:tc>
      </w:tr>
      <w:tr w:rsidR="00DD7CEF" w:rsidRPr="00781112" w14:paraId="7B6E221D" w14:textId="77777777" w:rsidTr="009E026B">
        <w:tc>
          <w:tcPr>
            <w:tcW w:w="1541" w:type="pct"/>
            <w:shd w:val="clear" w:color="auto" w:fill="auto"/>
            <w:vAlign w:val="center"/>
          </w:tcPr>
          <w:p w14:paraId="06F38372" w14:textId="7C3FDC42" w:rsidR="00DD7CEF" w:rsidRPr="00781112" w:rsidRDefault="00DD7CEF" w:rsidP="00827FF4">
            <w:pPr>
              <w:rPr>
                <w:rFonts w:cs="Arial"/>
                <w:color w:val="000000" w:themeColor="text1"/>
                <w:szCs w:val="16"/>
              </w:rPr>
            </w:pPr>
            <w:r w:rsidRPr="00781112">
              <w:rPr>
                <w:rFonts w:cs="Arial"/>
                <w:color w:val="000000" w:themeColor="text1"/>
                <w:szCs w:val="16"/>
              </w:rPr>
              <w:t>b. Children with IEPs in regular assessment with no accommodations</w:t>
            </w:r>
          </w:p>
        </w:tc>
        <w:tc>
          <w:tcPr>
            <w:tcW w:w="1153" w:type="pct"/>
            <w:shd w:val="clear" w:color="auto" w:fill="auto"/>
            <w:vAlign w:val="center"/>
          </w:tcPr>
          <w:p w14:paraId="59910B66" w14:textId="372C2375" w:rsidR="00DD7CEF" w:rsidRPr="00781112" w:rsidRDefault="00DD7CEF" w:rsidP="00360DD6">
            <w:pPr>
              <w:jc w:val="center"/>
              <w:rPr>
                <w:rFonts w:cs="Arial"/>
                <w:color w:val="000000" w:themeColor="text1"/>
                <w:szCs w:val="16"/>
              </w:rPr>
            </w:pPr>
            <w:r w:rsidRPr="00781112">
              <w:rPr>
                <w:rFonts w:cs="Arial"/>
                <w:color w:val="000000" w:themeColor="text1"/>
                <w:szCs w:val="16"/>
              </w:rPr>
              <w:t>1,127</w:t>
            </w:r>
          </w:p>
        </w:tc>
        <w:tc>
          <w:tcPr>
            <w:tcW w:w="1153" w:type="pct"/>
            <w:shd w:val="clear" w:color="auto" w:fill="auto"/>
            <w:vAlign w:val="center"/>
          </w:tcPr>
          <w:p w14:paraId="58E61FB0" w14:textId="02C429C4" w:rsidR="00DD7CEF" w:rsidRPr="00781112" w:rsidRDefault="00DD7CEF" w:rsidP="00360DD6">
            <w:pPr>
              <w:jc w:val="center"/>
              <w:rPr>
                <w:rFonts w:cs="Arial"/>
                <w:color w:val="000000" w:themeColor="text1"/>
                <w:szCs w:val="16"/>
              </w:rPr>
            </w:pPr>
            <w:r w:rsidRPr="00781112">
              <w:rPr>
                <w:rFonts w:cs="Arial"/>
                <w:color w:val="000000" w:themeColor="text1"/>
                <w:szCs w:val="16"/>
              </w:rPr>
              <w:t>226</w:t>
            </w:r>
          </w:p>
        </w:tc>
        <w:tc>
          <w:tcPr>
            <w:tcW w:w="1153" w:type="pct"/>
            <w:shd w:val="clear" w:color="auto" w:fill="auto"/>
            <w:vAlign w:val="center"/>
          </w:tcPr>
          <w:p w14:paraId="60320EC9" w14:textId="6D87AECE" w:rsidR="00DD7CEF" w:rsidRPr="00781112" w:rsidRDefault="00DD7CEF" w:rsidP="00360DD6">
            <w:pPr>
              <w:jc w:val="center"/>
              <w:rPr>
                <w:rFonts w:cs="Arial"/>
                <w:color w:val="000000" w:themeColor="text1"/>
                <w:szCs w:val="16"/>
              </w:rPr>
            </w:pPr>
            <w:r w:rsidRPr="00781112">
              <w:rPr>
                <w:rFonts w:cs="Arial"/>
                <w:color w:val="000000" w:themeColor="text1"/>
                <w:szCs w:val="16"/>
              </w:rPr>
              <w:t>200</w:t>
            </w:r>
          </w:p>
        </w:tc>
      </w:tr>
      <w:tr w:rsidR="00DD7CEF" w:rsidRPr="00781112" w14:paraId="764B5297" w14:textId="77777777" w:rsidTr="009E026B">
        <w:tc>
          <w:tcPr>
            <w:tcW w:w="1541" w:type="pct"/>
            <w:shd w:val="clear" w:color="auto" w:fill="auto"/>
            <w:vAlign w:val="center"/>
          </w:tcPr>
          <w:p w14:paraId="4B1F9E5B" w14:textId="0565B8FB" w:rsidR="00DD7CEF" w:rsidRPr="00781112" w:rsidRDefault="00DD7CEF" w:rsidP="00827FF4">
            <w:pPr>
              <w:rPr>
                <w:rFonts w:cs="Arial"/>
                <w:color w:val="000000" w:themeColor="text1"/>
                <w:szCs w:val="16"/>
              </w:rPr>
            </w:pPr>
            <w:r w:rsidRPr="00781112">
              <w:rPr>
                <w:rFonts w:cs="Arial"/>
                <w:color w:val="000000" w:themeColor="text1"/>
                <w:szCs w:val="16"/>
              </w:rPr>
              <w:t>c. Children with IEPs in regular assessment with accommodations</w:t>
            </w:r>
          </w:p>
        </w:tc>
        <w:tc>
          <w:tcPr>
            <w:tcW w:w="1153" w:type="pct"/>
            <w:shd w:val="clear" w:color="auto" w:fill="auto"/>
            <w:vAlign w:val="center"/>
          </w:tcPr>
          <w:p w14:paraId="19E2C9E2" w14:textId="62074AB9" w:rsidR="00DD7CEF" w:rsidRPr="00781112" w:rsidRDefault="00DD7CEF" w:rsidP="00360DD6">
            <w:pPr>
              <w:jc w:val="center"/>
              <w:rPr>
                <w:rFonts w:cs="Arial"/>
                <w:color w:val="000000" w:themeColor="text1"/>
                <w:szCs w:val="16"/>
              </w:rPr>
            </w:pPr>
            <w:r w:rsidRPr="00781112">
              <w:rPr>
                <w:rFonts w:cs="Arial"/>
                <w:color w:val="000000" w:themeColor="text1"/>
                <w:szCs w:val="16"/>
              </w:rPr>
              <w:t>4,973</w:t>
            </w:r>
          </w:p>
        </w:tc>
        <w:tc>
          <w:tcPr>
            <w:tcW w:w="1153" w:type="pct"/>
            <w:shd w:val="clear" w:color="auto" w:fill="auto"/>
            <w:vAlign w:val="center"/>
          </w:tcPr>
          <w:p w14:paraId="3DB02599" w14:textId="2A0B712D" w:rsidR="00DD7CEF" w:rsidRPr="00781112" w:rsidRDefault="00DD7CEF" w:rsidP="00360DD6">
            <w:pPr>
              <w:jc w:val="center"/>
              <w:rPr>
                <w:rFonts w:cs="Arial"/>
                <w:color w:val="000000" w:themeColor="text1"/>
                <w:szCs w:val="16"/>
              </w:rPr>
            </w:pPr>
            <w:r w:rsidRPr="00781112">
              <w:rPr>
                <w:rFonts w:cs="Arial"/>
                <w:color w:val="000000" w:themeColor="text1"/>
                <w:szCs w:val="16"/>
              </w:rPr>
              <w:t>4,938</w:t>
            </w:r>
          </w:p>
        </w:tc>
        <w:tc>
          <w:tcPr>
            <w:tcW w:w="1153" w:type="pct"/>
            <w:shd w:val="clear" w:color="auto" w:fill="auto"/>
            <w:vAlign w:val="center"/>
          </w:tcPr>
          <w:p w14:paraId="4B5AD287" w14:textId="21E448FD" w:rsidR="00DD7CEF" w:rsidRPr="00781112" w:rsidRDefault="00DD7CEF" w:rsidP="00360DD6">
            <w:pPr>
              <w:jc w:val="center"/>
              <w:rPr>
                <w:rFonts w:cs="Arial"/>
                <w:color w:val="000000" w:themeColor="text1"/>
                <w:szCs w:val="16"/>
              </w:rPr>
            </w:pPr>
            <w:r w:rsidRPr="00781112">
              <w:rPr>
                <w:rFonts w:cs="Arial"/>
                <w:color w:val="000000" w:themeColor="text1"/>
                <w:szCs w:val="16"/>
              </w:rPr>
              <w:t>4,391</w:t>
            </w:r>
          </w:p>
        </w:tc>
      </w:tr>
      <w:tr w:rsidR="00DD7CEF" w:rsidRPr="00781112" w14:paraId="2174424F" w14:textId="77777777" w:rsidTr="009E026B">
        <w:tc>
          <w:tcPr>
            <w:tcW w:w="1541" w:type="pct"/>
            <w:shd w:val="clear" w:color="auto" w:fill="auto"/>
            <w:vAlign w:val="center"/>
          </w:tcPr>
          <w:p w14:paraId="42AC6AFC" w14:textId="5D9B93DA" w:rsidR="00DD7CEF" w:rsidRPr="00781112" w:rsidRDefault="00E67387" w:rsidP="00827FF4">
            <w:pPr>
              <w:rPr>
                <w:rFonts w:cs="Arial"/>
                <w:color w:val="000000" w:themeColor="text1"/>
                <w:szCs w:val="16"/>
              </w:rPr>
            </w:pPr>
            <w:r w:rsidRPr="00781112">
              <w:rPr>
                <w:rFonts w:cs="Arial"/>
                <w:color w:val="000000" w:themeColor="text1"/>
                <w:szCs w:val="16"/>
              </w:rPr>
              <w:t>d. Children with IEPs in alternate assessment against alternate standards</w:t>
            </w:r>
          </w:p>
        </w:tc>
        <w:tc>
          <w:tcPr>
            <w:tcW w:w="1153" w:type="pct"/>
            <w:shd w:val="clear" w:color="auto" w:fill="auto"/>
            <w:vAlign w:val="center"/>
          </w:tcPr>
          <w:p w14:paraId="372F0481" w14:textId="200584A1" w:rsidR="00DD7CEF" w:rsidRPr="00781112" w:rsidRDefault="00DD7CEF" w:rsidP="00360DD6">
            <w:pPr>
              <w:jc w:val="center"/>
              <w:rPr>
                <w:rFonts w:cs="Arial"/>
                <w:color w:val="000000" w:themeColor="text1"/>
                <w:szCs w:val="16"/>
              </w:rPr>
            </w:pPr>
            <w:r w:rsidRPr="00781112">
              <w:rPr>
                <w:rFonts w:cs="Arial"/>
                <w:color w:val="000000" w:themeColor="text1"/>
                <w:szCs w:val="16"/>
              </w:rPr>
              <w:t>535</w:t>
            </w:r>
          </w:p>
        </w:tc>
        <w:tc>
          <w:tcPr>
            <w:tcW w:w="1153" w:type="pct"/>
            <w:shd w:val="clear" w:color="auto" w:fill="auto"/>
            <w:vAlign w:val="center"/>
          </w:tcPr>
          <w:p w14:paraId="74C112C5" w14:textId="5B153323" w:rsidR="00DD7CEF" w:rsidRPr="00781112" w:rsidRDefault="00DD7CEF" w:rsidP="00360DD6">
            <w:pPr>
              <w:jc w:val="center"/>
              <w:rPr>
                <w:rFonts w:cs="Arial"/>
                <w:color w:val="000000" w:themeColor="text1"/>
                <w:szCs w:val="16"/>
              </w:rPr>
            </w:pPr>
            <w:r w:rsidRPr="00781112">
              <w:rPr>
                <w:rFonts w:cs="Arial"/>
                <w:color w:val="000000" w:themeColor="text1"/>
                <w:szCs w:val="16"/>
              </w:rPr>
              <w:t>940</w:t>
            </w:r>
          </w:p>
        </w:tc>
        <w:tc>
          <w:tcPr>
            <w:tcW w:w="1153" w:type="pct"/>
            <w:shd w:val="clear" w:color="auto" w:fill="auto"/>
            <w:vAlign w:val="center"/>
          </w:tcPr>
          <w:p w14:paraId="37AA75C1" w14:textId="6F75A72A" w:rsidR="00DD7CEF" w:rsidRPr="00781112" w:rsidRDefault="00DD7CEF" w:rsidP="00360DD6">
            <w:pPr>
              <w:jc w:val="center"/>
              <w:rPr>
                <w:rFonts w:cs="Arial"/>
                <w:color w:val="000000" w:themeColor="text1"/>
                <w:szCs w:val="16"/>
              </w:rPr>
            </w:pPr>
            <w:r w:rsidRPr="00781112">
              <w:rPr>
                <w:rFonts w:cs="Arial"/>
                <w:color w:val="000000" w:themeColor="text1"/>
                <w:szCs w:val="16"/>
              </w:rPr>
              <w:t>859</w:t>
            </w:r>
          </w:p>
        </w:tc>
      </w:tr>
    </w:tbl>
    <w:p w14:paraId="2BFA9082" w14:textId="77777777" w:rsidR="003C0975" w:rsidRPr="00781112" w:rsidRDefault="003C0975" w:rsidP="004F4016">
      <w:pPr>
        <w:rPr>
          <w:b/>
          <w:color w:val="000000" w:themeColor="text1"/>
        </w:rPr>
      </w:pPr>
    </w:p>
    <w:p w14:paraId="7180C1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7381D1CB" w14:textId="77777777" w:rsidR="004F4016" w:rsidRPr="00781112" w:rsidRDefault="004F4016" w:rsidP="004F4016">
      <w:pPr>
        <w:rPr>
          <w:rFonts w:cs="Arial"/>
          <w:color w:val="000000" w:themeColor="text1"/>
          <w:szCs w:val="16"/>
        </w:rPr>
      </w:pPr>
      <w:r w:rsidRPr="00781112">
        <w:rPr>
          <w:rFonts w:cs="Arial"/>
          <w:color w:val="000000" w:themeColor="text1"/>
          <w:szCs w:val="16"/>
        </w:rPr>
        <w:t>SY 2020-21 Assessment Data Groups - Math  (EDFacts file spec FS185; Data Group: 588)</w:t>
      </w:r>
    </w:p>
    <w:p w14:paraId="565A3F2C"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44216026" w14:textId="00B372B9" w:rsidR="004F4016" w:rsidRPr="00781112" w:rsidRDefault="004F4016" w:rsidP="004F4016">
      <w:pPr>
        <w:rPr>
          <w:rFonts w:cs="Arial"/>
          <w:color w:val="000000" w:themeColor="text1"/>
          <w:szCs w:val="16"/>
        </w:rPr>
      </w:pPr>
      <w:r w:rsidRPr="00781112">
        <w:rPr>
          <w:rFonts w:cs="Arial"/>
          <w:color w:val="000000" w:themeColor="text1"/>
          <w:szCs w:val="16"/>
        </w:rPr>
        <w:t>03/30/2022</w:t>
      </w:r>
    </w:p>
    <w:p w14:paraId="4F72747C" w14:textId="77777777" w:rsidR="004F4016" w:rsidRPr="00781112" w:rsidRDefault="004F4016" w:rsidP="004F4016">
      <w:pPr>
        <w:rPr>
          <w:b/>
          <w:color w:val="000000" w:themeColor="text1"/>
        </w:rPr>
      </w:pPr>
      <w:r w:rsidRPr="00781112">
        <w:rPr>
          <w:b/>
          <w:color w:val="000000" w:themeColor="text1"/>
        </w:rPr>
        <w:t>Math Assessment Participation Data by Grade</w:t>
      </w:r>
    </w:p>
    <w:tbl>
      <w:tblPr>
        <w:tblStyle w:val="TableGrid"/>
        <w:tblW w:w="5000" w:type="pct"/>
        <w:tblLayout w:type="fixed"/>
        <w:tblLook w:val="04A0" w:firstRow="1" w:lastRow="0" w:firstColumn="1" w:lastColumn="0" w:noHBand="0" w:noVBand="1"/>
        <w:tblCaption w:val="B03ASSPARTDATABYGRDMATH"/>
      </w:tblPr>
      <w:tblGrid>
        <w:gridCol w:w="3326"/>
        <w:gridCol w:w="2488"/>
        <w:gridCol w:w="2488"/>
        <w:gridCol w:w="2488"/>
      </w:tblGrid>
      <w:tr w:rsidR="00227E23" w:rsidRPr="00781112" w14:paraId="765286EB" w14:textId="77777777" w:rsidTr="009E026B">
        <w:tc>
          <w:tcPr>
            <w:tcW w:w="1541" w:type="pct"/>
            <w:shd w:val="clear" w:color="auto" w:fill="auto"/>
            <w:vAlign w:val="center"/>
          </w:tcPr>
          <w:p w14:paraId="74EB9B5A" w14:textId="0F9AEAED" w:rsidR="00227E23" w:rsidRPr="00781112" w:rsidRDefault="00835EAD" w:rsidP="00227E23">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0DB3B187" w14:textId="58265A3B" w:rsidR="00227E23" w:rsidRPr="00781112" w:rsidRDefault="00227E23">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41AE35D3" w14:textId="574BC069" w:rsidR="00227E23" w:rsidRPr="00781112" w:rsidRDefault="00227E23">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5353B8D1" w14:textId="6B6DA4E3" w:rsidR="00227E23" w:rsidRPr="00781112" w:rsidRDefault="00227E23">
            <w:pPr>
              <w:jc w:val="center"/>
              <w:rPr>
                <w:rFonts w:cs="Arial"/>
                <w:b/>
                <w:bCs/>
                <w:color w:val="000000" w:themeColor="text1"/>
                <w:szCs w:val="16"/>
              </w:rPr>
            </w:pPr>
            <w:r w:rsidRPr="00781112">
              <w:rPr>
                <w:rFonts w:cs="Arial"/>
                <w:b/>
                <w:bCs/>
                <w:color w:val="000000" w:themeColor="text1"/>
                <w:szCs w:val="16"/>
              </w:rPr>
              <w:t>Grade HS</w:t>
            </w:r>
          </w:p>
        </w:tc>
      </w:tr>
      <w:tr w:rsidR="00BA0CFF" w:rsidRPr="00781112" w14:paraId="3F5839E5" w14:textId="77777777" w:rsidTr="009E026B">
        <w:tc>
          <w:tcPr>
            <w:tcW w:w="1541" w:type="pct"/>
            <w:shd w:val="clear" w:color="auto" w:fill="auto"/>
            <w:vAlign w:val="center"/>
          </w:tcPr>
          <w:p w14:paraId="570ED876" w14:textId="46869901" w:rsidR="00BA0CFF" w:rsidRPr="00781112" w:rsidRDefault="00BA0CFF" w:rsidP="00BA0CFF">
            <w:pPr>
              <w:rPr>
                <w:rFonts w:cs="Arial"/>
                <w:color w:val="000000" w:themeColor="text1"/>
                <w:szCs w:val="16"/>
              </w:rPr>
            </w:pPr>
            <w:r w:rsidRPr="00781112">
              <w:rPr>
                <w:rFonts w:cs="Arial"/>
                <w:color w:val="000000" w:themeColor="text1"/>
                <w:szCs w:val="16"/>
              </w:rPr>
              <w:t>a. Children with IEPs*</w:t>
            </w:r>
          </w:p>
        </w:tc>
        <w:tc>
          <w:tcPr>
            <w:tcW w:w="1153" w:type="pct"/>
            <w:shd w:val="clear" w:color="auto" w:fill="auto"/>
            <w:vAlign w:val="center"/>
          </w:tcPr>
          <w:p w14:paraId="6F9300B4" w14:textId="685B8914" w:rsidR="00BA0CFF" w:rsidRPr="00781112" w:rsidRDefault="00BA0CFF" w:rsidP="00360DD6">
            <w:pPr>
              <w:jc w:val="center"/>
              <w:rPr>
                <w:rFonts w:cs="Arial"/>
                <w:color w:val="000000" w:themeColor="text1"/>
                <w:szCs w:val="16"/>
              </w:rPr>
            </w:pPr>
            <w:r w:rsidRPr="00781112">
              <w:rPr>
                <w:rFonts w:cs="Arial"/>
                <w:color w:val="000000" w:themeColor="text1"/>
                <w:szCs w:val="16"/>
              </w:rPr>
              <w:t>6,805</w:t>
            </w:r>
          </w:p>
        </w:tc>
        <w:tc>
          <w:tcPr>
            <w:tcW w:w="1153" w:type="pct"/>
            <w:shd w:val="clear" w:color="auto" w:fill="auto"/>
            <w:vAlign w:val="center"/>
          </w:tcPr>
          <w:p w14:paraId="758EF16C" w14:textId="1AA6C4C5" w:rsidR="00BA0CFF" w:rsidRPr="00781112" w:rsidRDefault="00BA0CFF" w:rsidP="00360DD6">
            <w:pPr>
              <w:jc w:val="center"/>
              <w:rPr>
                <w:rFonts w:cs="Arial"/>
                <w:color w:val="000000" w:themeColor="text1"/>
                <w:szCs w:val="16"/>
              </w:rPr>
            </w:pPr>
            <w:r w:rsidRPr="00781112">
              <w:rPr>
                <w:rFonts w:cs="Arial"/>
                <w:color w:val="000000" w:themeColor="text1"/>
                <w:szCs w:val="16"/>
              </w:rPr>
              <w:t>6,389</w:t>
            </w:r>
          </w:p>
        </w:tc>
        <w:tc>
          <w:tcPr>
            <w:tcW w:w="1153" w:type="pct"/>
            <w:shd w:val="clear" w:color="auto" w:fill="auto"/>
            <w:vAlign w:val="center"/>
          </w:tcPr>
          <w:p w14:paraId="07D0BC24" w14:textId="0AD780C0" w:rsidR="00BA0CFF" w:rsidRPr="00781112" w:rsidRDefault="00BA0CFF" w:rsidP="00360DD6">
            <w:pPr>
              <w:jc w:val="center"/>
              <w:rPr>
                <w:rFonts w:cs="Arial"/>
                <w:color w:val="000000" w:themeColor="text1"/>
                <w:szCs w:val="16"/>
              </w:rPr>
            </w:pPr>
            <w:r w:rsidRPr="00781112">
              <w:rPr>
                <w:rFonts w:cs="Arial"/>
                <w:color w:val="000000" w:themeColor="text1"/>
                <w:szCs w:val="16"/>
              </w:rPr>
              <w:t>6,230</w:t>
            </w:r>
          </w:p>
        </w:tc>
      </w:tr>
      <w:tr w:rsidR="003A67B1" w:rsidRPr="00781112" w14:paraId="1B3F669C" w14:textId="77777777" w:rsidTr="009E026B">
        <w:tc>
          <w:tcPr>
            <w:tcW w:w="1541" w:type="pct"/>
            <w:shd w:val="clear" w:color="auto" w:fill="auto"/>
            <w:vAlign w:val="center"/>
          </w:tcPr>
          <w:p w14:paraId="36B1CD39" w14:textId="08730EA9" w:rsidR="003A67B1" w:rsidRPr="00781112" w:rsidRDefault="003A67B1" w:rsidP="003A67B1">
            <w:pPr>
              <w:rPr>
                <w:rFonts w:cs="Arial"/>
                <w:color w:val="000000" w:themeColor="text1"/>
                <w:szCs w:val="16"/>
              </w:rPr>
            </w:pPr>
            <w:r w:rsidRPr="00781112">
              <w:rPr>
                <w:rFonts w:cs="Arial"/>
                <w:color w:val="000000" w:themeColor="text1"/>
                <w:szCs w:val="16"/>
              </w:rPr>
              <w:t>b. Children with IEPs in regular assessment with no accommodations</w:t>
            </w:r>
          </w:p>
        </w:tc>
        <w:tc>
          <w:tcPr>
            <w:tcW w:w="1153" w:type="pct"/>
            <w:shd w:val="clear" w:color="auto" w:fill="auto"/>
            <w:vAlign w:val="center"/>
          </w:tcPr>
          <w:p w14:paraId="5E1AE50A" w14:textId="410612C1" w:rsidR="003A67B1" w:rsidRPr="00781112" w:rsidRDefault="003A67B1" w:rsidP="003A67B1">
            <w:pPr>
              <w:jc w:val="center"/>
              <w:rPr>
                <w:rFonts w:cs="Arial"/>
                <w:color w:val="000000" w:themeColor="text1"/>
                <w:szCs w:val="16"/>
              </w:rPr>
            </w:pPr>
            <w:r w:rsidRPr="00781112">
              <w:rPr>
                <w:rFonts w:cs="Arial"/>
                <w:color w:val="000000" w:themeColor="text1"/>
                <w:szCs w:val="16"/>
              </w:rPr>
              <w:t>1,106</w:t>
            </w:r>
          </w:p>
        </w:tc>
        <w:tc>
          <w:tcPr>
            <w:tcW w:w="1153" w:type="pct"/>
            <w:shd w:val="clear" w:color="auto" w:fill="auto"/>
            <w:vAlign w:val="center"/>
          </w:tcPr>
          <w:p w14:paraId="48D18899" w14:textId="210A5A25" w:rsidR="003A67B1" w:rsidRPr="00781112" w:rsidRDefault="003A67B1" w:rsidP="003A67B1">
            <w:pPr>
              <w:jc w:val="center"/>
              <w:rPr>
                <w:rFonts w:cs="Arial"/>
                <w:color w:val="000000" w:themeColor="text1"/>
                <w:szCs w:val="16"/>
              </w:rPr>
            </w:pPr>
            <w:r w:rsidRPr="00781112">
              <w:rPr>
                <w:rFonts w:cs="Arial"/>
                <w:color w:val="000000" w:themeColor="text1"/>
                <w:szCs w:val="16"/>
              </w:rPr>
              <w:t>196</w:t>
            </w:r>
          </w:p>
        </w:tc>
        <w:tc>
          <w:tcPr>
            <w:tcW w:w="1153" w:type="pct"/>
            <w:shd w:val="clear" w:color="auto" w:fill="auto"/>
            <w:vAlign w:val="center"/>
          </w:tcPr>
          <w:p w14:paraId="297238DD" w14:textId="253103BA" w:rsidR="003A67B1" w:rsidRPr="00781112" w:rsidRDefault="003A67B1" w:rsidP="003A67B1">
            <w:pPr>
              <w:jc w:val="center"/>
              <w:rPr>
                <w:rFonts w:cs="Arial"/>
                <w:color w:val="000000" w:themeColor="text1"/>
                <w:szCs w:val="16"/>
              </w:rPr>
            </w:pPr>
            <w:r w:rsidRPr="00781112">
              <w:rPr>
                <w:rFonts w:cs="Arial"/>
                <w:color w:val="000000" w:themeColor="text1"/>
                <w:szCs w:val="16"/>
              </w:rPr>
              <w:t>154</w:t>
            </w:r>
          </w:p>
        </w:tc>
      </w:tr>
      <w:tr w:rsidR="003A67B1" w:rsidRPr="00781112" w14:paraId="206D39D6" w14:textId="77777777" w:rsidTr="009E026B">
        <w:tc>
          <w:tcPr>
            <w:tcW w:w="1541" w:type="pct"/>
            <w:shd w:val="clear" w:color="auto" w:fill="auto"/>
            <w:vAlign w:val="center"/>
          </w:tcPr>
          <w:p w14:paraId="6A501FD3" w14:textId="6468B895" w:rsidR="003A67B1" w:rsidRPr="00781112" w:rsidRDefault="003A67B1" w:rsidP="003A67B1">
            <w:pPr>
              <w:rPr>
                <w:rFonts w:cs="Arial"/>
                <w:color w:val="000000" w:themeColor="text1"/>
                <w:szCs w:val="16"/>
              </w:rPr>
            </w:pPr>
            <w:r w:rsidRPr="00781112">
              <w:rPr>
                <w:rFonts w:cs="Arial"/>
                <w:color w:val="000000" w:themeColor="text1"/>
                <w:szCs w:val="16"/>
              </w:rPr>
              <w:t>c. Children with IEPs in regular assessment with accommodations</w:t>
            </w:r>
          </w:p>
        </w:tc>
        <w:tc>
          <w:tcPr>
            <w:tcW w:w="1153" w:type="pct"/>
            <w:shd w:val="clear" w:color="auto" w:fill="auto"/>
            <w:vAlign w:val="center"/>
          </w:tcPr>
          <w:p w14:paraId="1EE1C17D" w14:textId="207E06F2" w:rsidR="003A67B1" w:rsidRPr="00781112" w:rsidRDefault="003A67B1" w:rsidP="003A67B1">
            <w:pPr>
              <w:jc w:val="center"/>
              <w:rPr>
                <w:rFonts w:cs="Arial"/>
                <w:color w:val="000000" w:themeColor="text1"/>
                <w:szCs w:val="16"/>
              </w:rPr>
            </w:pPr>
            <w:r w:rsidRPr="00781112">
              <w:rPr>
                <w:rFonts w:cs="Arial"/>
                <w:color w:val="000000" w:themeColor="text1"/>
                <w:szCs w:val="16"/>
              </w:rPr>
              <w:t>4,992</w:t>
            </w:r>
          </w:p>
        </w:tc>
        <w:tc>
          <w:tcPr>
            <w:tcW w:w="1153" w:type="pct"/>
            <w:shd w:val="clear" w:color="auto" w:fill="auto"/>
            <w:vAlign w:val="center"/>
          </w:tcPr>
          <w:p w14:paraId="55C89819" w14:textId="1DDD2B16" w:rsidR="003A67B1" w:rsidRPr="00781112" w:rsidRDefault="003A67B1" w:rsidP="003A67B1">
            <w:pPr>
              <w:jc w:val="center"/>
              <w:rPr>
                <w:rFonts w:cs="Arial"/>
                <w:color w:val="000000" w:themeColor="text1"/>
                <w:szCs w:val="16"/>
              </w:rPr>
            </w:pPr>
            <w:r w:rsidRPr="00781112">
              <w:rPr>
                <w:rFonts w:cs="Arial"/>
                <w:color w:val="000000" w:themeColor="text1"/>
                <w:szCs w:val="16"/>
              </w:rPr>
              <w:t>4,966</w:t>
            </w:r>
          </w:p>
        </w:tc>
        <w:tc>
          <w:tcPr>
            <w:tcW w:w="1153" w:type="pct"/>
            <w:shd w:val="clear" w:color="auto" w:fill="auto"/>
            <w:vAlign w:val="center"/>
          </w:tcPr>
          <w:p w14:paraId="0B7FE00F" w14:textId="48CAB52C" w:rsidR="003A67B1" w:rsidRPr="00781112" w:rsidRDefault="003A67B1" w:rsidP="003A67B1">
            <w:pPr>
              <w:jc w:val="center"/>
              <w:rPr>
                <w:rFonts w:cs="Arial"/>
                <w:color w:val="000000" w:themeColor="text1"/>
                <w:szCs w:val="16"/>
              </w:rPr>
            </w:pPr>
            <w:r w:rsidRPr="00781112">
              <w:rPr>
                <w:rFonts w:cs="Arial"/>
                <w:color w:val="000000" w:themeColor="text1"/>
                <w:szCs w:val="16"/>
              </w:rPr>
              <w:t>4,548</w:t>
            </w:r>
          </w:p>
        </w:tc>
      </w:tr>
      <w:tr w:rsidR="003A67B1" w:rsidRPr="00781112" w14:paraId="7C657E3A" w14:textId="77777777" w:rsidTr="009E026B">
        <w:tc>
          <w:tcPr>
            <w:tcW w:w="1541" w:type="pct"/>
            <w:shd w:val="clear" w:color="auto" w:fill="auto"/>
            <w:vAlign w:val="center"/>
          </w:tcPr>
          <w:p w14:paraId="19508B28" w14:textId="23952C15" w:rsidR="003A67B1" w:rsidRPr="00781112" w:rsidRDefault="003A67B1" w:rsidP="003A67B1">
            <w:pPr>
              <w:rPr>
                <w:rFonts w:cs="Arial"/>
                <w:color w:val="000000" w:themeColor="text1"/>
                <w:szCs w:val="16"/>
              </w:rPr>
            </w:pPr>
            <w:r w:rsidRPr="00781112">
              <w:rPr>
                <w:rFonts w:cs="Arial"/>
                <w:color w:val="000000" w:themeColor="text1"/>
                <w:szCs w:val="16"/>
              </w:rPr>
              <w:t>d. Children with IEPs in alternate assessment against alternate standards</w:t>
            </w:r>
          </w:p>
        </w:tc>
        <w:tc>
          <w:tcPr>
            <w:tcW w:w="1153" w:type="pct"/>
            <w:shd w:val="clear" w:color="auto" w:fill="auto"/>
            <w:vAlign w:val="center"/>
          </w:tcPr>
          <w:p w14:paraId="41F72ACA" w14:textId="2CC8E5F7" w:rsidR="003A67B1" w:rsidRPr="00781112" w:rsidRDefault="003A67B1" w:rsidP="003A67B1">
            <w:pPr>
              <w:jc w:val="center"/>
              <w:rPr>
                <w:rFonts w:cs="Arial"/>
                <w:color w:val="000000" w:themeColor="text1"/>
                <w:szCs w:val="16"/>
              </w:rPr>
            </w:pPr>
            <w:r w:rsidRPr="00781112">
              <w:rPr>
                <w:rFonts w:cs="Arial"/>
                <w:color w:val="000000" w:themeColor="text1"/>
                <w:szCs w:val="16"/>
              </w:rPr>
              <w:t>532</w:t>
            </w:r>
          </w:p>
        </w:tc>
        <w:tc>
          <w:tcPr>
            <w:tcW w:w="1153" w:type="pct"/>
            <w:shd w:val="clear" w:color="auto" w:fill="auto"/>
            <w:vAlign w:val="center"/>
          </w:tcPr>
          <w:p w14:paraId="42315622" w14:textId="322B0162" w:rsidR="003A67B1" w:rsidRPr="00781112" w:rsidRDefault="003A67B1" w:rsidP="003A67B1">
            <w:pPr>
              <w:jc w:val="center"/>
              <w:rPr>
                <w:rFonts w:cs="Arial"/>
                <w:color w:val="000000" w:themeColor="text1"/>
                <w:szCs w:val="16"/>
              </w:rPr>
            </w:pPr>
            <w:r w:rsidRPr="00781112">
              <w:rPr>
                <w:rFonts w:cs="Arial"/>
                <w:color w:val="000000" w:themeColor="text1"/>
                <w:szCs w:val="16"/>
              </w:rPr>
              <w:t>937</w:t>
            </w:r>
          </w:p>
        </w:tc>
        <w:tc>
          <w:tcPr>
            <w:tcW w:w="1153" w:type="pct"/>
            <w:shd w:val="clear" w:color="auto" w:fill="auto"/>
            <w:vAlign w:val="center"/>
          </w:tcPr>
          <w:p w14:paraId="79C22C84" w14:textId="36E0DF79" w:rsidR="003A67B1" w:rsidRPr="00781112" w:rsidRDefault="003A67B1" w:rsidP="003A67B1">
            <w:pPr>
              <w:jc w:val="center"/>
              <w:rPr>
                <w:rFonts w:cs="Arial"/>
                <w:color w:val="000000" w:themeColor="text1"/>
                <w:szCs w:val="16"/>
              </w:rPr>
            </w:pPr>
            <w:r w:rsidRPr="00781112">
              <w:rPr>
                <w:rFonts w:cs="Arial"/>
                <w:color w:val="000000" w:themeColor="text1"/>
                <w:szCs w:val="16"/>
              </w:rPr>
              <w:t>852</w:t>
            </w:r>
          </w:p>
        </w:tc>
      </w:tr>
    </w:tbl>
    <w:p w14:paraId="28134ACD" w14:textId="77777777" w:rsidR="004F2A22" w:rsidRDefault="004F2A22" w:rsidP="003E3AED"/>
    <w:p w14:paraId="1074FBF7" w14:textId="5A346BAA" w:rsidR="003E3AED" w:rsidRDefault="003C0975" w:rsidP="003E3AED">
      <w:r>
        <w:t xml:space="preserve">*The children with IEPs count </w:t>
      </w:r>
      <w:r w:rsidRPr="007905E7">
        <w:t xml:space="preserve">excludes </w:t>
      </w:r>
      <w:r>
        <w:t xml:space="preserve">children with disabilities </w:t>
      </w:r>
      <w:r w:rsidRPr="007905E7">
        <w:t>who were reported as exempt due to significant medical emergency</w:t>
      </w:r>
      <w:r w:rsidR="003E3AED">
        <w:t xml:space="preserve"> in row a for all the prefilled data in this indicator.</w:t>
      </w:r>
    </w:p>
    <w:p w14:paraId="20F9FF57" w14:textId="77777777" w:rsidR="003C0975" w:rsidRPr="00781112" w:rsidRDefault="003C0975" w:rsidP="004F4016">
      <w:pPr>
        <w:rPr>
          <w:color w:val="000000" w:themeColor="text1"/>
        </w:rPr>
      </w:pPr>
    </w:p>
    <w:p w14:paraId="44A15970" w14:textId="77777777" w:rsidR="004F4016" w:rsidRPr="00781112" w:rsidRDefault="004F4016" w:rsidP="004F4016">
      <w:pPr>
        <w:rPr>
          <w:b/>
          <w:color w:val="000000" w:themeColor="text1"/>
        </w:rPr>
      </w:pPr>
      <w:r w:rsidRPr="00781112">
        <w:rPr>
          <w:b/>
          <w:color w:val="000000" w:themeColor="text1"/>
        </w:rPr>
        <w:t>FFY 2020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RDATARLA"/>
      </w:tblPr>
      <w:tblGrid>
        <w:gridCol w:w="767"/>
        <w:gridCol w:w="1025"/>
        <w:gridCol w:w="1981"/>
        <w:gridCol w:w="1981"/>
        <w:gridCol w:w="1006"/>
        <w:gridCol w:w="1008"/>
        <w:gridCol w:w="1008"/>
        <w:gridCol w:w="1008"/>
        <w:gridCol w:w="1006"/>
      </w:tblGrid>
      <w:tr w:rsidR="00396BA3" w:rsidRPr="00781112" w14:paraId="3BAF6B00" w14:textId="77777777" w:rsidTr="00396BA3">
        <w:trPr>
          <w:tblHeader/>
        </w:trPr>
        <w:tc>
          <w:tcPr>
            <w:tcW w:w="356" w:type="pct"/>
            <w:shd w:val="clear" w:color="auto" w:fill="auto"/>
            <w:vAlign w:val="bottom"/>
          </w:tcPr>
          <w:p w14:paraId="3F94C694" w14:textId="77777777" w:rsidR="00763F84" w:rsidRPr="00781112" w:rsidRDefault="00763F84" w:rsidP="00827FF4">
            <w:pPr>
              <w:jc w:val="center"/>
              <w:rPr>
                <w:b/>
                <w:color w:val="000000" w:themeColor="text1"/>
              </w:rPr>
            </w:pPr>
            <w:r w:rsidRPr="00781112">
              <w:rPr>
                <w:b/>
                <w:color w:val="000000" w:themeColor="text1"/>
              </w:rPr>
              <w:lastRenderedPageBreak/>
              <w:t>Group</w:t>
            </w:r>
          </w:p>
        </w:tc>
        <w:tc>
          <w:tcPr>
            <w:tcW w:w="475" w:type="pct"/>
            <w:shd w:val="clear" w:color="auto" w:fill="auto"/>
            <w:vAlign w:val="bottom"/>
          </w:tcPr>
          <w:p w14:paraId="4992F96D" w14:textId="77777777" w:rsidR="00763F84" w:rsidRPr="00781112" w:rsidRDefault="00763F84" w:rsidP="00827FF4">
            <w:pPr>
              <w:jc w:val="center"/>
              <w:rPr>
                <w:b/>
                <w:color w:val="000000" w:themeColor="text1"/>
              </w:rPr>
            </w:pPr>
            <w:r w:rsidRPr="00781112">
              <w:rPr>
                <w:b/>
                <w:color w:val="000000" w:themeColor="text1"/>
              </w:rPr>
              <w:t>Group Name</w:t>
            </w:r>
          </w:p>
        </w:tc>
        <w:tc>
          <w:tcPr>
            <w:tcW w:w="918" w:type="pct"/>
            <w:shd w:val="clear" w:color="auto" w:fill="auto"/>
            <w:vAlign w:val="bottom"/>
          </w:tcPr>
          <w:p w14:paraId="2677A663" w14:textId="57D25781" w:rsidR="00763F84" w:rsidRPr="00781112" w:rsidRDefault="00763F84" w:rsidP="00827FF4">
            <w:pPr>
              <w:jc w:val="center"/>
              <w:rPr>
                <w:b/>
                <w:color w:val="000000" w:themeColor="text1"/>
              </w:rPr>
            </w:pPr>
            <w:r w:rsidRPr="00781112">
              <w:rPr>
                <w:b/>
                <w:color w:val="000000" w:themeColor="text1"/>
              </w:rPr>
              <w:t>Number of Children with IEPs Participating</w:t>
            </w:r>
          </w:p>
        </w:tc>
        <w:tc>
          <w:tcPr>
            <w:tcW w:w="918" w:type="pct"/>
            <w:shd w:val="clear" w:color="auto" w:fill="auto"/>
            <w:vAlign w:val="bottom"/>
          </w:tcPr>
          <w:p w14:paraId="5736EAFF" w14:textId="26F0F47E" w:rsidR="00763F84" w:rsidRPr="00781112" w:rsidRDefault="00763F84" w:rsidP="00827FF4">
            <w:pPr>
              <w:jc w:val="center"/>
              <w:rPr>
                <w:b/>
                <w:color w:val="000000" w:themeColor="text1"/>
              </w:rPr>
            </w:pPr>
            <w:r w:rsidRPr="00781112">
              <w:rPr>
                <w:b/>
                <w:color w:val="000000" w:themeColor="text1"/>
              </w:rPr>
              <w:t>Number of Children with IEPs</w:t>
            </w:r>
          </w:p>
        </w:tc>
        <w:tc>
          <w:tcPr>
            <w:tcW w:w="466" w:type="pct"/>
            <w:shd w:val="clear" w:color="auto" w:fill="auto"/>
            <w:vAlign w:val="bottom"/>
          </w:tcPr>
          <w:p w14:paraId="70E219F7" w14:textId="77777777" w:rsidR="00763F84" w:rsidRPr="00781112" w:rsidRDefault="00763F84" w:rsidP="00827FF4">
            <w:pPr>
              <w:jc w:val="center"/>
              <w:rPr>
                <w:b/>
                <w:color w:val="000000" w:themeColor="text1"/>
              </w:rPr>
            </w:pPr>
            <w:r w:rsidRPr="00781112">
              <w:rPr>
                <w:b/>
                <w:color w:val="000000" w:themeColor="text1"/>
              </w:rPr>
              <w:t>FFY 2019 Data</w:t>
            </w:r>
          </w:p>
        </w:tc>
        <w:tc>
          <w:tcPr>
            <w:tcW w:w="467" w:type="pct"/>
            <w:shd w:val="clear" w:color="auto" w:fill="auto"/>
            <w:vAlign w:val="bottom"/>
          </w:tcPr>
          <w:p w14:paraId="2D0B1710" w14:textId="77777777" w:rsidR="00763F84" w:rsidRPr="00781112" w:rsidRDefault="00763F84" w:rsidP="00827FF4">
            <w:pPr>
              <w:jc w:val="center"/>
              <w:rPr>
                <w:b/>
                <w:color w:val="000000" w:themeColor="text1"/>
              </w:rPr>
            </w:pPr>
            <w:r w:rsidRPr="00781112">
              <w:rPr>
                <w:b/>
                <w:color w:val="000000" w:themeColor="text1"/>
              </w:rPr>
              <w:t>FFY 2020 Target</w:t>
            </w:r>
          </w:p>
        </w:tc>
        <w:tc>
          <w:tcPr>
            <w:tcW w:w="467" w:type="pct"/>
            <w:shd w:val="clear" w:color="auto" w:fill="auto"/>
            <w:vAlign w:val="bottom"/>
          </w:tcPr>
          <w:p w14:paraId="1D807DE2" w14:textId="77777777" w:rsidR="00763F84" w:rsidRPr="00781112" w:rsidRDefault="00763F84" w:rsidP="00827FF4">
            <w:pPr>
              <w:jc w:val="center"/>
              <w:rPr>
                <w:b/>
                <w:color w:val="000000" w:themeColor="text1"/>
              </w:rPr>
            </w:pPr>
            <w:r w:rsidRPr="00781112">
              <w:rPr>
                <w:b/>
                <w:color w:val="000000" w:themeColor="text1"/>
              </w:rPr>
              <w:t>FFY 2020 Data</w:t>
            </w:r>
          </w:p>
        </w:tc>
        <w:tc>
          <w:tcPr>
            <w:tcW w:w="467" w:type="pct"/>
            <w:shd w:val="clear" w:color="auto" w:fill="auto"/>
            <w:vAlign w:val="bottom"/>
          </w:tcPr>
          <w:p w14:paraId="6569FC00" w14:textId="77777777" w:rsidR="00763F84" w:rsidRPr="00781112" w:rsidRDefault="00763F84" w:rsidP="00827FF4">
            <w:pPr>
              <w:jc w:val="center"/>
              <w:rPr>
                <w:b/>
                <w:color w:val="000000" w:themeColor="text1"/>
              </w:rPr>
            </w:pPr>
            <w:r w:rsidRPr="00781112">
              <w:rPr>
                <w:b/>
                <w:color w:val="000000" w:themeColor="text1"/>
              </w:rPr>
              <w:t>Status</w:t>
            </w:r>
          </w:p>
        </w:tc>
        <w:tc>
          <w:tcPr>
            <w:tcW w:w="467" w:type="pct"/>
            <w:shd w:val="clear" w:color="auto" w:fill="auto"/>
            <w:vAlign w:val="bottom"/>
          </w:tcPr>
          <w:p w14:paraId="2DF56EFB" w14:textId="77777777" w:rsidR="00763F84" w:rsidRPr="00781112" w:rsidRDefault="00763F84" w:rsidP="00827FF4">
            <w:pPr>
              <w:jc w:val="center"/>
              <w:rPr>
                <w:b/>
                <w:color w:val="000000" w:themeColor="text1"/>
              </w:rPr>
            </w:pPr>
            <w:r w:rsidRPr="00781112">
              <w:rPr>
                <w:b/>
                <w:color w:val="000000" w:themeColor="text1"/>
              </w:rPr>
              <w:t>Slippage</w:t>
            </w:r>
          </w:p>
        </w:tc>
      </w:tr>
      <w:tr w:rsidR="00396BA3" w:rsidRPr="00781112" w14:paraId="376FC28A" w14:textId="77777777" w:rsidTr="00396BA3">
        <w:tc>
          <w:tcPr>
            <w:tcW w:w="356" w:type="pct"/>
            <w:shd w:val="clear" w:color="auto" w:fill="auto"/>
            <w:vAlign w:val="center"/>
          </w:tcPr>
          <w:p w14:paraId="53A8B458"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A</w:t>
            </w:r>
          </w:p>
        </w:tc>
        <w:tc>
          <w:tcPr>
            <w:tcW w:w="475" w:type="pct"/>
            <w:shd w:val="clear" w:color="auto" w:fill="auto"/>
            <w:vAlign w:val="center"/>
          </w:tcPr>
          <w:p w14:paraId="0A1B698A" w14:textId="5AC06767"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8AC973E" w14:textId="3ED347A2" w:rsidR="00892DD7" w:rsidRPr="00781112" w:rsidRDefault="00892DD7" w:rsidP="00892DD7">
            <w:pPr>
              <w:jc w:val="center"/>
              <w:rPr>
                <w:rFonts w:cs="Arial"/>
                <w:color w:val="000000" w:themeColor="text1"/>
                <w:szCs w:val="16"/>
              </w:rPr>
            </w:pPr>
            <w:r w:rsidRPr="00781112">
              <w:rPr>
                <w:rFonts w:cs="Arial"/>
                <w:color w:val="000000"/>
                <w:szCs w:val="16"/>
              </w:rPr>
              <w:t>6,635</w:t>
            </w:r>
          </w:p>
        </w:tc>
        <w:tc>
          <w:tcPr>
            <w:tcW w:w="918" w:type="pct"/>
            <w:shd w:val="clear" w:color="auto" w:fill="auto"/>
            <w:vAlign w:val="center"/>
          </w:tcPr>
          <w:p w14:paraId="703303A1" w14:textId="4183E48D" w:rsidR="00892DD7" w:rsidRPr="00781112" w:rsidRDefault="00892DD7" w:rsidP="00892DD7">
            <w:pPr>
              <w:jc w:val="center"/>
              <w:rPr>
                <w:rFonts w:cs="Arial"/>
                <w:color w:val="000000" w:themeColor="text1"/>
                <w:szCs w:val="16"/>
              </w:rPr>
            </w:pPr>
            <w:r w:rsidRPr="00781112">
              <w:rPr>
                <w:rFonts w:cs="Arial"/>
                <w:color w:val="000000" w:themeColor="text1"/>
                <w:szCs w:val="16"/>
              </w:rPr>
              <w:t>6,805</w:t>
            </w:r>
          </w:p>
        </w:tc>
        <w:tc>
          <w:tcPr>
            <w:tcW w:w="466" w:type="pct"/>
            <w:shd w:val="clear" w:color="auto" w:fill="auto"/>
            <w:vAlign w:val="center"/>
          </w:tcPr>
          <w:p w14:paraId="701F3D15" w14:textId="6F1538C4" w:rsidR="00892DD7" w:rsidRPr="00781112" w:rsidRDefault="00892DD7" w:rsidP="00892DD7">
            <w:pPr>
              <w:jc w:val="center"/>
              <w:rPr>
                <w:rFonts w:cs="Arial"/>
                <w:color w:val="000000" w:themeColor="text1"/>
                <w:szCs w:val="16"/>
              </w:rPr>
            </w:pPr>
          </w:p>
        </w:tc>
        <w:tc>
          <w:tcPr>
            <w:tcW w:w="467" w:type="pct"/>
            <w:shd w:val="clear" w:color="auto" w:fill="auto"/>
            <w:vAlign w:val="center"/>
          </w:tcPr>
          <w:p w14:paraId="797749BC" w14:textId="696E92A3" w:rsidR="00892DD7" w:rsidRPr="00781112" w:rsidRDefault="00892DD7" w:rsidP="00892DD7">
            <w:pPr>
              <w:jc w:val="center"/>
              <w:rPr>
                <w:rFonts w:cs="Arial"/>
                <w:color w:val="000000" w:themeColor="text1"/>
                <w:szCs w:val="16"/>
              </w:rPr>
            </w:pPr>
            <w:r w:rsidRPr="00781112">
              <w:rPr>
                <w:rFonts w:cs="Arial"/>
                <w:color w:val="000000" w:themeColor="text1"/>
                <w:szCs w:val="16"/>
              </w:rPr>
              <w:t>98.80%</w:t>
            </w:r>
          </w:p>
        </w:tc>
        <w:tc>
          <w:tcPr>
            <w:tcW w:w="467" w:type="pct"/>
            <w:shd w:val="clear" w:color="auto" w:fill="auto"/>
            <w:vAlign w:val="center"/>
          </w:tcPr>
          <w:p w14:paraId="70549BEB" w14:textId="587EEF17" w:rsidR="00892DD7" w:rsidRPr="00781112" w:rsidRDefault="00892DD7" w:rsidP="00892DD7">
            <w:pPr>
              <w:jc w:val="center"/>
              <w:rPr>
                <w:rFonts w:cs="Arial"/>
                <w:color w:val="000000" w:themeColor="text1"/>
                <w:szCs w:val="16"/>
              </w:rPr>
            </w:pPr>
            <w:r w:rsidRPr="00781112">
              <w:rPr>
                <w:rFonts w:cs="Arial"/>
                <w:color w:val="000000" w:themeColor="text1"/>
                <w:szCs w:val="16"/>
              </w:rPr>
              <w:t>97.50%</w:t>
            </w:r>
          </w:p>
        </w:tc>
        <w:tc>
          <w:tcPr>
            <w:tcW w:w="467" w:type="pct"/>
            <w:shd w:val="clear" w:color="auto" w:fill="auto"/>
            <w:vAlign w:val="center"/>
          </w:tcPr>
          <w:p w14:paraId="78EE727D" w14:textId="62F0BE75"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c>
          <w:tcPr>
            <w:tcW w:w="467" w:type="pct"/>
            <w:shd w:val="clear" w:color="auto" w:fill="auto"/>
            <w:vAlign w:val="center"/>
          </w:tcPr>
          <w:p w14:paraId="6EAB29CE" w14:textId="27C0C9B3"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r>
      <w:tr w:rsidR="00396BA3" w:rsidRPr="00781112" w14:paraId="56F1A9B2" w14:textId="77777777" w:rsidTr="00396BA3">
        <w:tc>
          <w:tcPr>
            <w:tcW w:w="356" w:type="pct"/>
            <w:shd w:val="clear" w:color="auto" w:fill="auto"/>
            <w:vAlign w:val="center"/>
          </w:tcPr>
          <w:p w14:paraId="558707F7"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B</w:t>
            </w:r>
          </w:p>
        </w:tc>
        <w:tc>
          <w:tcPr>
            <w:tcW w:w="475" w:type="pct"/>
            <w:shd w:val="clear" w:color="auto" w:fill="auto"/>
            <w:vAlign w:val="center"/>
          </w:tcPr>
          <w:p w14:paraId="384974C9" w14:textId="0A4570C5"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751205A1" w14:textId="2503E0F4" w:rsidR="00892DD7" w:rsidRPr="00781112" w:rsidRDefault="00892DD7" w:rsidP="00892DD7">
            <w:pPr>
              <w:jc w:val="center"/>
              <w:rPr>
                <w:rFonts w:cs="Arial"/>
                <w:color w:val="000000" w:themeColor="text1"/>
                <w:szCs w:val="16"/>
              </w:rPr>
            </w:pPr>
            <w:r w:rsidRPr="00781112">
              <w:rPr>
                <w:rFonts w:cs="Arial"/>
                <w:color w:val="000000"/>
                <w:szCs w:val="16"/>
              </w:rPr>
              <w:t>6,104</w:t>
            </w:r>
          </w:p>
        </w:tc>
        <w:tc>
          <w:tcPr>
            <w:tcW w:w="918" w:type="pct"/>
            <w:shd w:val="clear" w:color="auto" w:fill="auto"/>
            <w:vAlign w:val="center"/>
          </w:tcPr>
          <w:p w14:paraId="4F6EDDAF" w14:textId="20D9AAA3" w:rsidR="00892DD7" w:rsidRPr="00781112" w:rsidRDefault="00892DD7" w:rsidP="00892DD7">
            <w:pPr>
              <w:jc w:val="center"/>
              <w:rPr>
                <w:rFonts w:cs="Arial"/>
                <w:color w:val="000000" w:themeColor="text1"/>
                <w:szCs w:val="16"/>
              </w:rPr>
            </w:pPr>
            <w:r w:rsidRPr="00781112">
              <w:rPr>
                <w:rFonts w:cs="Arial"/>
                <w:color w:val="000000" w:themeColor="text1"/>
                <w:szCs w:val="16"/>
              </w:rPr>
              <w:t>6,383</w:t>
            </w:r>
          </w:p>
        </w:tc>
        <w:tc>
          <w:tcPr>
            <w:tcW w:w="466" w:type="pct"/>
            <w:shd w:val="clear" w:color="auto" w:fill="auto"/>
            <w:vAlign w:val="center"/>
          </w:tcPr>
          <w:p w14:paraId="6B3B6780" w14:textId="51308AEA" w:rsidR="00892DD7" w:rsidRPr="00781112" w:rsidRDefault="00892DD7" w:rsidP="00892DD7">
            <w:pPr>
              <w:jc w:val="center"/>
              <w:rPr>
                <w:rFonts w:cs="Arial"/>
                <w:color w:val="000000" w:themeColor="text1"/>
                <w:szCs w:val="16"/>
              </w:rPr>
            </w:pPr>
          </w:p>
        </w:tc>
        <w:tc>
          <w:tcPr>
            <w:tcW w:w="467" w:type="pct"/>
            <w:shd w:val="clear" w:color="auto" w:fill="auto"/>
            <w:vAlign w:val="center"/>
          </w:tcPr>
          <w:p w14:paraId="60FE8D0A" w14:textId="26748E4B" w:rsidR="00892DD7" w:rsidRPr="00781112" w:rsidRDefault="00892DD7" w:rsidP="00892DD7">
            <w:pPr>
              <w:jc w:val="center"/>
              <w:rPr>
                <w:rFonts w:cs="Arial"/>
                <w:color w:val="000000" w:themeColor="text1"/>
                <w:szCs w:val="16"/>
              </w:rPr>
            </w:pPr>
            <w:r w:rsidRPr="00781112">
              <w:rPr>
                <w:rFonts w:cs="Arial"/>
                <w:color w:val="000000" w:themeColor="text1"/>
                <w:szCs w:val="16"/>
              </w:rPr>
              <w:t>98.80%</w:t>
            </w:r>
          </w:p>
        </w:tc>
        <w:tc>
          <w:tcPr>
            <w:tcW w:w="467" w:type="pct"/>
            <w:shd w:val="clear" w:color="auto" w:fill="auto"/>
            <w:vAlign w:val="center"/>
          </w:tcPr>
          <w:p w14:paraId="20759612" w14:textId="360FBC9D" w:rsidR="00892DD7" w:rsidRPr="00781112" w:rsidRDefault="00892DD7" w:rsidP="00892DD7">
            <w:pPr>
              <w:jc w:val="center"/>
              <w:rPr>
                <w:rFonts w:cs="Arial"/>
                <w:color w:val="000000" w:themeColor="text1"/>
                <w:szCs w:val="16"/>
              </w:rPr>
            </w:pPr>
            <w:r w:rsidRPr="00781112">
              <w:rPr>
                <w:rFonts w:cs="Arial"/>
                <w:color w:val="000000" w:themeColor="text1"/>
                <w:szCs w:val="16"/>
              </w:rPr>
              <w:t>95.63%</w:t>
            </w:r>
          </w:p>
        </w:tc>
        <w:tc>
          <w:tcPr>
            <w:tcW w:w="467" w:type="pct"/>
            <w:shd w:val="clear" w:color="auto" w:fill="auto"/>
            <w:vAlign w:val="center"/>
          </w:tcPr>
          <w:p w14:paraId="5A0AF76C" w14:textId="316463B4"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c>
          <w:tcPr>
            <w:tcW w:w="467" w:type="pct"/>
            <w:shd w:val="clear" w:color="auto" w:fill="auto"/>
            <w:vAlign w:val="center"/>
          </w:tcPr>
          <w:p w14:paraId="71C2BDA0" w14:textId="22F354AD"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r>
      <w:tr w:rsidR="00396BA3" w:rsidRPr="00781112" w14:paraId="7455692E" w14:textId="77777777" w:rsidTr="00396BA3">
        <w:tc>
          <w:tcPr>
            <w:tcW w:w="356" w:type="pct"/>
            <w:shd w:val="clear" w:color="auto" w:fill="auto"/>
            <w:vAlign w:val="center"/>
          </w:tcPr>
          <w:p w14:paraId="1007F433"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C</w:t>
            </w:r>
          </w:p>
        </w:tc>
        <w:tc>
          <w:tcPr>
            <w:tcW w:w="475" w:type="pct"/>
            <w:shd w:val="clear" w:color="auto" w:fill="auto"/>
            <w:vAlign w:val="center"/>
          </w:tcPr>
          <w:p w14:paraId="1C2FF689" w14:textId="7B5617BF"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7711AD79" w14:textId="30D9E4B6" w:rsidR="00892DD7" w:rsidRPr="00781112" w:rsidRDefault="00892DD7" w:rsidP="00892DD7">
            <w:pPr>
              <w:jc w:val="center"/>
              <w:rPr>
                <w:rFonts w:cs="Arial"/>
                <w:color w:val="000000" w:themeColor="text1"/>
                <w:szCs w:val="16"/>
              </w:rPr>
            </w:pPr>
            <w:r w:rsidRPr="00781112">
              <w:rPr>
                <w:rFonts w:cs="Arial"/>
                <w:color w:val="000000"/>
                <w:szCs w:val="16"/>
              </w:rPr>
              <w:t>5,450</w:t>
            </w:r>
          </w:p>
        </w:tc>
        <w:tc>
          <w:tcPr>
            <w:tcW w:w="918" w:type="pct"/>
            <w:shd w:val="clear" w:color="auto" w:fill="auto"/>
            <w:vAlign w:val="center"/>
          </w:tcPr>
          <w:p w14:paraId="7C38F4A3" w14:textId="3227EA5E" w:rsidR="00892DD7" w:rsidRPr="00781112" w:rsidRDefault="00892DD7" w:rsidP="00892DD7">
            <w:pPr>
              <w:jc w:val="center"/>
              <w:rPr>
                <w:rFonts w:cs="Arial"/>
                <w:color w:val="000000" w:themeColor="text1"/>
                <w:szCs w:val="16"/>
              </w:rPr>
            </w:pPr>
            <w:r w:rsidRPr="00781112">
              <w:rPr>
                <w:rFonts w:cs="Arial"/>
                <w:color w:val="000000" w:themeColor="text1"/>
                <w:szCs w:val="16"/>
              </w:rPr>
              <w:t>6,007</w:t>
            </w:r>
          </w:p>
        </w:tc>
        <w:tc>
          <w:tcPr>
            <w:tcW w:w="466" w:type="pct"/>
            <w:shd w:val="clear" w:color="auto" w:fill="auto"/>
            <w:vAlign w:val="center"/>
          </w:tcPr>
          <w:p w14:paraId="300E10D2" w14:textId="5FE5073B" w:rsidR="00892DD7" w:rsidRPr="00781112" w:rsidRDefault="00892DD7" w:rsidP="00892DD7">
            <w:pPr>
              <w:jc w:val="center"/>
              <w:rPr>
                <w:rFonts w:cs="Arial"/>
                <w:color w:val="000000" w:themeColor="text1"/>
                <w:szCs w:val="16"/>
              </w:rPr>
            </w:pPr>
          </w:p>
        </w:tc>
        <w:tc>
          <w:tcPr>
            <w:tcW w:w="467" w:type="pct"/>
            <w:shd w:val="clear" w:color="auto" w:fill="auto"/>
            <w:vAlign w:val="center"/>
          </w:tcPr>
          <w:p w14:paraId="26A808A8" w14:textId="46CE5D7C" w:rsidR="00892DD7" w:rsidRPr="00781112" w:rsidRDefault="00892DD7" w:rsidP="00892DD7">
            <w:pPr>
              <w:jc w:val="center"/>
              <w:rPr>
                <w:rFonts w:cs="Arial"/>
                <w:color w:val="000000" w:themeColor="text1"/>
                <w:szCs w:val="16"/>
              </w:rPr>
            </w:pPr>
            <w:r w:rsidRPr="00781112">
              <w:rPr>
                <w:rFonts w:cs="Arial"/>
                <w:color w:val="000000" w:themeColor="text1"/>
                <w:szCs w:val="16"/>
              </w:rPr>
              <w:t>98.80%</w:t>
            </w:r>
          </w:p>
        </w:tc>
        <w:tc>
          <w:tcPr>
            <w:tcW w:w="467" w:type="pct"/>
            <w:shd w:val="clear" w:color="auto" w:fill="auto"/>
            <w:vAlign w:val="center"/>
          </w:tcPr>
          <w:p w14:paraId="1760C9A2" w14:textId="77DCB745" w:rsidR="00892DD7" w:rsidRPr="00781112" w:rsidRDefault="00892DD7" w:rsidP="00892DD7">
            <w:pPr>
              <w:jc w:val="center"/>
              <w:rPr>
                <w:rFonts w:cs="Arial"/>
                <w:color w:val="000000" w:themeColor="text1"/>
                <w:szCs w:val="16"/>
              </w:rPr>
            </w:pPr>
            <w:r w:rsidRPr="00781112">
              <w:rPr>
                <w:rFonts w:cs="Arial"/>
                <w:color w:val="000000" w:themeColor="text1"/>
                <w:szCs w:val="16"/>
              </w:rPr>
              <w:t>90.73%</w:t>
            </w:r>
          </w:p>
        </w:tc>
        <w:tc>
          <w:tcPr>
            <w:tcW w:w="467" w:type="pct"/>
            <w:shd w:val="clear" w:color="auto" w:fill="auto"/>
            <w:vAlign w:val="center"/>
          </w:tcPr>
          <w:p w14:paraId="772412F5" w14:textId="7F0E1366"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c>
          <w:tcPr>
            <w:tcW w:w="467" w:type="pct"/>
            <w:shd w:val="clear" w:color="auto" w:fill="auto"/>
            <w:vAlign w:val="center"/>
          </w:tcPr>
          <w:p w14:paraId="3DF8294E" w14:textId="7BA8B5E3"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r>
    </w:tbl>
    <w:p w14:paraId="6C09A01C" w14:textId="77777777" w:rsidR="007765EF" w:rsidRDefault="007765EF" w:rsidP="00802A46">
      <w:pPr>
        <w:rPr>
          <w:b/>
          <w:color w:val="000000" w:themeColor="text1"/>
        </w:rPr>
      </w:pPr>
    </w:p>
    <w:p w14:paraId="4A8694DE" w14:textId="77777777" w:rsidR="007765EF" w:rsidRDefault="007765EF" w:rsidP="00802A46">
      <w:pPr>
        <w:rPr>
          <w:b/>
          <w:color w:val="000000" w:themeColor="text1"/>
        </w:rPr>
      </w:pPr>
    </w:p>
    <w:p w14:paraId="1C3A5E7E" w14:textId="77777777" w:rsidR="007765EF" w:rsidRDefault="007765EF" w:rsidP="00802A46">
      <w:pPr>
        <w:rPr>
          <w:b/>
          <w:color w:val="000000" w:themeColor="text1"/>
        </w:rPr>
      </w:pPr>
    </w:p>
    <w:p w14:paraId="4D76CCAA" w14:textId="77777777" w:rsidR="007A7E93" w:rsidRPr="00781112" w:rsidRDefault="007A7E93">
      <w:pPr>
        <w:spacing w:before="0" w:after="200" w:line="276" w:lineRule="auto"/>
        <w:rPr>
          <w:b/>
          <w:color w:val="000000" w:themeColor="text1"/>
        </w:rPr>
      </w:pPr>
    </w:p>
    <w:p w14:paraId="68F24FCA" w14:textId="34395E89" w:rsidR="00F17D5E" w:rsidRPr="00781112" w:rsidRDefault="00F17D5E" w:rsidP="00F17D5E">
      <w:pPr>
        <w:rPr>
          <w:b/>
          <w:color w:val="000000" w:themeColor="text1"/>
        </w:rPr>
      </w:pPr>
      <w:r w:rsidRPr="00781112">
        <w:rPr>
          <w:b/>
          <w:color w:val="000000" w:themeColor="text1"/>
        </w:rPr>
        <w:t>FFY 2020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DATAMTH"/>
      </w:tblPr>
      <w:tblGrid>
        <w:gridCol w:w="715"/>
        <w:gridCol w:w="1080"/>
        <w:gridCol w:w="1982"/>
        <w:gridCol w:w="1960"/>
        <w:gridCol w:w="1011"/>
        <w:gridCol w:w="1010"/>
        <w:gridCol w:w="1010"/>
        <w:gridCol w:w="1010"/>
        <w:gridCol w:w="1012"/>
      </w:tblGrid>
      <w:tr w:rsidR="00830159" w:rsidRPr="00781112" w14:paraId="681A67CD" w14:textId="77777777" w:rsidTr="00360DD6">
        <w:trPr>
          <w:tblHeader/>
        </w:trPr>
        <w:tc>
          <w:tcPr>
            <w:tcW w:w="331" w:type="pct"/>
            <w:shd w:val="clear" w:color="auto" w:fill="auto"/>
            <w:vAlign w:val="bottom"/>
          </w:tcPr>
          <w:p w14:paraId="32EBDF09" w14:textId="77777777" w:rsidR="00F17D5E" w:rsidRPr="00781112" w:rsidRDefault="00F17D5E" w:rsidP="00827FF4">
            <w:pPr>
              <w:jc w:val="center"/>
              <w:rPr>
                <w:b/>
                <w:color w:val="000000" w:themeColor="text1"/>
              </w:rPr>
            </w:pPr>
            <w:r w:rsidRPr="00781112">
              <w:rPr>
                <w:b/>
                <w:color w:val="000000" w:themeColor="text1"/>
              </w:rPr>
              <w:t>Group</w:t>
            </w:r>
          </w:p>
        </w:tc>
        <w:tc>
          <w:tcPr>
            <w:tcW w:w="500" w:type="pct"/>
            <w:shd w:val="clear" w:color="auto" w:fill="auto"/>
            <w:vAlign w:val="bottom"/>
          </w:tcPr>
          <w:p w14:paraId="1DD83044" w14:textId="77777777" w:rsidR="00F17D5E" w:rsidRPr="00781112" w:rsidRDefault="00F17D5E" w:rsidP="00827FF4">
            <w:pPr>
              <w:jc w:val="center"/>
              <w:rPr>
                <w:b/>
                <w:color w:val="000000" w:themeColor="text1"/>
              </w:rPr>
            </w:pPr>
            <w:r w:rsidRPr="00781112">
              <w:rPr>
                <w:b/>
                <w:color w:val="000000" w:themeColor="text1"/>
              </w:rPr>
              <w:t>Group Name</w:t>
            </w:r>
          </w:p>
        </w:tc>
        <w:tc>
          <w:tcPr>
            <w:tcW w:w="918" w:type="pct"/>
            <w:shd w:val="clear" w:color="auto" w:fill="auto"/>
            <w:vAlign w:val="bottom"/>
          </w:tcPr>
          <w:p w14:paraId="09C06BEF" w14:textId="77777777" w:rsidR="00F17D5E" w:rsidRPr="00781112" w:rsidRDefault="00F17D5E" w:rsidP="00827FF4">
            <w:pPr>
              <w:jc w:val="center"/>
              <w:rPr>
                <w:b/>
                <w:color w:val="000000" w:themeColor="text1"/>
              </w:rPr>
            </w:pPr>
            <w:r w:rsidRPr="00781112">
              <w:rPr>
                <w:b/>
                <w:color w:val="000000" w:themeColor="text1"/>
              </w:rPr>
              <w:t>Number of Children with IEPs Participating</w:t>
            </w:r>
          </w:p>
        </w:tc>
        <w:tc>
          <w:tcPr>
            <w:tcW w:w="908" w:type="pct"/>
            <w:shd w:val="clear" w:color="auto" w:fill="auto"/>
            <w:vAlign w:val="bottom"/>
          </w:tcPr>
          <w:p w14:paraId="35F97163" w14:textId="77777777" w:rsidR="00F17D5E" w:rsidRPr="00781112" w:rsidRDefault="00F17D5E" w:rsidP="00827FF4">
            <w:pPr>
              <w:jc w:val="center"/>
              <w:rPr>
                <w:b/>
                <w:color w:val="000000" w:themeColor="text1"/>
              </w:rPr>
            </w:pPr>
            <w:r w:rsidRPr="00781112">
              <w:rPr>
                <w:b/>
                <w:color w:val="000000" w:themeColor="text1"/>
              </w:rPr>
              <w:t>Number of Children with IEPs</w:t>
            </w:r>
          </w:p>
        </w:tc>
        <w:tc>
          <w:tcPr>
            <w:tcW w:w="468" w:type="pct"/>
            <w:shd w:val="clear" w:color="auto" w:fill="auto"/>
            <w:vAlign w:val="bottom"/>
          </w:tcPr>
          <w:p w14:paraId="3D7FBA55" w14:textId="77777777" w:rsidR="00F17D5E" w:rsidRPr="00781112" w:rsidRDefault="00F17D5E" w:rsidP="00827FF4">
            <w:pPr>
              <w:jc w:val="center"/>
              <w:rPr>
                <w:b/>
                <w:color w:val="000000" w:themeColor="text1"/>
              </w:rPr>
            </w:pPr>
            <w:r w:rsidRPr="00781112">
              <w:rPr>
                <w:b/>
                <w:color w:val="000000" w:themeColor="text1"/>
              </w:rPr>
              <w:t>FFY 2019 Data</w:t>
            </w:r>
          </w:p>
        </w:tc>
        <w:tc>
          <w:tcPr>
            <w:tcW w:w="468" w:type="pct"/>
            <w:shd w:val="clear" w:color="auto" w:fill="auto"/>
            <w:vAlign w:val="bottom"/>
          </w:tcPr>
          <w:p w14:paraId="681C20C6" w14:textId="77777777" w:rsidR="00F17D5E" w:rsidRPr="00781112" w:rsidRDefault="00F17D5E" w:rsidP="00827FF4">
            <w:pPr>
              <w:jc w:val="center"/>
              <w:rPr>
                <w:b/>
                <w:color w:val="000000" w:themeColor="text1"/>
              </w:rPr>
            </w:pPr>
            <w:r w:rsidRPr="00781112">
              <w:rPr>
                <w:b/>
                <w:color w:val="000000" w:themeColor="text1"/>
              </w:rPr>
              <w:t>FFY 2020 Target</w:t>
            </w:r>
          </w:p>
        </w:tc>
        <w:tc>
          <w:tcPr>
            <w:tcW w:w="468" w:type="pct"/>
            <w:shd w:val="clear" w:color="auto" w:fill="auto"/>
            <w:vAlign w:val="bottom"/>
          </w:tcPr>
          <w:p w14:paraId="1A223A3A" w14:textId="77777777" w:rsidR="00F17D5E" w:rsidRPr="00781112" w:rsidRDefault="00F17D5E" w:rsidP="00827FF4">
            <w:pPr>
              <w:jc w:val="center"/>
              <w:rPr>
                <w:b/>
                <w:color w:val="000000" w:themeColor="text1"/>
              </w:rPr>
            </w:pPr>
            <w:r w:rsidRPr="00781112">
              <w:rPr>
                <w:b/>
                <w:color w:val="000000" w:themeColor="text1"/>
              </w:rPr>
              <w:t>FFY 2020 Data</w:t>
            </w:r>
          </w:p>
        </w:tc>
        <w:tc>
          <w:tcPr>
            <w:tcW w:w="468" w:type="pct"/>
            <w:shd w:val="clear" w:color="auto" w:fill="auto"/>
            <w:vAlign w:val="bottom"/>
          </w:tcPr>
          <w:p w14:paraId="2E2084EF" w14:textId="77777777" w:rsidR="00F17D5E" w:rsidRPr="00781112" w:rsidRDefault="00F17D5E" w:rsidP="00827FF4">
            <w:pPr>
              <w:jc w:val="center"/>
              <w:rPr>
                <w:b/>
                <w:color w:val="000000" w:themeColor="text1"/>
              </w:rPr>
            </w:pPr>
            <w:r w:rsidRPr="00781112">
              <w:rPr>
                <w:b/>
                <w:color w:val="000000" w:themeColor="text1"/>
              </w:rPr>
              <w:t>Status</w:t>
            </w:r>
          </w:p>
        </w:tc>
        <w:tc>
          <w:tcPr>
            <w:tcW w:w="469" w:type="pct"/>
            <w:shd w:val="clear" w:color="auto" w:fill="auto"/>
            <w:vAlign w:val="bottom"/>
          </w:tcPr>
          <w:p w14:paraId="309891B4" w14:textId="77777777" w:rsidR="00F17D5E" w:rsidRPr="00781112" w:rsidRDefault="00F17D5E" w:rsidP="00827FF4">
            <w:pPr>
              <w:jc w:val="center"/>
              <w:rPr>
                <w:b/>
                <w:color w:val="000000" w:themeColor="text1"/>
              </w:rPr>
            </w:pPr>
            <w:r w:rsidRPr="00781112">
              <w:rPr>
                <w:b/>
                <w:color w:val="000000" w:themeColor="text1"/>
              </w:rPr>
              <w:t>Slippage</w:t>
            </w:r>
          </w:p>
        </w:tc>
      </w:tr>
      <w:tr w:rsidR="00396BA3" w:rsidRPr="00781112" w14:paraId="1BDE8C09" w14:textId="77777777" w:rsidTr="00396BA3">
        <w:tc>
          <w:tcPr>
            <w:tcW w:w="331" w:type="pct"/>
            <w:shd w:val="clear" w:color="auto" w:fill="auto"/>
            <w:vAlign w:val="center"/>
          </w:tcPr>
          <w:p w14:paraId="580D1344"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A</w:t>
            </w:r>
          </w:p>
        </w:tc>
        <w:tc>
          <w:tcPr>
            <w:tcW w:w="500" w:type="pct"/>
            <w:shd w:val="clear" w:color="auto" w:fill="auto"/>
            <w:vAlign w:val="center"/>
          </w:tcPr>
          <w:p w14:paraId="08A8F1D8" w14:textId="4D1DB180"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452B2A6" w14:textId="0D3478E5" w:rsidR="002C43CF" w:rsidRPr="00781112" w:rsidRDefault="002C43CF" w:rsidP="002C43CF">
            <w:pPr>
              <w:jc w:val="center"/>
              <w:rPr>
                <w:rFonts w:cs="Arial"/>
                <w:color w:val="000000" w:themeColor="text1"/>
                <w:szCs w:val="16"/>
              </w:rPr>
            </w:pPr>
            <w:r w:rsidRPr="00781112">
              <w:rPr>
                <w:rFonts w:cs="Arial"/>
                <w:color w:val="000000"/>
                <w:szCs w:val="16"/>
              </w:rPr>
              <w:t>6,630</w:t>
            </w:r>
          </w:p>
        </w:tc>
        <w:tc>
          <w:tcPr>
            <w:tcW w:w="908" w:type="pct"/>
            <w:shd w:val="clear" w:color="auto" w:fill="auto"/>
            <w:vAlign w:val="center"/>
          </w:tcPr>
          <w:p w14:paraId="039C7994" w14:textId="2644FC1F" w:rsidR="002C43CF" w:rsidRPr="00781112" w:rsidRDefault="002C43CF" w:rsidP="002C43CF">
            <w:pPr>
              <w:jc w:val="center"/>
              <w:rPr>
                <w:rFonts w:cs="Arial"/>
                <w:color w:val="000000" w:themeColor="text1"/>
                <w:szCs w:val="16"/>
              </w:rPr>
            </w:pPr>
            <w:r w:rsidRPr="00781112">
              <w:rPr>
                <w:rFonts w:cs="Arial"/>
                <w:color w:val="000000" w:themeColor="text1"/>
                <w:szCs w:val="16"/>
              </w:rPr>
              <w:t>6,805</w:t>
            </w:r>
          </w:p>
        </w:tc>
        <w:tc>
          <w:tcPr>
            <w:tcW w:w="468" w:type="pct"/>
            <w:shd w:val="clear" w:color="auto" w:fill="auto"/>
            <w:vAlign w:val="center"/>
          </w:tcPr>
          <w:p w14:paraId="24F0CC21" w14:textId="70B062C4" w:rsidR="002C43CF" w:rsidRPr="00781112" w:rsidRDefault="002C43CF" w:rsidP="002C43CF">
            <w:pPr>
              <w:jc w:val="center"/>
              <w:rPr>
                <w:rFonts w:cs="Arial"/>
                <w:color w:val="000000" w:themeColor="text1"/>
                <w:szCs w:val="16"/>
              </w:rPr>
            </w:pPr>
          </w:p>
        </w:tc>
        <w:tc>
          <w:tcPr>
            <w:tcW w:w="468" w:type="pct"/>
            <w:shd w:val="clear" w:color="auto" w:fill="auto"/>
            <w:vAlign w:val="center"/>
          </w:tcPr>
          <w:p w14:paraId="44D3CBA8" w14:textId="716B8037" w:rsidR="002C43CF" w:rsidRPr="00781112" w:rsidRDefault="002C43CF" w:rsidP="002C43CF">
            <w:pPr>
              <w:jc w:val="center"/>
              <w:rPr>
                <w:rFonts w:cs="Arial"/>
                <w:color w:val="000000" w:themeColor="text1"/>
                <w:szCs w:val="16"/>
              </w:rPr>
            </w:pPr>
            <w:r w:rsidRPr="00781112">
              <w:rPr>
                <w:rFonts w:cs="Arial"/>
                <w:color w:val="000000" w:themeColor="text1"/>
                <w:szCs w:val="16"/>
              </w:rPr>
              <w:t>98.80%</w:t>
            </w:r>
          </w:p>
        </w:tc>
        <w:tc>
          <w:tcPr>
            <w:tcW w:w="468" w:type="pct"/>
            <w:shd w:val="clear" w:color="auto" w:fill="auto"/>
            <w:vAlign w:val="center"/>
          </w:tcPr>
          <w:p w14:paraId="0C38B251" w14:textId="6362D41B" w:rsidR="002C43CF" w:rsidRPr="00781112" w:rsidRDefault="002C43CF" w:rsidP="002C43CF">
            <w:pPr>
              <w:jc w:val="center"/>
              <w:rPr>
                <w:rFonts w:cs="Arial"/>
                <w:color w:val="000000" w:themeColor="text1"/>
                <w:szCs w:val="16"/>
              </w:rPr>
            </w:pPr>
            <w:r w:rsidRPr="00781112">
              <w:rPr>
                <w:rFonts w:cs="Arial"/>
                <w:color w:val="000000" w:themeColor="text1"/>
                <w:szCs w:val="16"/>
              </w:rPr>
              <w:t>97.43%</w:t>
            </w:r>
          </w:p>
        </w:tc>
        <w:tc>
          <w:tcPr>
            <w:tcW w:w="468" w:type="pct"/>
            <w:shd w:val="clear" w:color="auto" w:fill="auto"/>
            <w:vAlign w:val="center"/>
          </w:tcPr>
          <w:p w14:paraId="761D8F6F" w14:textId="46B9913C"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c>
          <w:tcPr>
            <w:tcW w:w="469" w:type="pct"/>
            <w:shd w:val="clear" w:color="auto" w:fill="auto"/>
            <w:vAlign w:val="center"/>
          </w:tcPr>
          <w:p w14:paraId="67149680" w14:textId="213ADF64"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r>
      <w:tr w:rsidR="00396BA3" w:rsidRPr="00781112" w14:paraId="1922D3D8" w14:textId="77777777" w:rsidTr="00396BA3">
        <w:tc>
          <w:tcPr>
            <w:tcW w:w="331" w:type="pct"/>
            <w:shd w:val="clear" w:color="auto" w:fill="auto"/>
            <w:vAlign w:val="center"/>
          </w:tcPr>
          <w:p w14:paraId="43AEFF73"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B</w:t>
            </w:r>
          </w:p>
        </w:tc>
        <w:tc>
          <w:tcPr>
            <w:tcW w:w="500" w:type="pct"/>
            <w:shd w:val="clear" w:color="auto" w:fill="auto"/>
            <w:vAlign w:val="center"/>
          </w:tcPr>
          <w:p w14:paraId="2B8AB1E0" w14:textId="3F093CFB"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02D6A2B7" w14:textId="310E9DB8" w:rsidR="002C43CF" w:rsidRPr="00781112" w:rsidRDefault="002C43CF" w:rsidP="002C43CF">
            <w:pPr>
              <w:jc w:val="center"/>
              <w:rPr>
                <w:rFonts w:cs="Arial"/>
                <w:color w:val="000000" w:themeColor="text1"/>
                <w:szCs w:val="16"/>
              </w:rPr>
            </w:pPr>
            <w:r w:rsidRPr="00781112">
              <w:rPr>
                <w:rFonts w:cs="Arial"/>
                <w:color w:val="000000"/>
                <w:szCs w:val="16"/>
              </w:rPr>
              <w:t>6,099</w:t>
            </w:r>
          </w:p>
        </w:tc>
        <w:tc>
          <w:tcPr>
            <w:tcW w:w="908" w:type="pct"/>
            <w:shd w:val="clear" w:color="auto" w:fill="auto"/>
            <w:vAlign w:val="center"/>
          </w:tcPr>
          <w:p w14:paraId="7F2CECC4" w14:textId="3F890748" w:rsidR="002C43CF" w:rsidRPr="00781112" w:rsidRDefault="002C43CF" w:rsidP="002C43CF">
            <w:pPr>
              <w:jc w:val="center"/>
              <w:rPr>
                <w:rFonts w:cs="Arial"/>
                <w:color w:val="000000" w:themeColor="text1"/>
                <w:szCs w:val="16"/>
              </w:rPr>
            </w:pPr>
            <w:r w:rsidRPr="00781112">
              <w:rPr>
                <w:rFonts w:cs="Arial"/>
                <w:color w:val="000000" w:themeColor="text1"/>
                <w:szCs w:val="16"/>
              </w:rPr>
              <w:t>6,389</w:t>
            </w:r>
          </w:p>
        </w:tc>
        <w:tc>
          <w:tcPr>
            <w:tcW w:w="468" w:type="pct"/>
            <w:shd w:val="clear" w:color="auto" w:fill="auto"/>
            <w:vAlign w:val="center"/>
          </w:tcPr>
          <w:p w14:paraId="79841470" w14:textId="267EECAA" w:rsidR="002C43CF" w:rsidRPr="00781112" w:rsidRDefault="002C43CF" w:rsidP="002C43CF">
            <w:pPr>
              <w:jc w:val="center"/>
              <w:rPr>
                <w:rFonts w:cs="Arial"/>
                <w:color w:val="000000" w:themeColor="text1"/>
                <w:szCs w:val="16"/>
              </w:rPr>
            </w:pPr>
          </w:p>
        </w:tc>
        <w:tc>
          <w:tcPr>
            <w:tcW w:w="468" w:type="pct"/>
            <w:shd w:val="clear" w:color="auto" w:fill="auto"/>
            <w:vAlign w:val="center"/>
          </w:tcPr>
          <w:p w14:paraId="5B10F98F"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98.80%</w:t>
            </w:r>
          </w:p>
        </w:tc>
        <w:tc>
          <w:tcPr>
            <w:tcW w:w="468" w:type="pct"/>
            <w:shd w:val="clear" w:color="auto" w:fill="auto"/>
            <w:vAlign w:val="center"/>
          </w:tcPr>
          <w:p w14:paraId="3542B9F1" w14:textId="37C83969" w:rsidR="002C43CF" w:rsidRPr="00781112" w:rsidRDefault="002C43CF" w:rsidP="002C43CF">
            <w:pPr>
              <w:jc w:val="center"/>
              <w:rPr>
                <w:rFonts w:cs="Arial"/>
                <w:color w:val="000000" w:themeColor="text1"/>
                <w:szCs w:val="16"/>
              </w:rPr>
            </w:pPr>
            <w:r w:rsidRPr="00781112">
              <w:rPr>
                <w:rFonts w:cs="Arial"/>
                <w:color w:val="000000" w:themeColor="text1"/>
                <w:szCs w:val="16"/>
              </w:rPr>
              <w:t>95.46%</w:t>
            </w:r>
          </w:p>
        </w:tc>
        <w:tc>
          <w:tcPr>
            <w:tcW w:w="468" w:type="pct"/>
            <w:shd w:val="clear" w:color="auto" w:fill="auto"/>
            <w:vAlign w:val="center"/>
          </w:tcPr>
          <w:p w14:paraId="5BE427F8" w14:textId="56EB7A82"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c>
          <w:tcPr>
            <w:tcW w:w="469" w:type="pct"/>
            <w:shd w:val="clear" w:color="auto" w:fill="auto"/>
            <w:vAlign w:val="center"/>
          </w:tcPr>
          <w:p w14:paraId="5ADE31A1" w14:textId="6021CBB1"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r>
      <w:tr w:rsidR="00396BA3" w:rsidRPr="00781112" w14:paraId="2E1BAFB0" w14:textId="77777777" w:rsidTr="00396BA3">
        <w:tc>
          <w:tcPr>
            <w:tcW w:w="331" w:type="pct"/>
            <w:shd w:val="clear" w:color="auto" w:fill="auto"/>
            <w:vAlign w:val="center"/>
          </w:tcPr>
          <w:p w14:paraId="6825BD97"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C</w:t>
            </w:r>
          </w:p>
        </w:tc>
        <w:tc>
          <w:tcPr>
            <w:tcW w:w="500" w:type="pct"/>
            <w:shd w:val="clear" w:color="auto" w:fill="auto"/>
            <w:vAlign w:val="center"/>
          </w:tcPr>
          <w:p w14:paraId="0AE72592" w14:textId="0F597AAE"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6099121A" w14:textId="18C55BFC" w:rsidR="002C43CF" w:rsidRPr="00781112" w:rsidRDefault="002C43CF" w:rsidP="002C43CF">
            <w:pPr>
              <w:jc w:val="center"/>
              <w:rPr>
                <w:rFonts w:cs="Arial"/>
                <w:color w:val="000000" w:themeColor="text1"/>
                <w:szCs w:val="16"/>
              </w:rPr>
            </w:pPr>
            <w:r w:rsidRPr="00781112">
              <w:rPr>
                <w:rFonts w:cs="Arial"/>
                <w:color w:val="000000"/>
                <w:szCs w:val="16"/>
              </w:rPr>
              <w:t>5,554</w:t>
            </w:r>
          </w:p>
        </w:tc>
        <w:tc>
          <w:tcPr>
            <w:tcW w:w="908" w:type="pct"/>
            <w:shd w:val="clear" w:color="auto" w:fill="auto"/>
            <w:vAlign w:val="center"/>
          </w:tcPr>
          <w:p w14:paraId="6B5854E5" w14:textId="06E91CB7" w:rsidR="002C43CF" w:rsidRPr="00781112" w:rsidRDefault="002C43CF" w:rsidP="002C43CF">
            <w:pPr>
              <w:jc w:val="center"/>
              <w:rPr>
                <w:rFonts w:cs="Arial"/>
                <w:color w:val="000000" w:themeColor="text1"/>
                <w:szCs w:val="16"/>
              </w:rPr>
            </w:pPr>
            <w:r w:rsidRPr="00781112">
              <w:rPr>
                <w:rFonts w:cs="Arial"/>
                <w:color w:val="000000" w:themeColor="text1"/>
                <w:szCs w:val="16"/>
              </w:rPr>
              <w:t>6,230</w:t>
            </w:r>
          </w:p>
        </w:tc>
        <w:tc>
          <w:tcPr>
            <w:tcW w:w="468" w:type="pct"/>
            <w:shd w:val="clear" w:color="auto" w:fill="auto"/>
            <w:vAlign w:val="center"/>
          </w:tcPr>
          <w:p w14:paraId="36BDD326" w14:textId="6EBA39BF" w:rsidR="002C43CF" w:rsidRPr="00781112" w:rsidRDefault="002C43CF" w:rsidP="002C43CF">
            <w:pPr>
              <w:jc w:val="center"/>
              <w:rPr>
                <w:rFonts w:cs="Arial"/>
                <w:color w:val="000000" w:themeColor="text1"/>
                <w:szCs w:val="16"/>
              </w:rPr>
            </w:pPr>
          </w:p>
        </w:tc>
        <w:tc>
          <w:tcPr>
            <w:tcW w:w="468" w:type="pct"/>
            <w:shd w:val="clear" w:color="auto" w:fill="auto"/>
            <w:vAlign w:val="center"/>
          </w:tcPr>
          <w:p w14:paraId="2B5A1952"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98.80%</w:t>
            </w:r>
          </w:p>
        </w:tc>
        <w:tc>
          <w:tcPr>
            <w:tcW w:w="468" w:type="pct"/>
            <w:shd w:val="clear" w:color="auto" w:fill="auto"/>
            <w:vAlign w:val="center"/>
          </w:tcPr>
          <w:p w14:paraId="3A8A2153" w14:textId="350CE279" w:rsidR="002C43CF" w:rsidRPr="00781112" w:rsidRDefault="002C43CF" w:rsidP="002C43CF">
            <w:pPr>
              <w:jc w:val="center"/>
              <w:rPr>
                <w:rFonts w:cs="Arial"/>
                <w:color w:val="000000" w:themeColor="text1"/>
                <w:szCs w:val="16"/>
              </w:rPr>
            </w:pPr>
            <w:r w:rsidRPr="00781112">
              <w:rPr>
                <w:rFonts w:cs="Arial"/>
                <w:color w:val="000000" w:themeColor="text1"/>
                <w:szCs w:val="16"/>
              </w:rPr>
              <w:t>89.15%</w:t>
            </w:r>
          </w:p>
        </w:tc>
        <w:tc>
          <w:tcPr>
            <w:tcW w:w="468" w:type="pct"/>
            <w:shd w:val="clear" w:color="auto" w:fill="auto"/>
            <w:vAlign w:val="center"/>
          </w:tcPr>
          <w:p w14:paraId="602D5261" w14:textId="54A65BCD"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c>
          <w:tcPr>
            <w:tcW w:w="469" w:type="pct"/>
            <w:shd w:val="clear" w:color="auto" w:fill="auto"/>
            <w:vAlign w:val="center"/>
          </w:tcPr>
          <w:p w14:paraId="45BE3C4A" w14:textId="1F06447F"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r>
    </w:tbl>
    <w:p w14:paraId="0CDF2DF2" w14:textId="7E4745D3" w:rsidR="00F17D5E" w:rsidRPr="00781112" w:rsidRDefault="00F17D5E">
      <w:pPr>
        <w:spacing w:before="0" w:after="200" w:line="276" w:lineRule="auto"/>
        <w:rPr>
          <w:b/>
          <w:color w:val="000000" w:themeColor="text1"/>
        </w:rPr>
      </w:pPr>
    </w:p>
    <w:p w14:paraId="13A59EA6" w14:textId="77777777" w:rsidR="00A134AA" w:rsidRPr="00781112" w:rsidRDefault="00A134AA" w:rsidP="00A134AA">
      <w:pPr>
        <w:rPr>
          <w:color w:val="000000" w:themeColor="text1"/>
        </w:rPr>
      </w:pPr>
      <w:r w:rsidRPr="00781112">
        <w:rPr>
          <w:b/>
          <w:color w:val="000000" w:themeColor="text1"/>
        </w:rPr>
        <w:t>Regulatory Information</w:t>
      </w:r>
    </w:p>
    <w:p w14:paraId="53C4149B" w14:textId="77777777" w:rsidR="00A134AA" w:rsidRPr="00781112" w:rsidRDefault="00A134AA" w:rsidP="00A134AA">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Pr="00781112">
        <w:rPr>
          <w:rFonts w:cs="Arial"/>
          <w:b/>
          <w:color w:val="000000" w:themeColor="text1"/>
          <w:szCs w:val="16"/>
          <w:shd w:val="clear" w:color="auto" w:fill="FFFFFF"/>
        </w:rPr>
        <w:t xml:space="preserve"> </w:t>
      </w:r>
    </w:p>
    <w:p w14:paraId="24575108" w14:textId="77777777" w:rsidR="00A134AA" w:rsidRPr="00781112" w:rsidRDefault="00A134AA" w:rsidP="00A134AA">
      <w:pPr>
        <w:rPr>
          <w:color w:val="000000" w:themeColor="text1"/>
        </w:rPr>
      </w:pPr>
    </w:p>
    <w:p w14:paraId="44CC67C3" w14:textId="77777777" w:rsidR="00A134AA" w:rsidRPr="00781112" w:rsidRDefault="00A134AA" w:rsidP="00A134AA">
      <w:pPr>
        <w:rPr>
          <w:color w:val="000000" w:themeColor="text1"/>
        </w:rPr>
      </w:pPr>
      <w:r w:rsidRPr="00781112">
        <w:rPr>
          <w:b/>
          <w:color w:val="000000" w:themeColor="text1"/>
        </w:rPr>
        <w:t>Public Reporting Information</w:t>
      </w:r>
    </w:p>
    <w:p w14:paraId="70B58518" w14:textId="77777777" w:rsidR="00A134AA" w:rsidRPr="00781112" w:rsidRDefault="00A134AA" w:rsidP="00A134AA">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7EBFE113" w14:textId="047A82C9" w:rsidR="00A134AA" w:rsidRPr="00781112" w:rsidRDefault="00A134AA" w:rsidP="00A134AA">
      <w:pPr>
        <w:rPr>
          <w:rFonts w:cs="Arial"/>
          <w:color w:val="000000" w:themeColor="text1"/>
          <w:szCs w:val="16"/>
        </w:rPr>
      </w:pPr>
      <w:r w:rsidRPr="00781112">
        <w:rPr>
          <w:rFonts w:cs="Arial"/>
          <w:color w:val="000000" w:themeColor="text1"/>
          <w:szCs w:val="16"/>
        </w:rPr>
        <w:t xml:space="preserve">The "Regular and Alternate Test Summary" publicly reports participation and performance results for children with disabilities on regular assessments - with or without accommodations - and alternate assessments. </w:t>
      </w:r>
      <w:r w:rsidRPr="00781112">
        <w:rPr>
          <w:rFonts w:cs="Arial"/>
          <w:color w:val="000000" w:themeColor="text1"/>
          <w:szCs w:val="16"/>
        </w:rPr>
        <w:br/>
      </w:r>
      <w:r w:rsidRPr="00781112">
        <w:rPr>
          <w:rFonts w:cs="Arial"/>
          <w:color w:val="000000" w:themeColor="text1"/>
          <w:szCs w:val="16"/>
        </w:rPr>
        <w:br/>
        <w:t>For Spring 2021 results, use the following link:</w:t>
      </w:r>
      <w:r w:rsidRPr="00781112">
        <w:rPr>
          <w:rFonts w:cs="Arial"/>
          <w:color w:val="000000" w:themeColor="text1"/>
          <w:szCs w:val="16"/>
        </w:rPr>
        <w:br/>
        <w:t xml:space="preserve">https://www.louisianabelieves.com/docs/default-source/academics/regular-and-alternate-test-summary-2021.xlsx?sfvrsn=7cc26518_2. </w:t>
      </w:r>
      <w:r w:rsidRPr="00781112">
        <w:rPr>
          <w:rFonts w:cs="Arial"/>
          <w:color w:val="000000" w:themeColor="text1"/>
          <w:szCs w:val="16"/>
        </w:rPr>
        <w:br/>
      </w:r>
      <w:r w:rsidRPr="00781112">
        <w:rPr>
          <w:rFonts w:cs="Arial"/>
          <w:color w:val="000000" w:themeColor="text1"/>
          <w:szCs w:val="16"/>
        </w:rPr>
        <w:br/>
        <w:t xml:space="preserve">For past assessment results, use the link below. The results are available under the Special Education Data section. </w:t>
      </w:r>
      <w:r w:rsidRPr="00781112">
        <w:rPr>
          <w:rFonts w:cs="Arial"/>
          <w:color w:val="000000" w:themeColor="text1"/>
          <w:szCs w:val="16"/>
        </w:rPr>
        <w:br/>
        <w:t>https://louisianabelieves.com/resources/library/special-education-reporting-and-funding</w:t>
      </w:r>
    </w:p>
    <w:p w14:paraId="222AA3BE" w14:textId="77777777" w:rsidR="00A134AA" w:rsidRPr="00781112" w:rsidRDefault="00A134AA" w:rsidP="00A134AA">
      <w:pPr>
        <w:rPr>
          <w:b/>
          <w:color w:val="000000" w:themeColor="text1"/>
        </w:rPr>
      </w:pPr>
      <w:r w:rsidRPr="00781112">
        <w:rPr>
          <w:b/>
          <w:color w:val="000000" w:themeColor="text1"/>
        </w:rPr>
        <w:t>Provide additional information about this indicator (optional)</w:t>
      </w:r>
    </w:p>
    <w:p w14:paraId="58D88404" w14:textId="4712EC2F" w:rsidR="00A134AA" w:rsidRPr="00781112" w:rsidRDefault="00A134AA" w:rsidP="00A134AA">
      <w:pPr>
        <w:rPr>
          <w:rFonts w:cs="Arial"/>
          <w:color w:val="000000" w:themeColor="text1"/>
          <w:szCs w:val="16"/>
        </w:rPr>
      </w:pPr>
      <w:r w:rsidRPr="00781112">
        <w:rPr>
          <w:rFonts w:cs="Arial"/>
          <w:color w:val="000000" w:themeColor="text1"/>
          <w:szCs w:val="16"/>
        </w:rPr>
        <w:t xml:space="preserve">Louisiana reports comprehensively on children with disabilities. Subgroup data are reported on every school and school system. </w:t>
      </w:r>
      <w:r w:rsidRPr="00781112">
        <w:rPr>
          <w:rFonts w:cs="Arial"/>
          <w:color w:val="000000" w:themeColor="text1"/>
          <w:szCs w:val="16"/>
        </w:rPr>
        <w:br/>
      </w:r>
      <w:r w:rsidRPr="00781112">
        <w:rPr>
          <w:rFonts w:cs="Arial"/>
          <w:color w:val="000000" w:themeColor="text1"/>
          <w:szCs w:val="16"/>
        </w:rPr>
        <w:br/>
        <w:t xml:space="preserve">Louisiana’s Spring 2021 LEAP criterion-referenced test reports on state, school system, and school achievement levels, and is inclusive of all students. </w:t>
      </w:r>
      <w:r w:rsidRPr="00781112">
        <w:rPr>
          <w:rFonts w:cs="Arial"/>
          <w:color w:val="000000" w:themeColor="text1"/>
          <w:szCs w:val="16"/>
        </w:rPr>
        <w:br/>
        <w:t>https://www.louisianabelieves.com/docs/default-source/test-results/2021-leap-2025-state-lea-achievement-level-summary.xlsx?sfvrsn=17826418_4</w:t>
      </w:r>
      <w:r w:rsidRPr="00781112">
        <w:rPr>
          <w:rFonts w:cs="Arial"/>
          <w:color w:val="000000" w:themeColor="text1"/>
          <w:szCs w:val="16"/>
        </w:rPr>
        <w:br/>
      </w:r>
      <w:r w:rsidRPr="00781112">
        <w:rPr>
          <w:rFonts w:cs="Arial"/>
          <w:color w:val="000000" w:themeColor="text1"/>
          <w:szCs w:val="16"/>
        </w:rPr>
        <w:br/>
        <w:t>LDOE's “Measuring Results” and “Data Center” web links report on K-12 assessments, early childhood centers, and school and student results, including School and Center Report Cards, School and Center Performance Scores, and Closing the Equity Gap.</w:t>
      </w:r>
      <w:r w:rsidRPr="00781112">
        <w:rPr>
          <w:rFonts w:cs="Arial"/>
          <w:color w:val="000000" w:themeColor="text1"/>
          <w:szCs w:val="16"/>
        </w:rPr>
        <w:br/>
        <w:t>Measuring Results homepage: https://www.louisianabelieves.com/assessment</w:t>
      </w:r>
      <w:r w:rsidRPr="00781112">
        <w:rPr>
          <w:rFonts w:cs="Arial"/>
          <w:color w:val="000000" w:themeColor="text1"/>
          <w:szCs w:val="16"/>
        </w:rPr>
        <w:br/>
        <w:t>Data Center: https://www.louisianabelieves.com/resources/library/data-center</w:t>
      </w:r>
      <w:r w:rsidRPr="00781112">
        <w:rPr>
          <w:rFonts w:cs="Arial"/>
          <w:color w:val="000000" w:themeColor="text1"/>
          <w:szCs w:val="16"/>
        </w:rPr>
        <w:br/>
      </w:r>
      <w:r w:rsidRPr="00781112">
        <w:rPr>
          <w:rFonts w:cs="Arial"/>
          <w:color w:val="000000" w:themeColor="text1"/>
          <w:szCs w:val="16"/>
        </w:rPr>
        <w:br/>
        <w:t>Furthermore, Louisiana has a webpage dedicated to special education reporting. This webpage includes Louisiana's "Special Education Data Profile", which consists of statewide assessment tables, including: 1) children with disabilities assessment participation for both the regular and alternate (LEAP Connect) assessments, 2) children with disabilities who scored proficient on regular assessments, percent by grade and subject, and 3) children with disabilities who met or exceeded standards on the LEAP Connect assessment. The webpage also includes each LEA's Performance Profile, which reports on the LEA's performance against the State's targets in the APR. The Special Education Reporting and Funding page is available at https://louisianabelieves.com/resources/library/special-education-reporting-and-funding.</w:t>
      </w:r>
    </w:p>
    <w:p w14:paraId="0F4E9E40" w14:textId="77777777" w:rsidR="00B725C2" w:rsidRPr="00781112" w:rsidRDefault="00B725C2">
      <w:pPr>
        <w:spacing w:before="0" w:after="200" w:line="276" w:lineRule="auto"/>
        <w:rPr>
          <w:b/>
          <w:color w:val="000000" w:themeColor="text1"/>
        </w:rPr>
      </w:pPr>
    </w:p>
    <w:p w14:paraId="3BECD360" w14:textId="5C269016" w:rsidR="00361CFA" w:rsidRPr="00781112" w:rsidRDefault="00361CFA" w:rsidP="00361CFA">
      <w:pPr>
        <w:pStyle w:val="Heading2"/>
      </w:pPr>
      <w:r w:rsidRPr="00781112">
        <w:t>3</w:t>
      </w:r>
      <w:r w:rsidR="00DD4E25" w:rsidRPr="00781112">
        <w:t>A</w:t>
      </w:r>
      <w:r w:rsidRPr="00781112">
        <w:t xml:space="preserve"> - Prior FFY Required Actions</w:t>
      </w:r>
    </w:p>
    <w:p w14:paraId="0775D2DC" w14:textId="32AC04CD" w:rsidR="00361CFA" w:rsidRPr="00781112" w:rsidRDefault="00361CFA" w:rsidP="00361CFA">
      <w:pPr>
        <w:rPr>
          <w:rFonts w:cs="Arial"/>
          <w:color w:val="000000" w:themeColor="text1"/>
          <w:szCs w:val="16"/>
        </w:rPr>
      </w:pPr>
      <w:r w:rsidRPr="00781112">
        <w:rPr>
          <w:rFonts w:cs="Arial"/>
          <w:color w:val="000000" w:themeColor="text1"/>
          <w:szCs w:val="16"/>
        </w:rPr>
        <w:t>None</w:t>
      </w:r>
    </w:p>
    <w:p w14:paraId="743B5B9F" w14:textId="1841BC80" w:rsidR="00361CFA" w:rsidRPr="00781112" w:rsidRDefault="00361CFA" w:rsidP="00361CFA">
      <w:pPr>
        <w:pStyle w:val="Heading2"/>
      </w:pPr>
      <w:r w:rsidRPr="00781112">
        <w:t>3</w:t>
      </w:r>
      <w:r w:rsidR="00DD4E25" w:rsidRPr="00781112">
        <w:t>A</w:t>
      </w:r>
      <w:r w:rsidRPr="00781112">
        <w:t xml:space="preserve"> - OSEP Response</w:t>
      </w:r>
    </w:p>
    <w:p w14:paraId="2436D21B" w14:textId="251DD46D" w:rsidR="00361CFA" w:rsidRPr="00781112" w:rsidRDefault="00361CFA" w:rsidP="00361CFA">
      <w:pPr>
        <w:rPr>
          <w:rFonts w:cs="Arial"/>
          <w:color w:val="000000" w:themeColor="text1"/>
          <w:szCs w:val="16"/>
        </w:rPr>
      </w:pPr>
      <w:r w:rsidRPr="00781112">
        <w:rPr>
          <w:rFonts w:cs="Arial"/>
          <w:color w:val="000000" w:themeColor="text1"/>
          <w:szCs w:val="16"/>
          <w:shd w:val="clear" w:color="auto" w:fill="FFFFFF"/>
        </w:rPr>
        <w:t>The State has revised the baseline for this indicator, using data from FFY 2020, and OSEP accepts that revision.</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The State provided targets for FFYs 2020 through 2025 for this indicator, and OSEP accepts those targets.</w:t>
      </w:r>
    </w:p>
    <w:p w14:paraId="66272CA6" w14:textId="0C9AB332" w:rsidR="00361CFA" w:rsidRPr="00781112" w:rsidRDefault="00361CFA" w:rsidP="00361CFA">
      <w:pPr>
        <w:pStyle w:val="Heading2"/>
      </w:pPr>
      <w:r w:rsidRPr="00781112">
        <w:t>3</w:t>
      </w:r>
      <w:r w:rsidR="00DD4E25" w:rsidRPr="00781112">
        <w:t>A</w:t>
      </w:r>
      <w:r w:rsidRPr="00781112">
        <w:t xml:space="preserve"> - Required Actions</w:t>
      </w:r>
    </w:p>
    <w:p w14:paraId="07E8CA27" w14:textId="1D50FC01" w:rsidR="00361CFA" w:rsidRPr="00781112" w:rsidRDefault="00361CFA" w:rsidP="00361CFA">
      <w:pPr>
        <w:rPr>
          <w:rFonts w:cs="Arial"/>
          <w:color w:val="000000" w:themeColor="text1"/>
          <w:szCs w:val="16"/>
        </w:rPr>
      </w:pPr>
    </w:p>
    <w:p w14:paraId="70908578" w14:textId="7D14B33B" w:rsidR="00553A47" w:rsidRPr="00781112" w:rsidRDefault="00553A47">
      <w:pPr>
        <w:spacing w:before="0" w:after="200" w:line="276" w:lineRule="auto"/>
        <w:rPr>
          <w:rFonts w:eastAsiaTheme="majorEastAsia" w:cstheme="majorBidi"/>
          <w:b/>
          <w:bCs/>
          <w:color w:val="000000" w:themeColor="text1"/>
          <w:sz w:val="20"/>
          <w:szCs w:val="16"/>
        </w:rPr>
      </w:pPr>
      <w:r w:rsidRPr="00781112">
        <w:rPr>
          <w:color w:val="000000" w:themeColor="text1"/>
          <w:szCs w:val="16"/>
        </w:rPr>
        <w:lastRenderedPageBreak/>
        <w:br w:type="page"/>
      </w:r>
    </w:p>
    <w:p w14:paraId="4B525DFA" w14:textId="76C42186" w:rsidR="009D378C" w:rsidRPr="00781112" w:rsidRDefault="009D378C" w:rsidP="004369B2">
      <w:pPr>
        <w:pStyle w:val="Heading1"/>
        <w:rPr>
          <w:color w:val="000000" w:themeColor="text1"/>
          <w:sz w:val="22"/>
        </w:rPr>
      </w:pPr>
      <w:r w:rsidRPr="00781112">
        <w:rPr>
          <w:color w:val="000000" w:themeColor="text1"/>
          <w:sz w:val="22"/>
        </w:rPr>
        <w:lastRenderedPageBreak/>
        <w:t xml:space="preserve">Indicator 3B: Proficiency for Children with IEPs (Grade Level Academic Achievement Standards) </w:t>
      </w:r>
      <w:bookmarkEnd w:id="10"/>
      <w:bookmarkEnd w:id="11"/>
    </w:p>
    <w:p w14:paraId="66C662B8" w14:textId="77777777" w:rsidR="007C3C89" w:rsidRPr="00781112" w:rsidRDefault="007C3C89" w:rsidP="00A018D4">
      <w:pPr>
        <w:rPr>
          <w:color w:val="000000" w:themeColor="text1"/>
          <w:szCs w:val="20"/>
        </w:rPr>
      </w:pPr>
      <w:bookmarkStart w:id="13" w:name="_Toc392159271"/>
      <w:r w:rsidRPr="00781112">
        <w:rPr>
          <w:b/>
          <w:color w:val="000000" w:themeColor="text1"/>
          <w:sz w:val="20"/>
          <w:szCs w:val="20"/>
        </w:rPr>
        <w:t>Instructions and Measurement</w:t>
      </w:r>
    </w:p>
    <w:p w14:paraId="31EC23C7" w14:textId="5EB5B691" w:rsidR="0085119E" w:rsidRPr="00781112" w:rsidRDefault="0085119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F546D74" w14:textId="7751A5DC" w:rsidR="005873EB" w:rsidRPr="00781112" w:rsidRDefault="0085119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w:t>
      </w:r>
      <w:r w:rsidR="00131842" w:rsidRPr="00781112">
        <w:rPr>
          <w:rFonts w:cs="Arial"/>
          <w:color w:val="000000" w:themeColor="text1"/>
          <w:szCs w:val="16"/>
        </w:rPr>
        <w:t xml:space="preserve"> </w:t>
      </w:r>
      <w:r w:rsidR="005873EB" w:rsidRPr="00781112">
        <w:rPr>
          <w:rFonts w:cs="Arial"/>
          <w:color w:val="000000" w:themeColor="text1"/>
          <w:szCs w:val="16"/>
        </w:rPr>
        <w:t xml:space="preserve">Participation and performance </w:t>
      </w:r>
      <w:r w:rsidR="00C960B4" w:rsidRPr="00781112">
        <w:rPr>
          <w:rFonts w:cs="Arial"/>
          <w:color w:val="000000" w:themeColor="text1"/>
          <w:szCs w:val="16"/>
        </w:rPr>
        <w:t xml:space="preserve">of </w:t>
      </w:r>
      <w:r w:rsidR="005873EB" w:rsidRPr="00781112">
        <w:rPr>
          <w:rFonts w:cs="Arial"/>
          <w:color w:val="000000" w:themeColor="text1"/>
          <w:szCs w:val="16"/>
        </w:rPr>
        <w:t>children with IEPs on statewide</w:t>
      </w:r>
      <w:r w:rsidR="00A14AEA" w:rsidRPr="00781112">
        <w:rPr>
          <w:rFonts w:cs="Arial"/>
          <w:color w:val="000000" w:themeColor="text1"/>
          <w:szCs w:val="16"/>
        </w:rPr>
        <w:t xml:space="preserve"> assessments:</w:t>
      </w:r>
    </w:p>
    <w:p w14:paraId="4F752398"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A. Participation rate for children with IEPs.</w:t>
      </w:r>
    </w:p>
    <w:p w14:paraId="5BE34F5D"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3A689820"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59A0C855"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08325460" w14:textId="77777777" w:rsidR="001B1437" w:rsidRPr="00781112" w:rsidRDefault="001B1437" w:rsidP="001B1437">
      <w:pPr>
        <w:rPr>
          <w:rFonts w:cs="Arial"/>
          <w:color w:val="000000" w:themeColor="text1"/>
          <w:szCs w:val="16"/>
        </w:rPr>
      </w:pPr>
      <w:r w:rsidRPr="00781112">
        <w:rPr>
          <w:rFonts w:cs="Arial"/>
          <w:color w:val="000000" w:themeColor="text1"/>
          <w:szCs w:val="16"/>
        </w:rPr>
        <w:t>(20 U.S.C. 1416 (a)(3)(A))</w:t>
      </w:r>
    </w:p>
    <w:p w14:paraId="17F5F231" w14:textId="77777777" w:rsidR="005873EB" w:rsidRPr="00781112" w:rsidRDefault="005873EB" w:rsidP="004369B2">
      <w:pPr>
        <w:rPr>
          <w:color w:val="000000" w:themeColor="text1"/>
        </w:rPr>
      </w:pPr>
      <w:r w:rsidRPr="00781112">
        <w:rPr>
          <w:b/>
          <w:color w:val="000000" w:themeColor="text1"/>
        </w:rPr>
        <w:t>Data Source</w:t>
      </w:r>
    </w:p>
    <w:p w14:paraId="74E3B0EF" w14:textId="680BE39A" w:rsidR="00A14AEA" w:rsidRPr="0075451F" w:rsidRDefault="00A14AEA" w:rsidP="002621F6">
      <w:pPr>
        <w:rPr>
          <w:rFonts w:cs="Arial"/>
          <w:szCs w:val="16"/>
        </w:rPr>
      </w:pPr>
      <w:r w:rsidRPr="00781112">
        <w:rPr>
          <w:rFonts w:cs="Arial"/>
          <w:color w:val="000000" w:themeColor="text1"/>
          <w:szCs w:val="16"/>
        </w:rPr>
        <w:t xml:space="preserve">3B. Same data as used for reporting to the Department under Title I of the ESEA, using EDFacts file specifications </w:t>
      </w:r>
      <w:r w:rsidR="001B1437" w:rsidRPr="00781112">
        <w:rPr>
          <w:rFonts w:cs="Arial"/>
          <w:szCs w:val="16"/>
        </w:rPr>
        <w:t>FS175 and 178.</w:t>
      </w:r>
    </w:p>
    <w:p w14:paraId="58C69CDD" w14:textId="77777777" w:rsidR="005873EB" w:rsidRPr="00781112" w:rsidRDefault="005873EB" w:rsidP="004369B2">
      <w:pPr>
        <w:rPr>
          <w:color w:val="000000" w:themeColor="text1"/>
        </w:rPr>
      </w:pPr>
      <w:r w:rsidRPr="00781112">
        <w:rPr>
          <w:b/>
          <w:color w:val="000000" w:themeColor="text1"/>
        </w:rPr>
        <w:t>Measurement</w:t>
      </w:r>
    </w:p>
    <w:p w14:paraId="1B72B9D8" w14:textId="6F544A48" w:rsidR="00781112" w:rsidRPr="00781112" w:rsidRDefault="00A14AEA" w:rsidP="004369B2">
      <w:pPr>
        <w:rPr>
          <w:rFonts w:cs="Arial"/>
          <w:szCs w:val="16"/>
        </w:rPr>
      </w:pPr>
      <w:r w:rsidRPr="00781112">
        <w:rPr>
          <w:rFonts w:cs="Arial"/>
          <w:color w:val="000000" w:themeColor="text1"/>
          <w:szCs w:val="16"/>
        </w:rPr>
        <w:t xml:space="preserve">B. </w:t>
      </w:r>
      <w:r w:rsidR="001B1437" w:rsidRPr="00781112">
        <w:rPr>
          <w:rFonts w:cs="Arial"/>
          <w:szCs w:val="16"/>
        </w:rPr>
        <w:t>Proficiency rate percent = [(# of children with IEPs scoring at or above proficient against grade level academic achievement standards) divided by the (total # of children with IEPs who received a valid score and for whom a proficiency level was assigned for the regular assessment)]. Calculate separately for reading and math. Calculate separately for grades 4, 8, and high school. The proficiency rate includes both children with IEPs enrolled for a full academic year and those not enrolled for a full academic year</w:t>
      </w:r>
      <w:r w:rsidR="00C239D6" w:rsidRPr="00781112">
        <w:rPr>
          <w:rFonts w:cs="Arial"/>
          <w:szCs w:val="16"/>
        </w:rPr>
        <w:t>.</w:t>
      </w:r>
    </w:p>
    <w:p w14:paraId="13B81A44" w14:textId="77777777" w:rsidR="005873EB" w:rsidRPr="00781112" w:rsidRDefault="005873EB" w:rsidP="004369B2">
      <w:pPr>
        <w:rPr>
          <w:color w:val="000000" w:themeColor="text1"/>
        </w:rPr>
      </w:pPr>
      <w:r w:rsidRPr="00781112">
        <w:rPr>
          <w:b/>
          <w:color w:val="000000" w:themeColor="text1"/>
        </w:rPr>
        <w:t>Instructions</w:t>
      </w:r>
    </w:p>
    <w:p w14:paraId="5315B3F5" w14:textId="77777777" w:rsidR="00A14AEA" w:rsidRPr="00781112" w:rsidRDefault="00A14AEA" w:rsidP="002621F6">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02A5AC14" w14:textId="77777777" w:rsidR="00A14AEA" w:rsidRPr="00781112" w:rsidRDefault="00A14AEA" w:rsidP="002621F6">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28C72839" w14:textId="5218735C" w:rsidR="00A14AEA" w:rsidRPr="00781112" w:rsidRDefault="00A14AEA" w:rsidP="002621F6">
      <w:pPr>
        <w:rPr>
          <w:rFonts w:cs="Arial"/>
          <w:color w:val="000000" w:themeColor="text1"/>
          <w:szCs w:val="16"/>
        </w:rPr>
      </w:pPr>
      <w:r w:rsidRPr="00781112">
        <w:rPr>
          <w:rFonts w:cs="Arial"/>
          <w:color w:val="000000" w:themeColor="text1"/>
          <w:szCs w:val="16"/>
        </w:rPr>
        <w:t xml:space="preserve">Indicator 3B: </w:t>
      </w:r>
      <w:r w:rsidR="001B1437" w:rsidRPr="00781112">
        <w:rPr>
          <w:rFonts w:cs="Arial"/>
          <w:szCs w:val="16"/>
        </w:rPr>
        <w:t>Proficiency calculations in this SPP/APR must result in proficiency rates for children with IEPs on the regular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 of testing.</w:t>
      </w:r>
    </w:p>
    <w:p w14:paraId="4CDFE310" w14:textId="3FF11C15" w:rsidR="00677C8C" w:rsidRPr="00781112" w:rsidRDefault="00573F6C" w:rsidP="008645AD">
      <w:pPr>
        <w:pStyle w:val="Heading2"/>
      </w:pPr>
      <w:r w:rsidRPr="00781112">
        <w:t>3B</w:t>
      </w:r>
      <w:r w:rsidR="00BB4FD7" w:rsidRPr="00781112">
        <w:t xml:space="preserve"> </w:t>
      </w:r>
      <w:r w:rsidRPr="00781112">
        <w:t xml:space="preserve">- </w:t>
      </w:r>
      <w:r w:rsidR="00677C8C" w:rsidRPr="00781112">
        <w:t>Indicator Data</w:t>
      </w:r>
    </w:p>
    <w:bookmarkEnd w:id="13"/>
    <w:p w14:paraId="515AEF58" w14:textId="26D7E3C2" w:rsidR="00E539AB" w:rsidRPr="00781112" w:rsidRDefault="00E539AB" w:rsidP="004369B2">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HISTDATA"/>
      </w:tblPr>
      <w:tblGrid>
        <w:gridCol w:w="1588"/>
        <w:gridCol w:w="1588"/>
        <w:gridCol w:w="2538"/>
        <w:gridCol w:w="2538"/>
        <w:gridCol w:w="2538"/>
      </w:tblGrid>
      <w:tr w:rsidR="00E87854" w:rsidRPr="00781112" w14:paraId="12417720" w14:textId="77777777" w:rsidTr="009725F4">
        <w:trPr>
          <w:trHeight w:val="368"/>
          <w:tblHeader/>
        </w:trPr>
        <w:tc>
          <w:tcPr>
            <w:tcW w:w="736" w:type="pct"/>
            <w:tcBorders>
              <w:top w:val="single" w:sz="4" w:space="0" w:color="auto"/>
            </w:tcBorders>
            <w:vAlign w:val="center"/>
          </w:tcPr>
          <w:p w14:paraId="7EC3C39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3734B1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7B7E2CD1"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328A387A"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7BA55F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Baseline Data</w:t>
            </w:r>
          </w:p>
        </w:tc>
      </w:tr>
      <w:tr w:rsidR="00E87854" w:rsidRPr="00781112" w14:paraId="4037BAD8" w14:textId="77777777" w:rsidTr="00360DD6">
        <w:trPr>
          <w:trHeight w:val="368"/>
        </w:trPr>
        <w:tc>
          <w:tcPr>
            <w:tcW w:w="736" w:type="pct"/>
            <w:vAlign w:val="center"/>
          </w:tcPr>
          <w:p w14:paraId="7483D39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589D2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62918043" w14:textId="606DEBBA" w:rsidR="00E87854" w:rsidRPr="00781112" w:rsidRDefault="00E87854"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2F272CC" w14:textId="71E3B85C"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A2A9F8D" w14:textId="7B983B8C" w:rsidR="00E87854" w:rsidRPr="00781112" w:rsidRDefault="00E87854" w:rsidP="00827FF4">
            <w:pPr>
              <w:spacing w:before="0" w:after="0"/>
              <w:jc w:val="center"/>
              <w:rPr>
                <w:color w:val="000000" w:themeColor="text1"/>
              </w:rPr>
            </w:pPr>
            <w:r w:rsidRPr="00781112">
              <w:rPr>
                <w:rFonts w:cs="Arial"/>
                <w:color w:val="000000" w:themeColor="text1"/>
                <w:szCs w:val="16"/>
              </w:rPr>
              <w:t>16.49%</w:t>
            </w:r>
          </w:p>
        </w:tc>
      </w:tr>
      <w:tr w:rsidR="00E87854" w:rsidRPr="00781112" w14:paraId="60278D71" w14:textId="77777777" w:rsidTr="00360DD6">
        <w:trPr>
          <w:trHeight w:val="368"/>
        </w:trPr>
        <w:tc>
          <w:tcPr>
            <w:tcW w:w="736" w:type="pct"/>
            <w:vAlign w:val="center"/>
          </w:tcPr>
          <w:p w14:paraId="3507BA0D"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4794670"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B8FF5A1" w14:textId="37E21D7F"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1CCEEB25" w14:textId="1C22E745"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91FB31F" w14:textId="070EC95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9.39%</w:t>
            </w:r>
          </w:p>
        </w:tc>
      </w:tr>
      <w:tr w:rsidR="00E87854" w:rsidRPr="00781112" w14:paraId="2E17CFEC" w14:textId="77777777" w:rsidTr="00360DD6">
        <w:trPr>
          <w:trHeight w:val="368"/>
        </w:trPr>
        <w:tc>
          <w:tcPr>
            <w:tcW w:w="736" w:type="pct"/>
            <w:vAlign w:val="center"/>
          </w:tcPr>
          <w:p w14:paraId="686A187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9389293"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A5BDDFB" w14:textId="2058F5F3" w:rsidR="00E87854" w:rsidRPr="00781112" w:rsidRDefault="00E87854"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15FB216" w14:textId="6B3B7253"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F3FCFE8" w14:textId="7784B72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7.69%</w:t>
            </w:r>
          </w:p>
        </w:tc>
      </w:tr>
      <w:tr w:rsidR="00E87854" w:rsidRPr="00781112" w14:paraId="2DE181AC" w14:textId="77777777" w:rsidTr="00360DD6">
        <w:trPr>
          <w:trHeight w:val="368"/>
        </w:trPr>
        <w:tc>
          <w:tcPr>
            <w:tcW w:w="736" w:type="pct"/>
            <w:vAlign w:val="center"/>
          </w:tcPr>
          <w:p w14:paraId="62906600"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58A602F6"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3CC85F5" w14:textId="434951B5"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83C0C1B" w14:textId="1213FD2B"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2A92448" w14:textId="0F5F274D"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12.40%</w:t>
            </w:r>
          </w:p>
        </w:tc>
      </w:tr>
      <w:tr w:rsidR="00E87854" w:rsidRPr="00781112" w14:paraId="15831A3C" w14:textId="77777777" w:rsidTr="00360DD6">
        <w:trPr>
          <w:trHeight w:val="368"/>
        </w:trPr>
        <w:tc>
          <w:tcPr>
            <w:tcW w:w="736" w:type="pct"/>
            <w:vAlign w:val="center"/>
          </w:tcPr>
          <w:p w14:paraId="3F38811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75BC7B5C"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AD560DF" w14:textId="6ED06A7D" w:rsidR="00E87854" w:rsidRPr="00781112" w:rsidRDefault="00E87854"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6F22CF1" w14:textId="7783498C"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3B302E6" w14:textId="2F431F68"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4.88%</w:t>
            </w:r>
          </w:p>
        </w:tc>
      </w:tr>
      <w:tr w:rsidR="00E87854" w:rsidRPr="00781112" w14:paraId="5866D3B1" w14:textId="77777777" w:rsidTr="00360DD6">
        <w:trPr>
          <w:trHeight w:val="368"/>
        </w:trPr>
        <w:tc>
          <w:tcPr>
            <w:tcW w:w="736" w:type="pct"/>
            <w:vAlign w:val="center"/>
          </w:tcPr>
          <w:p w14:paraId="619219C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CF2F68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FE864B8" w14:textId="002FA991"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216CD238" w14:textId="75E8822F"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6C96CFB" w14:textId="3BA21F14"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5.59%</w:t>
            </w:r>
          </w:p>
        </w:tc>
      </w:tr>
    </w:tbl>
    <w:p w14:paraId="59FDF599" w14:textId="77777777" w:rsidR="00E87854" w:rsidRPr="00781112" w:rsidRDefault="00E87854" w:rsidP="004369B2">
      <w:pPr>
        <w:rPr>
          <w:b/>
          <w:color w:val="000000" w:themeColor="text1"/>
        </w:rPr>
      </w:pPr>
    </w:p>
    <w:p w14:paraId="4E5C7995" w14:textId="77777777" w:rsidR="004D0044" w:rsidRPr="00781112" w:rsidRDefault="004D0044" w:rsidP="004369B2">
      <w:pPr>
        <w:rPr>
          <w:color w:val="000000" w:themeColor="text1"/>
        </w:rPr>
      </w:pPr>
    </w:p>
    <w:p w14:paraId="38F110A8" w14:textId="3014A321" w:rsidR="00E539AB" w:rsidRPr="00781112" w:rsidRDefault="00E539AB" w:rsidP="004369B2">
      <w:pPr>
        <w:rPr>
          <w:b/>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TARGETS"/>
      </w:tblPr>
      <w:tblGrid>
        <w:gridCol w:w="1197"/>
        <w:gridCol w:w="1200"/>
        <w:gridCol w:w="1200"/>
        <w:gridCol w:w="1200"/>
        <w:gridCol w:w="1200"/>
        <w:gridCol w:w="1200"/>
        <w:gridCol w:w="1200"/>
        <w:gridCol w:w="1200"/>
        <w:gridCol w:w="1193"/>
      </w:tblGrid>
      <w:tr w:rsidR="00536B0B" w:rsidRPr="00781112" w14:paraId="241559C7" w14:textId="3976E689" w:rsidTr="009E026B">
        <w:tc>
          <w:tcPr>
            <w:tcW w:w="555" w:type="pct"/>
            <w:tcBorders>
              <w:bottom w:val="single" w:sz="4" w:space="0" w:color="auto"/>
            </w:tcBorders>
            <w:shd w:val="clear" w:color="auto" w:fill="auto"/>
            <w:vAlign w:val="center"/>
          </w:tcPr>
          <w:p w14:paraId="5F6C0247" w14:textId="02A2F5D1" w:rsidR="00536B0B" w:rsidRPr="00781112" w:rsidRDefault="00536B0B" w:rsidP="00536B0B">
            <w:pPr>
              <w:jc w:val="center"/>
              <w:rPr>
                <w:b/>
                <w:color w:val="000000" w:themeColor="text1"/>
              </w:rPr>
            </w:pPr>
            <w:r w:rsidRPr="00781112">
              <w:rPr>
                <w:b/>
                <w:color w:val="000000" w:themeColor="text1"/>
              </w:rPr>
              <w:t>Subject</w:t>
            </w:r>
          </w:p>
        </w:tc>
        <w:tc>
          <w:tcPr>
            <w:tcW w:w="556" w:type="pct"/>
            <w:tcBorders>
              <w:bottom w:val="single" w:sz="4" w:space="0" w:color="auto"/>
            </w:tcBorders>
            <w:shd w:val="clear" w:color="auto" w:fill="auto"/>
            <w:vAlign w:val="center"/>
          </w:tcPr>
          <w:p w14:paraId="1318C08B" w14:textId="57349DD9" w:rsidR="00536B0B" w:rsidRPr="00781112" w:rsidRDefault="00536B0B" w:rsidP="00536B0B">
            <w:pPr>
              <w:jc w:val="center"/>
              <w:rPr>
                <w:b/>
                <w:color w:val="000000" w:themeColor="text1"/>
              </w:rPr>
            </w:pPr>
            <w:r w:rsidRPr="00781112">
              <w:rPr>
                <w:b/>
                <w:color w:val="000000" w:themeColor="text1"/>
              </w:rPr>
              <w:t>Group</w:t>
            </w:r>
          </w:p>
        </w:tc>
        <w:tc>
          <w:tcPr>
            <w:tcW w:w="556" w:type="pct"/>
            <w:shd w:val="clear" w:color="auto" w:fill="auto"/>
            <w:vAlign w:val="center"/>
          </w:tcPr>
          <w:p w14:paraId="7EAB09FA" w14:textId="030EC418" w:rsidR="00536B0B" w:rsidRPr="00781112" w:rsidDel="008E7B87" w:rsidRDefault="00536B0B" w:rsidP="00536B0B">
            <w:pPr>
              <w:jc w:val="center"/>
              <w:rPr>
                <w:b/>
                <w:color w:val="000000" w:themeColor="text1"/>
              </w:rPr>
            </w:pPr>
            <w:r w:rsidRPr="00781112">
              <w:rPr>
                <w:b/>
                <w:color w:val="000000" w:themeColor="text1"/>
              </w:rPr>
              <w:t>Group Name</w:t>
            </w:r>
          </w:p>
        </w:tc>
        <w:tc>
          <w:tcPr>
            <w:tcW w:w="556" w:type="pct"/>
            <w:shd w:val="clear" w:color="auto" w:fill="auto"/>
            <w:vAlign w:val="center"/>
          </w:tcPr>
          <w:p w14:paraId="547F4988" w14:textId="1F981DE2" w:rsidR="00536B0B" w:rsidRPr="00781112" w:rsidRDefault="00536B0B" w:rsidP="00536B0B">
            <w:pPr>
              <w:jc w:val="center"/>
              <w:rPr>
                <w:b/>
                <w:color w:val="000000" w:themeColor="text1"/>
              </w:rPr>
            </w:pPr>
            <w:r w:rsidRPr="00781112">
              <w:rPr>
                <w:b/>
                <w:color w:val="000000" w:themeColor="text1"/>
              </w:rPr>
              <w:t>2020</w:t>
            </w:r>
          </w:p>
        </w:tc>
        <w:tc>
          <w:tcPr>
            <w:tcW w:w="556" w:type="pct"/>
            <w:vAlign w:val="center"/>
          </w:tcPr>
          <w:p w14:paraId="54E0670C" w14:textId="46A8862B" w:rsidR="00536B0B" w:rsidRPr="00781112" w:rsidRDefault="00536B0B" w:rsidP="00536B0B">
            <w:pPr>
              <w:jc w:val="center"/>
              <w:rPr>
                <w:b/>
                <w:color w:val="000000" w:themeColor="text1"/>
              </w:rPr>
            </w:pPr>
            <w:r w:rsidRPr="00781112">
              <w:rPr>
                <w:rFonts w:cs="Arial"/>
                <w:b/>
                <w:color w:val="000000" w:themeColor="text1"/>
                <w:szCs w:val="16"/>
              </w:rPr>
              <w:t>2021</w:t>
            </w:r>
          </w:p>
        </w:tc>
        <w:tc>
          <w:tcPr>
            <w:tcW w:w="556" w:type="pct"/>
            <w:vAlign w:val="center"/>
          </w:tcPr>
          <w:p w14:paraId="0317CAEF" w14:textId="4A2FF736" w:rsidR="00536B0B" w:rsidRPr="00781112" w:rsidRDefault="00536B0B" w:rsidP="00536B0B">
            <w:pPr>
              <w:jc w:val="center"/>
              <w:rPr>
                <w:b/>
                <w:color w:val="000000" w:themeColor="text1"/>
              </w:rPr>
            </w:pPr>
            <w:r w:rsidRPr="00781112">
              <w:rPr>
                <w:rFonts w:cs="Arial"/>
                <w:b/>
                <w:color w:val="000000" w:themeColor="text1"/>
                <w:szCs w:val="16"/>
              </w:rPr>
              <w:t>2022</w:t>
            </w:r>
          </w:p>
        </w:tc>
        <w:tc>
          <w:tcPr>
            <w:tcW w:w="556" w:type="pct"/>
            <w:vAlign w:val="center"/>
          </w:tcPr>
          <w:p w14:paraId="20B86A7A" w14:textId="2D2BB96C" w:rsidR="00536B0B" w:rsidRPr="00781112" w:rsidRDefault="00536B0B" w:rsidP="00536B0B">
            <w:pPr>
              <w:jc w:val="center"/>
              <w:rPr>
                <w:b/>
                <w:color w:val="000000" w:themeColor="text1"/>
              </w:rPr>
            </w:pPr>
            <w:r w:rsidRPr="00781112">
              <w:rPr>
                <w:rFonts w:cs="Arial"/>
                <w:b/>
                <w:color w:val="000000" w:themeColor="text1"/>
                <w:szCs w:val="16"/>
              </w:rPr>
              <w:t>2023</w:t>
            </w:r>
          </w:p>
        </w:tc>
        <w:tc>
          <w:tcPr>
            <w:tcW w:w="556" w:type="pct"/>
            <w:vAlign w:val="center"/>
          </w:tcPr>
          <w:p w14:paraId="076A0812" w14:textId="01751FCE" w:rsidR="00536B0B" w:rsidRPr="00781112" w:rsidRDefault="00536B0B" w:rsidP="00536B0B">
            <w:pPr>
              <w:jc w:val="center"/>
              <w:rPr>
                <w:b/>
                <w:color w:val="000000" w:themeColor="text1"/>
              </w:rPr>
            </w:pPr>
            <w:r w:rsidRPr="00781112">
              <w:rPr>
                <w:rFonts w:cs="Arial"/>
                <w:b/>
                <w:color w:val="000000" w:themeColor="text1"/>
                <w:szCs w:val="16"/>
              </w:rPr>
              <w:t>2024</w:t>
            </w:r>
          </w:p>
        </w:tc>
        <w:tc>
          <w:tcPr>
            <w:tcW w:w="553" w:type="pct"/>
            <w:vAlign w:val="center"/>
          </w:tcPr>
          <w:p w14:paraId="2176D829" w14:textId="0551E4D3" w:rsidR="00536B0B" w:rsidRPr="00781112" w:rsidRDefault="00536B0B" w:rsidP="00536B0B">
            <w:pPr>
              <w:jc w:val="center"/>
              <w:rPr>
                <w:b/>
                <w:color w:val="000000" w:themeColor="text1"/>
              </w:rPr>
            </w:pPr>
            <w:r w:rsidRPr="00781112">
              <w:rPr>
                <w:rFonts w:cs="Arial"/>
                <w:b/>
                <w:color w:val="000000" w:themeColor="text1"/>
                <w:szCs w:val="16"/>
              </w:rPr>
              <w:t>2025</w:t>
            </w:r>
          </w:p>
        </w:tc>
      </w:tr>
      <w:tr w:rsidR="004E5C74" w:rsidRPr="00781112" w14:paraId="6D8B6989" w14:textId="160D0375" w:rsidTr="009E026B">
        <w:tc>
          <w:tcPr>
            <w:tcW w:w="555" w:type="pct"/>
            <w:shd w:val="clear" w:color="auto" w:fill="auto"/>
            <w:vAlign w:val="center"/>
          </w:tcPr>
          <w:p w14:paraId="1B70FAC0" w14:textId="0849CE9C"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Reading</w:t>
            </w:r>
          </w:p>
        </w:tc>
        <w:tc>
          <w:tcPr>
            <w:tcW w:w="556" w:type="pct"/>
            <w:shd w:val="clear" w:color="auto" w:fill="auto"/>
            <w:vAlign w:val="center"/>
          </w:tcPr>
          <w:p w14:paraId="6221F405" w14:textId="189877A2"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A &gt;=</w:t>
            </w:r>
          </w:p>
        </w:tc>
        <w:tc>
          <w:tcPr>
            <w:tcW w:w="556" w:type="pct"/>
            <w:shd w:val="clear" w:color="auto" w:fill="auto"/>
            <w:vAlign w:val="center"/>
          </w:tcPr>
          <w:p w14:paraId="6D2C8AC8" w14:textId="0101FADC"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4</w:t>
            </w:r>
          </w:p>
        </w:tc>
        <w:tc>
          <w:tcPr>
            <w:tcW w:w="556" w:type="pct"/>
            <w:shd w:val="clear" w:color="auto" w:fill="auto"/>
            <w:vAlign w:val="center"/>
          </w:tcPr>
          <w:p w14:paraId="1794FDC8" w14:textId="2C32479D" w:rsidR="004E5C74" w:rsidRPr="00781112" w:rsidRDefault="004E5C74" w:rsidP="004E5C74">
            <w:pPr>
              <w:jc w:val="center"/>
              <w:rPr>
                <w:rFonts w:cs="Arial"/>
                <w:color w:val="000000" w:themeColor="text1"/>
                <w:szCs w:val="16"/>
              </w:rPr>
            </w:pPr>
            <w:r w:rsidRPr="00781112">
              <w:rPr>
                <w:rFonts w:cs="Arial"/>
                <w:color w:val="000000" w:themeColor="text1"/>
                <w:szCs w:val="16"/>
              </w:rPr>
              <w:t>16.49%</w:t>
            </w:r>
          </w:p>
        </w:tc>
        <w:tc>
          <w:tcPr>
            <w:tcW w:w="556" w:type="pct"/>
            <w:vAlign w:val="center"/>
          </w:tcPr>
          <w:p w14:paraId="609A7D0F" w14:textId="138D9671" w:rsidR="004E5C74" w:rsidRPr="00781112" w:rsidRDefault="004E5C74" w:rsidP="004E5C74">
            <w:pPr>
              <w:jc w:val="center"/>
              <w:rPr>
                <w:rFonts w:cs="Arial"/>
                <w:color w:val="000000" w:themeColor="text1"/>
                <w:szCs w:val="16"/>
              </w:rPr>
            </w:pPr>
            <w:r w:rsidRPr="00781112">
              <w:rPr>
                <w:rFonts w:cs="Arial"/>
                <w:color w:val="000000" w:themeColor="text1"/>
                <w:szCs w:val="16"/>
              </w:rPr>
              <w:t>17.50%</w:t>
            </w:r>
          </w:p>
        </w:tc>
        <w:tc>
          <w:tcPr>
            <w:tcW w:w="556" w:type="pct"/>
            <w:vAlign w:val="center"/>
          </w:tcPr>
          <w:p w14:paraId="3DF1FAFA" w14:textId="4C333171" w:rsidR="004E5C74" w:rsidRPr="00781112" w:rsidRDefault="004E5C74" w:rsidP="004E5C74">
            <w:pPr>
              <w:jc w:val="center"/>
              <w:rPr>
                <w:rFonts w:cs="Arial"/>
                <w:color w:val="000000" w:themeColor="text1"/>
                <w:szCs w:val="16"/>
              </w:rPr>
            </w:pPr>
            <w:r w:rsidRPr="00781112">
              <w:rPr>
                <w:rFonts w:cs="Arial"/>
                <w:color w:val="000000" w:themeColor="text1"/>
                <w:szCs w:val="16"/>
              </w:rPr>
              <w:t>19.50%</w:t>
            </w:r>
          </w:p>
        </w:tc>
        <w:tc>
          <w:tcPr>
            <w:tcW w:w="556" w:type="pct"/>
            <w:vAlign w:val="center"/>
          </w:tcPr>
          <w:p w14:paraId="77B3DA55" w14:textId="44F9C6DA" w:rsidR="004E5C74" w:rsidRPr="00781112" w:rsidRDefault="004E5C74" w:rsidP="004E5C74">
            <w:pPr>
              <w:jc w:val="center"/>
              <w:rPr>
                <w:rFonts w:cs="Arial"/>
                <w:color w:val="000000" w:themeColor="text1"/>
                <w:szCs w:val="16"/>
              </w:rPr>
            </w:pPr>
            <w:r w:rsidRPr="00781112">
              <w:rPr>
                <w:rFonts w:cs="Arial"/>
                <w:color w:val="000000" w:themeColor="text1"/>
                <w:szCs w:val="16"/>
              </w:rPr>
              <w:t>21.50%</w:t>
            </w:r>
          </w:p>
        </w:tc>
        <w:tc>
          <w:tcPr>
            <w:tcW w:w="556" w:type="pct"/>
            <w:vAlign w:val="center"/>
          </w:tcPr>
          <w:p w14:paraId="59DDD0B3" w14:textId="64292362" w:rsidR="004E5C74" w:rsidRPr="00781112" w:rsidRDefault="004E5C74" w:rsidP="004E5C74">
            <w:pPr>
              <w:jc w:val="center"/>
              <w:rPr>
                <w:rFonts w:cs="Arial"/>
                <w:color w:val="000000" w:themeColor="text1"/>
                <w:szCs w:val="16"/>
              </w:rPr>
            </w:pPr>
            <w:r w:rsidRPr="00781112">
              <w:rPr>
                <w:rFonts w:cs="Arial"/>
                <w:color w:val="000000" w:themeColor="text1"/>
                <w:szCs w:val="16"/>
              </w:rPr>
              <w:t>23.50%</w:t>
            </w:r>
          </w:p>
        </w:tc>
        <w:tc>
          <w:tcPr>
            <w:tcW w:w="553" w:type="pct"/>
            <w:vAlign w:val="center"/>
          </w:tcPr>
          <w:p w14:paraId="0C4A4D97" w14:textId="38824368" w:rsidR="004E5C74" w:rsidRPr="00781112" w:rsidRDefault="004E5C74" w:rsidP="004E5C74">
            <w:pPr>
              <w:jc w:val="center"/>
              <w:rPr>
                <w:rFonts w:cs="Arial"/>
                <w:color w:val="000000" w:themeColor="text1"/>
                <w:szCs w:val="16"/>
              </w:rPr>
            </w:pPr>
            <w:r w:rsidRPr="00781112">
              <w:rPr>
                <w:rFonts w:cs="Arial"/>
                <w:color w:val="000000" w:themeColor="text1"/>
                <w:szCs w:val="16"/>
              </w:rPr>
              <w:t>25.50%</w:t>
            </w:r>
          </w:p>
        </w:tc>
      </w:tr>
      <w:tr w:rsidR="004E5C74" w:rsidRPr="00781112" w14:paraId="6BD665D1" w14:textId="5FDF63E7" w:rsidTr="009E026B">
        <w:tc>
          <w:tcPr>
            <w:tcW w:w="555" w:type="pct"/>
            <w:shd w:val="clear" w:color="auto" w:fill="auto"/>
            <w:vAlign w:val="center"/>
          </w:tcPr>
          <w:p w14:paraId="2A84087F" w14:textId="4E8F4953"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Reading</w:t>
            </w:r>
          </w:p>
        </w:tc>
        <w:tc>
          <w:tcPr>
            <w:tcW w:w="556" w:type="pct"/>
            <w:shd w:val="clear" w:color="auto" w:fill="auto"/>
            <w:vAlign w:val="center"/>
          </w:tcPr>
          <w:p w14:paraId="2646C0D6" w14:textId="23685D27"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B &gt;=</w:t>
            </w:r>
          </w:p>
        </w:tc>
        <w:tc>
          <w:tcPr>
            <w:tcW w:w="556" w:type="pct"/>
            <w:shd w:val="clear" w:color="auto" w:fill="auto"/>
            <w:vAlign w:val="center"/>
          </w:tcPr>
          <w:p w14:paraId="67079A1D" w14:textId="08C9FD02"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8</w:t>
            </w:r>
          </w:p>
        </w:tc>
        <w:tc>
          <w:tcPr>
            <w:tcW w:w="556" w:type="pct"/>
            <w:shd w:val="clear" w:color="auto" w:fill="auto"/>
            <w:vAlign w:val="center"/>
          </w:tcPr>
          <w:p w14:paraId="03609D46" w14:textId="75CA57B6" w:rsidR="004E5C74" w:rsidRPr="00781112" w:rsidRDefault="004E5C74" w:rsidP="004E5C74">
            <w:pPr>
              <w:jc w:val="center"/>
              <w:rPr>
                <w:rFonts w:cs="Arial"/>
                <w:color w:val="000000" w:themeColor="text1"/>
                <w:szCs w:val="16"/>
              </w:rPr>
            </w:pPr>
            <w:r w:rsidRPr="00781112">
              <w:rPr>
                <w:rFonts w:cs="Arial"/>
                <w:color w:val="000000" w:themeColor="text1"/>
                <w:szCs w:val="16"/>
              </w:rPr>
              <w:t>9.39%</w:t>
            </w:r>
          </w:p>
        </w:tc>
        <w:tc>
          <w:tcPr>
            <w:tcW w:w="556" w:type="pct"/>
            <w:vAlign w:val="center"/>
          </w:tcPr>
          <w:p w14:paraId="08D72C36" w14:textId="2621CBFF" w:rsidR="004E5C74" w:rsidRPr="00781112" w:rsidRDefault="004E5C74" w:rsidP="004E5C74">
            <w:pPr>
              <w:jc w:val="center"/>
              <w:rPr>
                <w:rFonts w:cs="Arial"/>
                <w:color w:val="000000" w:themeColor="text1"/>
                <w:szCs w:val="16"/>
              </w:rPr>
            </w:pPr>
            <w:r w:rsidRPr="00781112">
              <w:rPr>
                <w:rFonts w:cs="Arial"/>
                <w:color w:val="000000" w:themeColor="text1"/>
                <w:szCs w:val="16"/>
              </w:rPr>
              <w:t>10.50%</w:t>
            </w:r>
          </w:p>
        </w:tc>
        <w:tc>
          <w:tcPr>
            <w:tcW w:w="556" w:type="pct"/>
            <w:vAlign w:val="center"/>
          </w:tcPr>
          <w:p w14:paraId="60E9FAA2" w14:textId="0E1508C1" w:rsidR="004E5C74" w:rsidRPr="00781112" w:rsidRDefault="004E5C74" w:rsidP="004E5C74">
            <w:pPr>
              <w:jc w:val="center"/>
              <w:rPr>
                <w:rFonts w:cs="Arial"/>
                <w:color w:val="000000" w:themeColor="text1"/>
                <w:szCs w:val="16"/>
              </w:rPr>
            </w:pPr>
            <w:r w:rsidRPr="00781112">
              <w:rPr>
                <w:rFonts w:cs="Arial"/>
                <w:color w:val="000000" w:themeColor="text1"/>
                <w:szCs w:val="16"/>
              </w:rPr>
              <w:t>12.50%</w:t>
            </w:r>
          </w:p>
        </w:tc>
        <w:tc>
          <w:tcPr>
            <w:tcW w:w="556" w:type="pct"/>
            <w:vAlign w:val="center"/>
          </w:tcPr>
          <w:p w14:paraId="55ED1028" w14:textId="05411637" w:rsidR="004E5C74" w:rsidRPr="00781112" w:rsidRDefault="004E5C74" w:rsidP="004E5C74">
            <w:pPr>
              <w:jc w:val="center"/>
              <w:rPr>
                <w:rFonts w:cs="Arial"/>
                <w:color w:val="000000" w:themeColor="text1"/>
                <w:szCs w:val="16"/>
              </w:rPr>
            </w:pPr>
            <w:r w:rsidRPr="00781112">
              <w:rPr>
                <w:rFonts w:cs="Arial"/>
                <w:color w:val="000000" w:themeColor="text1"/>
                <w:szCs w:val="16"/>
              </w:rPr>
              <w:t>14.50%</w:t>
            </w:r>
          </w:p>
        </w:tc>
        <w:tc>
          <w:tcPr>
            <w:tcW w:w="556" w:type="pct"/>
            <w:vAlign w:val="center"/>
          </w:tcPr>
          <w:p w14:paraId="3D7C28F8" w14:textId="2CE26657" w:rsidR="004E5C74" w:rsidRPr="00781112" w:rsidRDefault="004E5C74" w:rsidP="004E5C74">
            <w:pPr>
              <w:jc w:val="center"/>
              <w:rPr>
                <w:rFonts w:cs="Arial"/>
                <w:color w:val="000000" w:themeColor="text1"/>
                <w:szCs w:val="16"/>
              </w:rPr>
            </w:pPr>
            <w:r w:rsidRPr="00781112">
              <w:rPr>
                <w:rFonts w:cs="Arial"/>
                <w:color w:val="000000" w:themeColor="text1"/>
                <w:szCs w:val="16"/>
              </w:rPr>
              <w:t>16.50%</w:t>
            </w:r>
          </w:p>
        </w:tc>
        <w:tc>
          <w:tcPr>
            <w:tcW w:w="553" w:type="pct"/>
            <w:vAlign w:val="center"/>
          </w:tcPr>
          <w:p w14:paraId="1808780D" w14:textId="3285A0E2" w:rsidR="004E5C74" w:rsidRPr="00781112" w:rsidRDefault="004E5C74" w:rsidP="004E5C74">
            <w:pPr>
              <w:jc w:val="center"/>
              <w:rPr>
                <w:rFonts w:cs="Arial"/>
                <w:color w:val="000000" w:themeColor="text1"/>
                <w:szCs w:val="16"/>
              </w:rPr>
            </w:pPr>
            <w:r w:rsidRPr="00781112">
              <w:rPr>
                <w:rFonts w:cs="Arial"/>
                <w:color w:val="000000" w:themeColor="text1"/>
                <w:szCs w:val="16"/>
              </w:rPr>
              <w:t>18.50%</w:t>
            </w:r>
          </w:p>
        </w:tc>
      </w:tr>
      <w:tr w:rsidR="004E5C74" w:rsidRPr="00781112" w14:paraId="7A08D372" w14:textId="5FBBCE88" w:rsidTr="009E026B">
        <w:tc>
          <w:tcPr>
            <w:tcW w:w="555" w:type="pct"/>
            <w:shd w:val="clear" w:color="auto" w:fill="auto"/>
            <w:vAlign w:val="center"/>
          </w:tcPr>
          <w:p w14:paraId="3C8DF435" w14:textId="69FCCDF1"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Reading</w:t>
            </w:r>
          </w:p>
        </w:tc>
        <w:tc>
          <w:tcPr>
            <w:tcW w:w="556" w:type="pct"/>
            <w:shd w:val="clear" w:color="auto" w:fill="auto"/>
            <w:vAlign w:val="center"/>
          </w:tcPr>
          <w:p w14:paraId="2CDE7790" w14:textId="3B90C904"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C &gt;=</w:t>
            </w:r>
          </w:p>
        </w:tc>
        <w:tc>
          <w:tcPr>
            <w:tcW w:w="556" w:type="pct"/>
            <w:shd w:val="clear" w:color="auto" w:fill="auto"/>
            <w:vAlign w:val="center"/>
          </w:tcPr>
          <w:p w14:paraId="69727A60" w14:textId="2476755A"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HS</w:t>
            </w:r>
          </w:p>
        </w:tc>
        <w:tc>
          <w:tcPr>
            <w:tcW w:w="556" w:type="pct"/>
            <w:shd w:val="clear" w:color="auto" w:fill="auto"/>
            <w:vAlign w:val="center"/>
          </w:tcPr>
          <w:p w14:paraId="6D9D8EC6" w14:textId="3C7C8315" w:rsidR="004E5C74" w:rsidRPr="00781112" w:rsidRDefault="004E5C74" w:rsidP="004E5C74">
            <w:pPr>
              <w:jc w:val="center"/>
              <w:rPr>
                <w:rFonts w:cs="Arial"/>
                <w:color w:val="000000" w:themeColor="text1"/>
                <w:szCs w:val="16"/>
              </w:rPr>
            </w:pPr>
            <w:r w:rsidRPr="00781112">
              <w:rPr>
                <w:rFonts w:cs="Arial"/>
                <w:color w:val="000000" w:themeColor="text1"/>
                <w:szCs w:val="16"/>
              </w:rPr>
              <w:t>7.69%</w:t>
            </w:r>
          </w:p>
        </w:tc>
        <w:tc>
          <w:tcPr>
            <w:tcW w:w="556" w:type="pct"/>
            <w:vAlign w:val="center"/>
          </w:tcPr>
          <w:p w14:paraId="6F53672D" w14:textId="674E45B1" w:rsidR="004E5C74" w:rsidRPr="00781112" w:rsidRDefault="004E5C74" w:rsidP="004E5C74">
            <w:pPr>
              <w:jc w:val="center"/>
              <w:rPr>
                <w:rFonts w:cs="Arial"/>
                <w:color w:val="000000" w:themeColor="text1"/>
                <w:szCs w:val="16"/>
              </w:rPr>
            </w:pPr>
            <w:r w:rsidRPr="00781112">
              <w:rPr>
                <w:rFonts w:cs="Arial"/>
                <w:color w:val="000000" w:themeColor="text1"/>
                <w:szCs w:val="16"/>
              </w:rPr>
              <w:t>8.00%</w:t>
            </w:r>
          </w:p>
        </w:tc>
        <w:tc>
          <w:tcPr>
            <w:tcW w:w="556" w:type="pct"/>
            <w:vAlign w:val="center"/>
          </w:tcPr>
          <w:p w14:paraId="1E839895" w14:textId="3633076A" w:rsidR="004E5C74" w:rsidRPr="00781112" w:rsidRDefault="004E5C74" w:rsidP="004E5C74">
            <w:pPr>
              <w:jc w:val="center"/>
              <w:rPr>
                <w:rFonts w:cs="Arial"/>
                <w:color w:val="000000" w:themeColor="text1"/>
                <w:szCs w:val="16"/>
              </w:rPr>
            </w:pPr>
            <w:r w:rsidRPr="00781112">
              <w:rPr>
                <w:rFonts w:cs="Arial"/>
                <w:color w:val="000000" w:themeColor="text1"/>
                <w:szCs w:val="16"/>
              </w:rPr>
              <w:t>10.00%</w:t>
            </w:r>
          </w:p>
        </w:tc>
        <w:tc>
          <w:tcPr>
            <w:tcW w:w="556" w:type="pct"/>
            <w:vAlign w:val="center"/>
          </w:tcPr>
          <w:p w14:paraId="64501470" w14:textId="22292C16" w:rsidR="004E5C74" w:rsidRPr="00781112" w:rsidRDefault="004E5C74" w:rsidP="004E5C74">
            <w:pPr>
              <w:jc w:val="center"/>
              <w:rPr>
                <w:rFonts w:cs="Arial"/>
                <w:color w:val="000000" w:themeColor="text1"/>
                <w:szCs w:val="16"/>
              </w:rPr>
            </w:pPr>
            <w:r w:rsidRPr="00781112">
              <w:rPr>
                <w:rFonts w:cs="Arial"/>
                <w:color w:val="000000" w:themeColor="text1"/>
                <w:szCs w:val="16"/>
              </w:rPr>
              <w:t>12.00%</w:t>
            </w:r>
          </w:p>
        </w:tc>
        <w:tc>
          <w:tcPr>
            <w:tcW w:w="556" w:type="pct"/>
            <w:vAlign w:val="center"/>
          </w:tcPr>
          <w:p w14:paraId="0CF7FF79" w14:textId="48B4AF2C" w:rsidR="004E5C74" w:rsidRPr="00781112" w:rsidRDefault="004E5C74" w:rsidP="004E5C74">
            <w:pPr>
              <w:jc w:val="center"/>
              <w:rPr>
                <w:rFonts w:cs="Arial"/>
                <w:color w:val="000000" w:themeColor="text1"/>
                <w:szCs w:val="16"/>
              </w:rPr>
            </w:pPr>
            <w:r w:rsidRPr="00781112">
              <w:rPr>
                <w:rFonts w:cs="Arial"/>
                <w:color w:val="000000" w:themeColor="text1"/>
                <w:szCs w:val="16"/>
              </w:rPr>
              <w:t>14.00%</w:t>
            </w:r>
          </w:p>
        </w:tc>
        <w:tc>
          <w:tcPr>
            <w:tcW w:w="553" w:type="pct"/>
            <w:vAlign w:val="center"/>
          </w:tcPr>
          <w:p w14:paraId="42EF1AD6" w14:textId="1D4F7F5D" w:rsidR="004E5C74" w:rsidRPr="00781112" w:rsidRDefault="004E5C74" w:rsidP="004E5C74">
            <w:pPr>
              <w:jc w:val="center"/>
              <w:rPr>
                <w:rFonts w:cs="Arial"/>
                <w:color w:val="000000" w:themeColor="text1"/>
                <w:szCs w:val="16"/>
              </w:rPr>
            </w:pPr>
            <w:r w:rsidRPr="00781112">
              <w:rPr>
                <w:rFonts w:cs="Arial"/>
                <w:color w:val="000000" w:themeColor="text1"/>
                <w:szCs w:val="16"/>
              </w:rPr>
              <w:t>16.00%</w:t>
            </w:r>
          </w:p>
        </w:tc>
      </w:tr>
      <w:tr w:rsidR="004E5C74" w:rsidRPr="00781112" w14:paraId="734BCCC4" w14:textId="02B757A8" w:rsidTr="009E026B">
        <w:tc>
          <w:tcPr>
            <w:tcW w:w="555" w:type="pct"/>
            <w:shd w:val="clear" w:color="auto" w:fill="auto"/>
            <w:vAlign w:val="center"/>
          </w:tcPr>
          <w:p w14:paraId="20286AC8" w14:textId="018C9C4D"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Math</w:t>
            </w:r>
          </w:p>
        </w:tc>
        <w:tc>
          <w:tcPr>
            <w:tcW w:w="556" w:type="pct"/>
            <w:shd w:val="clear" w:color="auto" w:fill="auto"/>
            <w:vAlign w:val="center"/>
          </w:tcPr>
          <w:p w14:paraId="185C8DA8" w14:textId="6254892D"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A &gt;=</w:t>
            </w:r>
          </w:p>
        </w:tc>
        <w:tc>
          <w:tcPr>
            <w:tcW w:w="556" w:type="pct"/>
            <w:shd w:val="clear" w:color="auto" w:fill="auto"/>
            <w:vAlign w:val="center"/>
          </w:tcPr>
          <w:p w14:paraId="16FD84A2" w14:textId="1BD2010B"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4</w:t>
            </w:r>
          </w:p>
        </w:tc>
        <w:tc>
          <w:tcPr>
            <w:tcW w:w="556" w:type="pct"/>
            <w:shd w:val="clear" w:color="auto" w:fill="auto"/>
            <w:vAlign w:val="center"/>
          </w:tcPr>
          <w:p w14:paraId="0005999A" w14:textId="601F796F" w:rsidR="004E5C74" w:rsidRPr="00781112" w:rsidRDefault="004E5C74" w:rsidP="004E5C74">
            <w:pPr>
              <w:jc w:val="center"/>
              <w:rPr>
                <w:rFonts w:cs="Arial"/>
                <w:color w:val="000000" w:themeColor="text1"/>
                <w:szCs w:val="16"/>
              </w:rPr>
            </w:pPr>
            <w:r w:rsidRPr="00781112">
              <w:rPr>
                <w:rFonts w:cs="Arial"/>
                <w:color w:val="000000" w:themeColor="text1"/>
                <w:szCs w:val="16"/>
              </w:rPr>
              <w:t>12.40%</w:t>
            </w:r>
          </w:p>
        </w:tc>
        <w:tc>
          <w:tcPr>
            <w:tcW w:w="556" w:type="pct"/>
            <w:vAlign w:val="center"/>
          </w:tcPr>
          <w:p w14:paraId="2ADA59C0" w14:textId="7F027C54" w:rsidR="004E5C74" w:rsidRPr="00781112" w:rsidRDefault="004E5C74" w:rsidP="004E5C74">
            <w:pPr>
              <w:jc w:val="center"/>
              <w:rPr>
                <w:rFonts w:cs="Arial"/>
                <w:color w:val="000000" w:themeColor="text1"/>
                <w:szCs w:val="16"/>
              </w:rPr>
            </w:pPr>
            <w:r w:rsidRPr="00781112">
              <w:rPr>
                <w:rFonts w:cs="Arial"/>
                <w:color w:val="000000" w:themeColor="text1"/>
                <w:szCs w:val="16"/>
              </w:rPr>
              <w:t>13.50%</w:t>
            </w:r>
          </w:p>
        </w:tc>
        <w:tc>
          <w:tcPr>
            <w:tcW w:w="556" w:type="pct"/>
            <w:vAlign w:val="center"/>
          </w:tcPr>
          <w:p w14:paraId="63258519" w14:textId="524B5DC2" w:rsidR="004E5C74" w:rsidRPr="00781112" w:rsidRDefault="004E5C74" w:rsidP="004E5C74">
            <w:pPr>
              <w:jc w:val="center"/>
              <w:rPr>
                <w:rFonts w:cs="Arial"/>
                <w:color w:val="000000" w:themeColor="text1"/>
                <w:szCs w:val="16"/>
              </w:rPr>
            </w:pPr>
            <w:r w:rsidRPr="00781112">
              <w:rPr>
                <w:rFonts w:cs="Arial"/>
                <w:color w:val="000000" w:themeColor="text1"/>
                <w:szCs w:val="16"/>
              </w:rPr>
              <w:t>15.50%</w:t>
            </w:r>
          </w:p>
        </w:tc>
        <w:tc>
          <w:tcPr>
            <w:tcW w:w="556" w:type="pct"/>
            <w:vAlign w:val="center"/>
          </w:tcPr>
          <w:p w14:paraId="4B2BD04F" w14:textId="59A32E65" w:rsidR="004E5C74" w:rsidRPr="00781112" w:rsidRDefault="004E5C74" w:rsidP="004E5C74">
            <w:pPr>
              <w:jc w:val="center"/>
              <w:rPr>
                <w:rFonts w:cs="Arial"/>
                <w:color w:val="000000" w:themeColor="text1"/>
                <w:szCs w:val="16"/>
              </w:rPr>
            </w:pPr>
            <w:r w:rsidRPr="00781112">
              <w:rPr>
                <w:rFonts w:cs="Arial"/>
                <w:color w:val="000000" w:themeColor="text1"/>
                <w:szCs w:val="16"/>
              </w:rPr>
              <w:t>17.50%</w:t>
            </w:r>
          </w:p>
        </w:tc>
        <w:tc>
          <w:tcPr>
            <w:tcW w:w="556" w:type="pct"/>
            <w:vAlign w:val="center"/>
          </w:tcPr>
          <w:p w14:paraId="2E366D74" w14:textId="47D73C6E" w:rsidR="004E5C74" w:rsidRPr="00781112" w:rsidRDefault="004E5C74" w:rsidP="004E5C74">
            <w:pPr>
              <w:jc w:val="center"/>
              <w:rPr>
                <w:rFonts w:cs="Arial"/>
                <w:color w:val="000000" w:themeColor="text1"/>
                <w:szCs w:val="16"/>
              </w:rPr>
            </w:pPr>
            <w:r w:rsidRPr="00781112">
              <w:rPr>
                <w:rFonts w:cs="Arial"/>
                <w:color w:val="000000" w:themeColor="text1"/>
                <w:szCs w:val="16"/>
              </w:rPr>
              <w:t>19.50%</w:t>
            </w:r>
          </w:p>
        </w:tc>
        <w:tc>
          <w:tcPr>
            <w:tcW w:w="553" w:type="pct"/>
            <w:vAlign w:val="center"/>
          </w:tcPr>
          <w:p w14:paraId="4EAA6E8B" w14:textId="65538945" w:rsidR="004E5C74" w:rsidRPr="00781112" w:rsidRDefault="004E5C74" w:rsidP="004E5C74">
            <w:pPr>
              <w:jc w:val="center"/>
              <w:rPr>
                <w:rFonts w:cs="Arial"/>
                <w:color w:val="000000" w:themeColor="text1"/>
                <w:szCs w:val="16"/>
              </w:rPr>
            </w:pPr>
            <w:r w:rsidRPr="00781112">
              <w:rPr>
                <w:rFonts w:cs="Arial"/>
                <w:color w:val="000000" w:themeColor="text1"/>
                <w:szCs w:val="16"/>
              </w:rPr>
              <w:t>21.50%</w:t>
            </w:r>
          </w:p>
        </w:tc>
      </w:tr>
      <w:tr w:rsidR="004E5C74" w:rsidRPr="00781112" w14:paraId="26043383" w14:textId="3D057A6F" w:rsidTr="009E026B">
        <w:tc>
          <w:tcPr>
            <w:tcW w:w="555" w:type="pct"/>
            <w:shd w:val="clear" w:color="auto" w:fill="auto"/>
            <w:vAlign w:val="center"/>
          </w:tcPr>
          <w:p w14:paraId="2BCD3006" w14:textId="785241B2"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Math</w:t>
            </w:r>
          </w:p>
        </w:tc>
        <w:tc>
          <w:tcPr>
            <w:tcW w:w="556" w:type="pct"/>
            <w:shd w:val="clear" w:color="auto" w:fill="auto"/>
            <w:vAlign w:val="center"/>
          </w:tcPr>
          <w:p w14:paraId="79B80F0C" w14:textId="52C31857"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B &gt;=</w:t>
            </w:r>
          </w:p>
        </w:tc>
        <w:tc>
          <w:tcPr>
            <w:tcW w:w="556" w:type="pct"/>
            <w:shd w:val="clear" w:color="auto" w:fill="auto"/>
            <w:vAlign w:val="center"/>
          </w:tcPr>
          <w:p w14:paraId="27B1E35D" w14:textId="336183AA"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8</w:t>
            </w:r>
          </w:p>
        </w:tc>
        <w:tc>
          <w:tcPr>
            <w:tcW w:w="556" w:type="pct"/>
            <w:shd w:val="clear" w:color="auto" w:fill="auto"/>
            <w:vAlign w:val="center"/>
          </w:tcPr>
          <w:p w14:paraId="25263A65" w14:textId="2189A9FC" w:rsidR="004E5C74" w:rsidRPr="00781112" w:rsidRDefault="004E5C74" w:rsidP="004E5C74">
            <w:pPr>
              <w:jc w:val="center"/>
              <w:rPr>
                <w:rFonts w:cs="Arial"/>
                <w:color w:val="000000" w:themeColor="text1"/>
                <w:szCs w:val="16"/>
              </w:rPr>
            </w:pPr>
            <w:r w:rsidRPr="00781112">
              <w:rPr>
                <w:rFonts w:cs="Arial"/>
                <w:color w:val="000000" w:themeColor="text1"/>
                <w:szCs w:val="16"/>
              </w:rPr>
              <w:t>4.88%</w:t>
            </w:r>
          </w:p>
        </w:tc>
        <w:tc>
          <w:tcPr>
            <w:tcW w:w="556" w:type="pct"/>
            <w:vAlign w:val="center"/>
          </w:tcPr>
          <w:p w14:paraId="558D49D9" w14:textId="56776B71" w:rsidR="004E5C74" w:rsidRPr="00781112" w:rsidRDefault="004E5C74" w:rsidP="004E5C74">
            <w:pPr>
              <w:jc w:val="center"/>
              <w:rPr>
                <w:rFonts w:cs="Arial"/>
                <w:color w:val="000000" w:themeColor="text1"/>
                <w:szCs w:val="16"/>
              </w:rPr>
            </w:pPr>
            <w:r w:rsidRPr="00781112">
              <w:rPr>
                <w:rFonts w:cs="Arial"/>
                <w:color w:val="000000" w:themeColor="text1"/>
                <w:szCs w:val="16"/>
              </w:rPr>
              <w:t>6.00%</w:t>
            </w:r>
          </w:p>
        </w:tc>
        <w:tc>
          <w:tcPr>
            <w:tcW w:w="556" w:type="pct"/>
            <w:vAlign w:val="center"/>
          </w:tcPr>
          <w:p w14:paraId="529C7F25" w14:textId="45E82B2D" w:rsidR="004E5C74" w:rsidRPr="00781112" w:rsidRDefault="004E5C74" w:rsidP="004E5C74">
            <w:pPr>
              <w:jc w:val="center"/>
              <w:rPr>
                <w:rFonts w:cs="Arial"/>
                <w:color w:val="000000" w:themeColor="text1"/>
                <w:szCs w:val="16"/>
              </w:rPr>
            </w:pPr>
            <w:r w:rsidRPr="00781112">
              <w:rPr>
                <w:rFonts w:cs="Arial"/>
                <w:color w:val="000000" w:themeColor="text1"/>
                <w:szCs w:val="16"/>
              </w:rPr>
              <w:t>8.00%</w:t>
            </w:r>
          </w:p>
        </w:tc>
        <w:tc>
          <w:tcPr>
            <w:tcW w:w="556" w:type="pct"/>
            <w:vAlign w:val="center"/>
          </w:tcPr>
          <w:p w14:paraId="0CD7F429" w14:textId="3C743F76" w:rsidR="004E5C74" w:rsidRPr="00781112" w:rsidRDefault="004E5C74" w:rsidP="004E5C74">
            <w:pPr>
              <w:jc w:val="center"/>
              <w:rPr>
                <w:rFonts w:cs="Arial"/>
                <w:color w:val="000000" w:themeColor="text1"/>
                <w:szCs w:val="16"/>
              </w:rPr>
            </w:pPr>
            <w:r w:rsidRPr="00781112">
              <w:rPr>
                <w:rFonts w:cs="Arial"/>
                <w:color w:val="000000" w:themeColor="text1"/>
                <w:szCs w:val="16"/>
              </w:rPr>
              <w:t>10.00%</w:t>
            </w:r>
          </w:p>
        </w:tc>
        <w:tc>
          <w:tcPr>
            <w:tcW w:w="556" w:type="pct"/>
            <w:vAlign w:val="center"/>
          </w:tcPr>
          <w:p w14:paraId="32C7804D" w14:textId="4585EF77" w:rsidR="004E5C74" w:rsidRPr="00781112" w:rsidRDefault="004E5C74" w:rsidP="004E5C74">
            <w:pPr>
              <w:jc w:val="center"/>
              <w:rPr>
                <w:rFonts w:cs="Arial"/>
                <w:color w:val="000000" w:themeColor="text1"/>
                <w:szCs w:val="16"/>
              </w:rPr>
            </w:pPr>
            <w:r w:rsidRPr="00781112">
              <w:rPr>
                <w:rFonts w:cs="Arial"/>
                <w:color w:val="000000" w:themeColor="text1"/>
                <w:szCs w:val="16"/>
              </w:rPr>
              <w:t>12.00%</w:t>
            </w:r>
          </w:p>
        </w:tc>
        <w:tc>
          <w:tcPr>
            <w:tcW w:w="553" w:type="pct"/>
            <w:vAlign w:val="center"/>
          </w:tcPr>
          <w:p w14:paraId="1636C34D" w14:textId="4A778D79" w:rsidR="004E5C74" w:rsidRPr="00781112" w:rsidRDefault="004E5C74" w:rsidP="004E5C74">
            <w:pPr>
              <w:jc w:val="center"/>
              <w:rPr>
                <w:rFonts w:cs="Arial"/>
                <w:color w:val="000000" w:themeColor="text1"/>
                <w:szCs w:val="16"/>
              </w:rPr>
            </w:pPr>
            <w:r w:rsidRPr="00781112">
              <w:rPr>
                <w:rFonts w:cs="Arial"/>
                <w:color w:val="000000" w:themeColor="text1"/>
                <w:szCs w:val="16"/>
              </w:rPr>
              <w:t>14.00%</w:t>
            </w:r>
          </w:p>
        </w:tc>
      </w:tr>
      <w:tr w:rsidR="004E5C74" w:rsidRPr="00781112" w14:paraId="169D5323" w14:textId="1CB4A506" w:rsidTr="009E026B">
        <w:tc>
          <w:tcPr>
            <w:tcW w:w="555" w:type="pct"/>
            <w:shd w:val="clear" w:color="auto" w:fill="auto"/>
            <w:vAlign w:val="center"/>
          </w:tcPr>
          <w:p w14:paraId="21DAE194" w14:textId="06AF539C"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Math</w:t>
            </w:r>
          </w:p>
        </w:tc>
        <w:tc>
          <w:tcPr>
            <w:tcW w:w="556" w:type="pct"/>
            <w:shd w:val="clear" w:color="auto" w:fill="auto"/>
            <w:vAlign w:val="center"/>
          </w:tcPr>
          <w:p w14:paraId="650CB8D7" w14:textId="080D022D"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C &gt;=</w:t>
            </w:r>
          </w:p>
        </w:tc>
        <w:tc>
          <w:tcPr>
            <w:tcW w:w="556" w:type="pct"/>
            <w:shd w:val="clear" w:color="auto" w:fill="auto"/>
            <w:vAlign w:val="center"/>
          </w:tcPr>
          <w:p w14:paraId="45DBFB21" w14:textId="372229DD"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HS</w:t>
            </w:r>
          </w:p>
        </w:tc>
        <w:tc>
          <w:tcPr>
            <w:tcW w:w="556" w:type="pct"/>
            <w:shd w:val="clear" w:color="auto" w:fill="auto"/>
            <w:vAlign w:val="center"/>
          </w:tcPr>
          <w:p w14:paraId="341BF449" w14:textId="76191C29" w:rsidR="004E5C74" w:rsidRPr="00781112" w:rsidRDefault="004E5C74" w:rsidP="004E5C74">
            <w:pPr>
              <w:jc w:val="center"/>
              <w:rPr>
                <w:rFonts w:cs="Arial"/>
                <w:color w:val="000000" w:themeColor="text1"/>
                <w:szCs w:val="16"/>
              </w:rPr>
            </w:pPr>
            <w:r w:rsidRPr="00781112">
              <w:rPr>
                <w:rFonts w:cs="Arial"/>
                <w:color w:val="000000" w:themeColor="text1"/>
                <w:szCs w:val="16"/>
              </w:rPr>
              <w:t>5.59%</w:t>
            </w:r>
          </w:p>
        </w:tc>
        <w:tc>
          <w:tcPr>
            <w:tcW w:w="556" w:type="pct"/>
            <w:vAlign w:val="center"/>
          </w:tcPr>
          <w:p w14:paraId="5424FF66" w14:textId="7AB6DE06" w:rsidR="004E5C74" w:rsidRPr="00781112" w:rsidRDefault="004E5C74" w:rsidP="004E5C74">
            <w:pPr>
              <w:jc w:val="center"/>
              <w:rPr>
                <w:rFonts w:cs="Arial"/>
                <w:color w:val="000000" w:themeColor="text1"/>
                <w:szCs w:val="16"/>
              </w:rPr>
            </w:pPr>
            <w:r w:rsidRPr="00781112">
              <w:rPr>
                <w:rFonts w:cs="Arial"/>
                <w:color w:val="000000" w:themeColor="text1"/>
                <w:szCs w:val="16"/>
              </w:rPr>
              <w:t>7.00%</w:t>
            </w:r>
          </w:p>
        </w:tc>
        <w:tc>
          <w:tcPr>
            <w:tcW w:w="556" w:type="pct"/>
            <w:vAlign w:val="center"/>
          </w:tcPr>
          <w:p w14:paraId="552DC3D3" w14:textId="79B2C0C8" w:rsidR="004E5C74" w:rsidRPr="00781112" w:rsidRDefault="004E5C74" w:rsidP="004E5C74">
            <w:pPr>
              <w:jc w:val="center"/>
              <w:rPr>
                <w:rFonts w:cs="Arial"/>
                <w:color w:val="000000" w:themeColor="text1"/>
                <w:szCs w:val="16"/>
              </w:rPr>
            </w:pPr>
            <w:r w:rsidRPr="00781112">
              <w:rPr>
                <w:rFonts w:cs="Arial"/>
                <w:color w:val="000000" w:themeColor="text1"/>
                <w:szCs w:val="16"/>
              </w:rPr>
              <w:t>9.00%</w:t>
            </w:r>
          </w:p>
        </w:tc>
        <w:tc>
          <w:tcPr>
            <w:tcW w:w="556" w:type="pct"/>
            <w:vAlign w:val="center"/>
          </w:tcPr>
          <w:p w14:paraId="4ECE9215" w14:textId="1D6B1BD9" w:rsidR="004E5C74" w:rsidRPr="00781112" w:rsidRDefault="004E5C74" w:rsidP="004E5C74">
            <w:pPr>
              <w:jc w:val="center"/>
              <w:rPr>
                <w:rFonts w:cs="Arial"/>
                <w:color w:val="000000" w:themeColor="text1"/>
                <w:szCs w:val="16"/>
              </w:rPr>
            </w:pPr>
            <w:r w:rsidRPr="00781112">
              <w:rPr>
                <w:rFonts w:cs="Arial"/>
                <w:color w:val="000000" w:themeColor="text1"/>
                <w:szCs w:val="16"/>
              </w:rPr>
              <w:t>11.00%</w:t>
            </w:r>
          </w:p>
        </w:tc>
        <w:tc>
          <w:tcPr>
            <w:tcW w:w="556" w:type="pct"/>
            <w:vAlign w:val="center"/>
          </w:tcPr>
          <w:p w14:paraId="6E3EC3AC" w14:textId="066F1EBD" w:rsidR="004E5C74" w:rsidRPr="00781112" w:rsidRDefault="004E5C74" w:rsidP="004E5C74">
            <w:pPr>
              <w:jc w:val="center"/>
              <w:rPr>
                <w:rFonts w:cs="Arial"/>
                <w:color w:val="000000" w:themeColor="text1"/>
                <w:szCs w:val="16"/>
              </w:rPr>
            </w:pPr>
            <w:r w:rsidRPr="00781112">
              <w:rPr>
                <w:rFonts w:cs="Arial"/>
                <w:color w:val="000000" w:themeColor="text1"/>
                <w:szCs w:val="16"/>
              </w:rPr>
              <w:t>13.00%</w:t>
            </w:r>
          </w:p>
        </w:tc>
        <w:tc>
          <w:tcPr>
            <w:tcW w:w="553" w:type="pct"/>
            <w:vAlign w:val="center"/>
          </w:tcPr>
          <w:p w14:paraId="592B887B" w14:textId="09CB9AAC" w:rsidR="004E5C74" w:rsidRPr="00781112" w:rsidRDefault="004E5C74" w:rsidP="004E5C74">
            <w:pPr>
              <w:jc w:val="center"/>
              <w:rPr>
                <w:rFonts w:cs="Arial"/>
                <w:color w:val="000000" w:themeColor="text1"/>
                <w:szCs w:val="16"/>
              </w:rPr>
            </w:pPr>
            <w:r w:rsidRPr="00781112">
              <w:rPr>
                <w:rFonts w:cs="Arial"/>
                <w:color w:val="000000" w:themeColor="text1"/>
                <w:szCs w:val="16"/>
              </w:rPr>
              <w:t>15.00%</w:t>
            </w:r>
          </w:p>
        </w:tc>
      </w:tr>
    </w:tbl>
    <w:p w14:paraId="102C9294" w14:textId="426FC0A1" w:rsidR="002D145D" w:rsidRPr="00781112" w:rsidRDefault="002D145D" w:rsidP="004369B2">
      <w:pPr>
        <w:rPr>
          <w:b/>
          <w:color w:val="000000" w:themeColor="text1"/>
        </w:rPr>
      </w:pPr>
      <w:r w:rsidRPr="00781112">
        <w:rPr>
          <w:b/>
          <w:color w:val="000000" w:themeColor="text1"/>
        </w:rPr>
        <w:t xml:space="preserve">Targets: Description of Stakeholder Input </w:t>
      </w:r>
    </w:p>
    <w:p w14:paraId="18FFE566" w14:textId="1BC11D3C" w:rsidR="002D145D" w:rsidRPr="00781112" w:rsidRDefault="002B7490" w:rsidP="002D145D">
      <w:pPr>
        <w:rPr>
          <w:rFonts w:cs="Arial"/>
          <w:color w:val="000000" w:themeColor="text1"/>
          <w:szCs w:val="16"/>
        </w:rPr>
      </w:pPr>
      <w:r w:rsidRPr="00781112">
        <w:rPr>
          <w:rFonts w:cs="Arial"/>
          <w:color w:val="000000" w:themeColor="text1"/>
          <w:szCs w:val="16"/>
        </w:rPr>
        <w:t>Louisiana has developed a comprehensive vision for the future of education in our state—Louisiana Believes. The driving force of this vision is that every one of Louisiana’s children should be on track to a college degree or a professional career. This inclusive vision and Louisiana’s values were apparent in the development of the SPP as we solicited and received broad stakeholder input to inform the target setting process for FFY 2020 - FFY 2025. The LDOE used three phases to develop the SPP targets for FFY 2020 - FFY 2025: 1) internal review, 2) external stakeholder feedback, and 3) Special Education Advisory Panel (SEAP) integration.</w:t>
      </w:r>
      <w:r w:rsidRPr="00781112">
        <w:rPr>
          <w:rFonts w:cs="Arial"/>
          <w:color w:val="000000" w:themeColor="text1"/>
          <w:szCs w:val="16"/>
        </w:rPr>
        <w:br/>
      </w:r>
      <w:r w:rsidRPr="00781112">
        <w:rPr>
          <w:rFonts w:cs="Arial"/>
          <w:color w:val="000000" w:themeColor="text1"/>
          <w:szCs w:val="16"/>
        </w:rPr>
        <w:br/>
        <w:t xml:space="preserve">Internal Review </w:t>
      </w:r>
      <w:r w:rsidRPr="00781112">
        <w:rPr>
          <w:rFonts w:cs="Arial"/>
          <w:color w:val="000000" w:themeColor="text1"/>
          <w:szCs w:val="16"/>
        </w:rPr>
        <w:br/>
        <w:t xml:space="preserve">The LDOE's Division for Diverse Learners reviewed historical data and LDOE policies, procedures, and practices; and collaborated with internal teams to develop targets that were rigorous and attainable. </w:t>
      </w:r>
      <w:r w:rsidRPr="00781112">
        <w:rPr>
          <w:rFonts w:cs="Arial"/>
          <w:color w:val="000000" w:themeColor="text1"/>
          <w:szCs w:val="16"/>
        </w:rPr>
        <w:br/>
      </w:r>
      <w:r w:rsidRPr="00781112">
        <w:rPr>
          <w:rFonts w:cs="Arial"/>
          <w:color w:val="000000" w:themeColor="text1"/>
          <w:szCs w:val="16"/>
        </w:rPr>
        <w:br/>
        <w:t>External Stakeholder Feedback</w:t>
      </w:r>
      <w:r w:rsidRPr="00781112">
        <w:rPr>
          <w:rFonts w:cs="Arial"/>
          <w:color w:val="000000" w:themeColor="text1"/>
          <w:szCs w:val="16"/>
        </w:rPr>
        <w:br/>
      </w:r>
      <w:r w:rsidRPr="00781112">
        <w:rPr>
          <w:rFonts w:cs="Arial"/>
          <w:color w:val="000000" w:themeColor="text1"/>
          <w:szCs w:val="16"/>
        </w:rPr>
        <w:lastRenderedPageBreak/>
        <w:t xml:space="preserve">The Division for Diverse Learners developed and executed an SPP/APR target setting engagement strategy to solicit broad stakeholder feedback on the FFY 2020 - FFY 2025 targets. The LDOE developed a State Performance Plan / Annual Performance Report Target Setting webpage on the Louisiana Believes website. The webpage contains an overview document with an explanation of each indicator, historical data for each indicator, and tables to clearly identify whether or not the State met targets for each indicator. After review of the overview document, a target setting survey was available for stakeholders to provide input on targets. </w:t>
      </w:r>
      <w:r w:rsidRPr="00781112">
        <w:rPr>
          <w:rFonts w:cs="Arial"/>
          <w:color w:val="000000" w:themeColor="text1"/>
          <w:szCs w:val="16"/>
        </w:rPr>
        <w:br/>
      </w:r>
      <w:r w:rsidRPr="00781112">
        <w:rPr>
          <w:rFonts w:cs="Arial"/>
          <w:color w:val="000000" w:themeColor="text1"/>
          <w:szCs w:val="16"/>
        </w:rPr>
        <w:br/>
        <w:t>SEAP Integration</w:t>
      </w:r>
      <w:r w:rsidRPr="00781112">
        <w:rPr>
          <w:rFonts w:cs="Arial"/>
          <w:color w:val="000000" w:themeColor="text1"/>
          <w:szCs w:val="16"/>
        </w:rPr>
        <w:br/>
        <w:t>The LDOE informed the SEAP on the target setting process at two separate meetings. LDOE provided an overview of each indicator along with historical data to SEAP members who provided input. SEAP's structure also allows for public comments, which were exercised at the meetings, providing external stakeholder feedback.</w:t>
      </w:r>
      <w:r w:rsidRPr="00781112">
        <w:rPr>
          <w:rFonts w:cs="Arial"/>
          <w:color w:val="000000" w:themeColor="text1"/>
          <w:szCs w:val="16"/>
        </w:rPr>
        <w:br/>
      </w:r>
      <w:r w:rsidRPr="00781112">
        <w:rPr>
          <w:rFonts w:cs="Arial"/>
          <w:color w:val="000000" w:themeColor="text1"/>
          <w:szCs w:val="16"/>
        </w:rPr>
        <w:br/>
        <w:t>The LDOE set targets based on feedback, historical data, and whether previous targets set were met. LDOE will continue to monitor data, targets, and changes to Indicator methodology, and may revise targets in the future, as necessary. Any revisions will incorporate stakeholder feedback, including, but not limited to, SEAP.</w:t>
      </w:r>
    </w:p>
    <w:p w14:paraId="2C104549" w14:textId="03A0AB0D" w:rsidR="002D145D" w:rsidRPr="00781112" w:rsidRDefault="002D145D" w:rsidP="002D145D">
      <w:pPr>
        <w:rPr>
          <w:rFonts w:cs="Arial"/>
          <w:color w:val="000000" w:themeColor="text1"/>
          <w:szCs w:val="16"/>
        </w:rPr>
      </w:pPr>
    </w:p>
    <w:p w14:paraId="2446B7C2" w14:textId="77777777" w:rsidR="00F20369" w:rsidRPr="00781112" w:rsidRDefault="00F20369" w:rsidP="004369B2">
      <w:pPr>
        <w:rPr>
          <w:color w:val="000000" w:themeColor="text1"/>
        </w:rPr>
      </w:pPr>
      <w:bookmarkStart w:id="14" w:name="_Toc392159273"/>
    </w:p>
    <w:p w14:paraId="2F64E7B3" w14:textId="68D4A963" w:rsidR="00344AE0" w:rsidRPr="00781112" w:rsidRDefault="00F6415A">
      <w:pPr>
        <w:rPr>
          <w:b/>
          <w:color w:val="000000" w:themeColor="text1"/>
        </w:rPr>
      </w:pPr>
      <w:r w:rsidRPr="00781112">
        <w:rPr>
          <w:b/>
          <w:color w:val="000000" w:themeColor="text1"/>
        </w:rPr>
        <w:t>FFY 2020 Data Disaggregation from EDFacts</w:t>
      </w:r>
    </w:p>
    <w:p w14:paraId="6BDCF123"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Data Source:  </w:t>
      </w:r>
    </w:p>
    <w:p w14:paraId="5EBDA348" w14:textId="4BF943DC" w:rsidR="00C470E8" w:rsidRPr="00781112" w:rsidRDefault="002B7490" w:rsidP="00552927">
      <w:pPr>
        <w:rPr>
          <w:rFonts w:cs="Arial"/>
          <w:color w:val="000000" w:themeColor="text1"/>
          <w:szCs w:val="16"/>
        </w:rPr>
      </w:pPr>
      <w:r w:rsidRPr="00781112">
        <w:rPr>
          <w:rFonts w:cs="Arial"/>
          <w:color w:val="000000" w:themeColor="text1"/>
          <w:szCs w:val="16"/>
        </w:rPr>
        <w:t>SY 2020-21 Assessment Data Groups - Reading (EDFacts file spec FS178; Data Group: 584)</w:t>
      </w:r>
    </w:p>
    <w:p w14:paraId="435988E5"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Date: </w:t>
      </w:r>
    </w:p>
    <w:p w14:paraId="1E2D8106" w14:textId="34AD25B1" w:rsidR="00344AE0" w:rsidRPr="00781112" w:rsidRDefault="002B7490" w:rsidP="00552927">
      <w:pPr>
        <w:rPr>
          <w:rFonts w:cs="Arial"/>
          <w:color w:val="000000" w:themeColor="text1"/>
          <w:szCs w:val="16"/>
        </w:rPr>
      </w:pPr>
      <w:r w:rsidRPr="00781112">
        <w:rPr>
          <w:rFonts w:cs="Arial"/>
          <w:color w:val="000000" w:themeColor="text1"/>
          <w:szCs w:val="16"/>
        </w:rPr>
        <w:t>03/03/2022</w:t>
      </w:r>
    </w:p>
    <w:p w14:paraId="59BC6B2E" w14:textId="718BB7D0" w:rsidR="009D0D68" w:rsidRPr="00781112" w:rsidRDefault="00FE2056">
      <w:pPr>
        <w:rPr>
          <w:b/>
          <w:color w:val="000000" w:themeColor="text1"/>
        </w:rPr>
      </w:pPr>
      <w:r w:rsidRPr="00781112">
        <w:rPr>
          <w:b/>
          <w:color w:val="000000" w:themeColor="text1"/>
        </w:rPr>
        <w:t>Reading Assessment Proficiency Data by Grade</w:t>
      </w:r>
    </w:p>
    <w:tbl>
      <w:tblPr>
        <w:tblStyle w:val="TableGrid"/>
        <w:tblW w:w="5000" w:type="pct"/>
        <w:tblLayout w:type="fixed"/>
        <w:tblLook w:val="04A0" w:firstRow="1" w:lastRow="0" w:firstColumn="1" w:lastColumn="0" w:noHBand="0" w:noVBand="1"/>
        <w:tblCaption w:val="B03BASSPARTDATABYGRDRLA"/>
      </w:tblPr>
      <w:tblGrid>
        <w:gridCol w:w="2426"/>
        <w:gridCol w:w="2788"/>
        <w:gridCol w:w="2788"/>
        <w:gridCol w:w="2788"/>
      </w:tblGrid>
      <w:tr w:rsidR="00BB2745" w:rsidRPr="00781112" w14:paraId="35CB1461" w14:textId="77777777" w:rsidTr="009E026B">
        <w:tc>
          <w:tcPr>
            <w:tcW w:w="1124" w:type="pct"/>
            <w:shd w:val="clear" w:color="auto" w:fill="auto"/>
          </w:tcPr>
          <w:p w14:paraId="39D40F16" w14:textId="18178F77" w:rsidR="00BB2745" w:rsidRPr="00781112" w:rsidRDefault="00835EAD" w:rsidP="00BB2745">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17538CC6" w14:textId="5AE78718" w:rsidR="00BB2745" w:rsidRPr="00781112" w:rsidRDefault="00BB2745"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7B4C40DF" w14:textId="7F368CC4" w:rsidR="00BB2745" w:rsidRPr="00781112" w:rsidRDefault="00BB2745"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3761AD03" w14:textId="6AC32E5E" w:rsidR="00BB2745" w:rsidRPr="00781112" w:rsidRDefault="00BB2745" w:rsidP="00E14CF0">
            <w:pPr>
              <w:jc w:val="center"/>
              <w:rPr>
                <w:rFonts w:cs="Arial"/>
                <w:b/>
                <w:bCs/>
                <w:color w:val="000000" w:themeColor="text1"/>
                <w:szCs w:val="16"/>
              </w:rPr>
            </w:pPr>
            <w:r w:rsidRPr="00781112">
              <w:rPr>
                <w:rFonts w:cs="Arial"/>
                <w:b/>
                <w:bCs/>
                <w:color w:val="000000" w:themeColor="text1"/>
                <w:szCs w:val="16"/>
              </w:rPr>
              <w:t>Grade HS</w:t>
            </w:r>
          </w:p>
        </w:tc>
      </w:tr>
      <w:tr w:rsidR="003B0C91" w:rsidRPr="00781112" w14:paraId="568B2C00" w14:textId="77777777" w:rsidTr="009E026B">
        <w:tc>
          <w:tcPr>
            <w:tcW w:w="1124" w:type="pct"/>
            <w:shd w:val="clear" w:color="auto" w:fill="auto"/>
          </w:tcPr>
          <w:p w14:paraId="4AD99060" w14:textId="5CD6AD07" w:rsidR="003B0C91" w:rsidRPr="00781112" w:rsidRDefault="003B0C91" w:rsidP="003B0C91">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17848320" w14:textId="2D89B216" w:rsidR="003B0C91" w:rsidRPr="00781112" w:rsidRDefault="003B0C91" w:rsidP="00360DD6">
            <w:pPr>
              <w:jc w:val="center"/>
              <w:rPr>
                <w:rFonts w:cs="Arial"/>
                <w:color w:val="000000" w:themeColor="text1"/>
                <w:szCs w:val="16"/>
              </w:rPr>
            </w:pPr>
            <w:r w:rsidRPr="00781112">
              <w:rPr>
                <w:rFonts w:cs="Arial"/>
                <w:color w:val="000000" w:themeColor="text1"/>
                <w:szCs w:val="16"/>
              </w:rPr>
              <w:t>6,100</w:t>
            </w:r>
          </w:p>
        </w:tc>
        <w:tc>
          <w:tcPr>
            <w:tcW w:w="1292" w:type="pct"/>
            <w:shd w:val="clear" w:color="auto" w:fill="auto"/>
            <w:vAlign w:val="center"/>
          </w:tcPr>
          <w:p w14:paraId="51A72AB5" w14:textId="4469B046" w:rsidR="003B0C91" w:rsidRPr="00781112" w:rsidRDefault="003B0C91" w:rsidP="00360DD6">
            <w:pPr>
              <w:jc w:val="center"/>
              <w:rPr>
                <w:rFonts w:cs="Arial"/>
                <w:color w:val="000000" w:themeColor="text1"/>
                <w:szCs w:val="16"/>
              </w:rPr>
            </w:pPr>
            <w:r w:rsidRPr="00781112">
              <w:rPr>
                <w:rFonts w:cs="Arial"/>
                <w:color w:val="000000" w:themeColor="text1"/>
                <w:szCs w:val="16"/>
              </w:rPr>
              <w:t>5,164</w:t>
            </w:r>
          </w:p>
        </w:tc>
        <w:tc>
          <w:tcPr>
            <w:tcW w:w="1292" w:type="pct"/>
            <w:shd w:val="clear" w:color="auto" w:fill="auto"/>
            <w:vAlign w:val="center"/>
          </w:tcPr>
          <w:p w14:paraId="151E318E" w14:textId="46F9C307" w:rsidR="003B0C91" w:rsidRPr="00781112" w:rsidRDefault="003B0C91" w:rsidP="00360DD6">
            <w:pPr>
              <w:jc w:val="center"/>
              <w:rPr>
                <w:rFonts w:cs="Arial"/>
                <w:color w:val="000000" w:themeColor="text1"/>
                <w:szCs w:val="16"/>
              </w:rPr>
            </w:pPr>
            <w:r w:rsidRPr="00781112">
              <w:rPr>
                <w:rFonts w:cs="Arial"/>
                <w:color w:val="000000" w:themeColor="text1"/>
                <w:szCs w:val="16"/>
              </w:rPr>
              <w:t>4,591</w:t>
            </w:r>
          </w:p>
        </w:tc>
      </w:tr>
      <w:tr w:rsidR="003B0C91" w:rsidRPr="00781112" w14:paraId="4F287E15" w14:textId="77777777" w:rsidTr="009E026B">
        <w:tc>
          <w:tcPr>
            <w:tcW w:w="1124" w:type="pct"/>
            <w:shd w:val="clear" w:color="auto" w:fill="auto"/>
          </w:tcPr>
          <w:p w14:paraId="3423EDAB" w14:textId="76BBADB8" w:rsidR="003B0C91" w:rsidRPr="00781112" w:rsidRDefault="003B0C91" w:rsidP="003B0C91">
            <w:pPr>
              <w:rPr>
                <w:rFonts w:cs="Arial"/>
                <w:color w:val="000000" w:themeColor="text1"/>
                <w:szCs w:val="16"/>
              </w:rPr>
            </w:pPr>
            <w:r w:rsidRPr="00781112">
              <w:rPr>
                <w:rFonts w:cs="Arial"/>
                <w:szCs w:val="16"/>
                <w:shd w:val="clear" w:color="auto" w:fill="FFFFFF"/>
              </w:rPr>
              <w:t xml:space="preserve">b. </w:t>
            </w:r>
            <w:r w:rsidR="005527CB">
              <w:rPr>
                <w:rFonts w:cs="Arial"/>
                <w:color w:val="000000" w:themeColor="text1"/>
                <w:szCs w:val="16"/>
              </w:rPr>
              <w:t xml:space="preserve">Children with </w:t>
            </w:r>
            <w:r w:rsidRPr="00781112">
              <w:rPr>
                <w:rFonts w:cs="Arial"/>
                <w:szCs w:val="16"/>
                <w:shd w:val="clear" w:color="auto" w:fill="FFFFFF"/>
              </w:rPr>
              <w:t>IEPs in regular assessment with no accommodations scored at or above proficient against grade level</w:t>
            </w:r>
          </w:p>
        </w:tc>
        <w:tc>
          <w:tcPr>
            <w:tcW w:w="1292" w:type="pct"/>
            <w:shd w:val="clear" w:color="auto" w:fill="auto"/>
            <w:vAlign w:val="center"/>
          </w:tcPr>
          <w:p w14:paraId="616181A6" w14:textId="2B02EF7A" w:rsidR="003B0C91" w:rsidRPr="00781112" w:rsidRDefault="003B0C91" w:rsidP="00360DD6">
            <w:pPr>
              <w:jc w:val="center"/>
              <w:rPr>
                <w:rFonts w:cs="Arial"/>
                <w:color w:val="000000" w:themeColor="text1"/>
                <w:szCs w:val="16"/>
              </w:rPr>
            </w:pPr>
            <w:r w:rsidRPr="00781112">
              <w:rPr>
                <w:rFonts w:cs="Arial"/>
                <w:color w:val="000000" w:themeColor="text1"/>
                <w:szCs w:val="16"/>
              </w:rPr>
              <w:t>489</w:t>
            </w:r>
          </w:p>
        </w:tc>
        <w:tc>
          <w:tcPr>
            <w:tcW w:w="1292" w:type="pct"/>
            <w:shd w:val="clear" w:color="auto" w:fill="auto"/>
            <w:vAlign w:val="center"/>
          </w:tcPr>
          <w:p w14:paraId="74B7B6E9" w14:textId="4E36B377" w:rsidR="003B0C91" w:rsidRPr="00781112" w:rsidRDefault="003B0C91" w:rsidP="00360DD6">
            <w:pPr>
              <w:jc w:val="center"/>
              <w:rPr>
                <w:rFonts w:cs="Arial"/>
                <w:color w:val="000000" w:themeColor="text1"/>
                <w:szCs w:val="16"/>
              </w:rPr>
            </w:pPr>
            <w:r w:rsidRPr="00781112">
              <w:rPr>
                <w:rFonts w:cs="Arial"/>
                <w:color w:val="000000" w:themeColor="text1"/>
                <w:szCs w:val="16"/>
              </w:rPr>
              <w:t>85</w:t>
            </w:r>
          </w:p>
        </w:tc>
        <w:tc>
          <w:tcPr>
            <w:tcW w:w="1292" w:type="pct"/>
            <w:shd w:val="clear" w:color="auto" w:fill="auto"/>
            <w:vAlign w:val="center"/>
          </w:tcPr>
          <w:p w14:paraId="46F10147" w14:textId="1408D78A" w:rsidR="003B0C91" w:rsidRPr="00781112" w:rsidRDefault="003B0C91" w:rsidP="00360DD6">
            <w:pPr>
              <w:jc w:val="center"/>
              <w:rPr>
                <w:rFonts w:cs="Arial"/>
                <w:color w:val="000000" w:themeColor="text1"/>
                <w:szCs w:val="16"/>
              </w:rPr>
            </w:pPr>
            <w:r w:rsidRPr="00781112">
              <w:rPr>
                <w:rFonts w:cs="Arial"/>
                <w:color w:val="000000" w:themeColor="text1"/>
                <w:szCs w:val="16"/>
              </w:rPr>
              <w:t>52</w:t>
            </w:r>
          </w:p>
        </w:tc>
      </w:tr>
      <w:tr w:rsidR="003B0C91" w:rsidRPr="00781112" w14:paraId="41239D5E" w14:textId="77777777" w:rsidTr="009E026B">
        <w:tc>
          <w:tcPr>
            <w:tcW w:w="1124" w:type="pct"/>
            <w:shd w:val="clear" w:color="auto" w:fill="auto"/>
          </w:tcPr>
          <w:p w14:paraId="5F79CC0F" w14:textId="181C3E67" w:rsidR="003B0C91" w:rsidRPr="00781112" w:rsidRDefault="003B0C91" w:rsidP="003B0C91">
            <w:pPr>
              <w:rPr>
                <w:rFonts w:cs="Arial"/>
                <w:color w:val="000000" w:themeColor="text1"/>
                <w:szCs w:val="16"/>
              </w:rPr>
            </w:pPr>
            <w:r w:rsidRPr="00781112">
              <w:rPr>
                <w:rFonts w:cs="Arial"/>
                <w:szCs w:val="16"/>
                <w:shd w:val="clear" w:color="auto" w:fill="FFFFFF"/>
              </w:rPr>
              <w:t xml:space="preserve">c. </w:t>
            </w:r>
            <w:r w:rsidR="005527CB">
              <w:rPr>
                <w:rFonts w:cs="Arial"/>
                <w:color w:val="000000" w:themeColor="text1"/>
                <w:szCs w:val="16"/>
              </w:rPr>
              <w:t xml:space="preserve">Children with </w:t>
            </w:r>
            <w:r w:rsidRPr="00781112">
              <w:rPr>
                <w:rFonts w:cs="Arial"/>
                <w:szCs w:val="16"/>
                <w:shd w:val="clear" w:color="auto" w:fill="FFFFFF"/>
              </w:rPr>
              <w:t>IEPs in regular assessment with accommodations scored at or above proficient against grade level</w:t>
            </w:r>
          </w:p>
        </w:tc>
        <w:tc>
          <w:tcPr>
            <w:tcW w:w="1292" w:type="pct"/>
            <w:shd w:val="clear" w:color="auto" w:fill="auto"/>
            <w:vAlign w:val="center"/>
          </w:tcPr>
          <w:p w14:paraId="5E9652E2" w14:textId="24316F52" w:rsidR="003B0C91" w:rsidRPr="00781112" w:rsidRDefault="003B0C91" w:rsidP="00360DD6">
            <w:pPr>
              <w:jc w:val="center"/>
              <w:rPr>
                <w:rFonts w:cs="Arial"/>
                <w:color w:val="000000" w:themeColor="text1"/>
                <w:szCs w:val="16"/>
              </w:rPr>
            </w:pPr>
            <w:r w:rsidRPr="00781112">
              <w:rPr>
                <w:rFonts w:cs="Arial"/>
                <w:color w:val="000000" w:themeColor="text1"/>
                <w:szCs w:val="16"/>
              </w:rPr>
              <w:t>517</w:t>
            </w:r>
          </w:p>
        </w:tc>
        <w:tc>
          <w:tcPr>
            <w:tcW w:w="1292" w:type="pct"/>
            <w:shd w:val="clear" w:color="auto" w:fill="auto"/>
            <w:vAlign w:val="center"/>
          </w:tcPr>
          <w:p w14:paraId="47F69679" w14:textId="3EDB1646" w:rsidR="003B0C91" w:rsidRPr="00781112" w:rsidRDefault="003B0C91" w:rsidP="00360DD6">
            <w:pPr>
              <w:jc w:val="center"/>
              <w:rPr>
                <w:rFonts w:cs="Arial"/>
                <w:color w:val="000000" w:themeColor="text1"/>
                <w:szCs w:val="16"/>
              </w:rPr>
            </w:pPr>
            <w:r w:rsidRPr="00781112">
              <w:rPr>
                <w:rFonts w:cs="Arial"/>
                <w:color w:val="000000" w:themeColor="text1"/>
                <w:szCs w:val="16"/>
              </w:rPr>
              <w:t>400</w:t>
            </w:r>
          </w:p>
        </w:tc>
        <w:tc>
          <w:tcPr>
            <w:tcW w:w="1292" w:type="pct"/>
            <w:shd w:val="clear" w:color="auto" w:fill="auto"/>
            <w:vAlign w:val="center"/>
          </w:tcPr>
          <w:p w14:paraId="59F768C9" w14:textId="4401EA9F" w:rsidR="003B0C91" w:rsidRPr="00781112" w:rsidRDefault="003B0C91" w:rsidP="00360DD6">
            <w:pPr>
              <w:jc w:val="center"/>
              <w:rPr>
                <w:rFonts w:cs="Arial"/>
                <w:color w:val="000000" w:themeColor="text1"/>
                <w:szCs w:val="16"/>
              </w:rPr>
            </w:pPr>
            <w:r w:rsidRPr="00781112">
              <w:rPr>
                <w:rFonts w:cs="Arial"/>
                <w:color w:val="000000" w:themeColor="text1"/>
                <w:szCs w:val="16"/>
              </w:rPr>
              <w:t>301</w:t>
            </w:r>
          </w:p>
        </w:tc>
      </w:tr>
    </w:tbl>
    <w:p w14:paraId="5994F67E" w14:textId="77777777" w:rsidR="00346807" w:rsidRPr="00781112" w:rsidRDefault="00346807">
      <w:pPr>
        <w:rPr>
          <w:b/>
          <w:color w:val="000000" w:themeColor="text1"/>
        </w:rPr>
      </w:pPr>
    </w:p>
    <w:p w14:paraId="6D3557DD"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Data Source: </w:t>
      </w:r>
    </w:p>
    <w:p w14:paraId="1FB962F7" w14:textId="1892B5D3" w:rsidR="00C470E8" w:rsidRPr="00781112" w:rsidRDefault="002B7490" w:rsidP="00552927">
      <w:pPr>
        <w:rPr>
          <w:rFonts w:cs="Arial"/>
          <w:color w:val="000000" w:themeColor="text1"/>
          <w:szCs w:val="16"/>
        </w:rPr>
      </w:pPr>
      <w:r w:rsidRPr="00781112">
        <w:rPr>
          <w:rFonts w:cs="Arial"/>
          <w:color w:val="000000" w:themeColor="text1"/>
          <w:szCs w:val="16"/>
        </w:rPr>
        <w:t>SY 2020-21 Assessment Data Groups - Math (EDFacts file spec FS175; Data Group: 583)</w:t>
      </w:r>
    </w:p>
    <w:p w14:paraId="57CD97A4"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Date: </w:t>
      </w:r>
    </w:p>
    <w:p w14:paraId="26169998" w14:textId="4F560DE2" w:rsidR="00382F22" w:rsidRPr="00781112" w:rsidRDefault="002B7490" w:rsidP="00552927">
      <w:pPr>
        <w:rPr>
          <w:rFonts w:cs="Arial"/>
          <w:color w:val="000000" w:themeColor="text1"/>
          <w:szCs w:val="16"/>
        </w:rPr>
      </w:pPr>
      <w:r w:rsidRPr="00781112">
        <w:rPr>
          <w:rFonts w:cs="Arial"/>
          <w:color w:val="000000" w:themeColor="text1"/>
          <w:szCs w:val="16"/>
        </w:rPr>
        <w:t>03/03/2022</w:t>
      </w:r>
    </w:p>
    <w:p w14:paraId="33DEC24F" w14:textId="77777777" w:rsidR="005D18BE" w:rsidRPr="00781112" w:rsidRDefault="005D18BE" w:rsidP="00552927">
      <w:pPr>
        <w:rPr>
          <w:rFonts w:cs="Arial"/>
          <w:color w:val="000000" w:themeColor="text1"/>
          <w:szCs w:val="16"/>
        </w:rPr>
      </w:pPr>
    </w:p>
    <w:p w14:paraId="5767F488" w14:textId="335F73B7" w:rsidR="00FE2056" w:rsidRPr="00781112" w:rsidRDefault="00FE2056">
      <w:pPr>
        <w:rPr>
          <w:b/>
          <w:color w:val="000000" w:themeColor="text1"/>
        </w:rPr>
      </w:pPr>
      <w:r w:rsidRPr="00781112">
        <w:rPr>
          <w:b/>
          <w:color w:val="000000" w:themeColor="text1"/>
        </w:rPr>
        <w:t>Math Assessment Proficiency Data by Grade</w:t>
      </w:r>
    </w:p>
    <w:tbl>
      <w:tblPr>
        <w:tblStyle w:val="TableGrid"/>
        <w:tblW w:w="4998" w:type="pct"/>
        <w:tblLayout w:type="fixed"/>
        <w:tblLook w:val="04A0" w:firstRow="1" w:lastRow="0" w:firstColumn="1" w:lastColumn="0" w:noHBand="0" w:noVBand="1"/>
        <w:tblCaption w:val="B03BASSPARTDATABYGRDMATH"/>
      </w:tblPr>
      <w:tblGrid>
        <w:gridCol w:w="2425"/>
        <w:gridCol w:w="2787"/>
        <w:gridCol w:w="2787"/>
        <w:gridCol w:w="2787"/>
      </w:tblGrid>
      <w:tr w:rsidR="00EB6900" w:rsidRPr="00781112" w14:paraId="1F3A5453" w14:textId="77777777" w:rsidTr="009E026B">
        <w:tc>
          <w:tcPr>
            <w:tcW w:w="1124" w:type="pct"/>
            <w:shd w:val="clear" w:color="auto" w:fill="auto"/>
          </w:tcPr>
          <w:p w14:paraId="5BF018F9" w14:textId="6FE6FA6F" w:rsidR="00EB6900" w:rsidRPr="00781112" w:rsidRDefault="00835EAD" w:rsidP="00EB6900">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24FAE140" w14:textId="0B22750E" w:rsidR="00EB6900" w:rsidRPr="00781112" w:rsidRDefault="00EB6900"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47A01117" w14:textId="43F14FF6" w:rsidR="00EB6900" w:rsidRPr="00781112" w:rsidRDefault="00EB6900"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62BC8C13" w14:textId="1B955AD9" w:rsidR="00EB6900" w:rsidRPr="00781112" w:rsidRDefault="00EB6900" w:rsidP="00E14CF0">
            <w:pPr>
              <w:jc w:val="center"/>
              <w:rPr>
                <w:rFonts w:cs="Arial"/>
                <w:b/>
                <w:bCs/>
                <w:color w:val="000000" w:themeColor="text1"/>
                <w:szCs w:val="16"/>
              </w:rPr>
            </w:pPr>
            <w:r w:rsidRPr="00781112">
              <w:rPr>
                <w:rFonts w:cs="Arial"/>
                <w:b/>
                <w:bCs/>
                <w:color w:val="000000" w:themeColor="text1"/>
                <w:szCs w:val="16"/>
              </w:rPr>
              <w:t>Grade HS</w:t>
            </w:r>
          </w:p>
        </w:tc>
      </w:tr>
      <w:tr w:rsidR="00EB6900" w:rsidRPr="00781112" w14:paraId="3E50404B" w14:textId="77777777" w:rsidTr="009E026B">
        <w:tc>
          <w:tcPr>
            <w:tcW w:w="1124" w:type="pct"/>
            <w:shd w:val="clear" w:color="auto" w:fill="auto"/>
          </w:tcPr>
          <w:p w14:paraId="1BC1C3E1" w14:textId="4BCAFF70" w:rsidR="00EB6900" w:rsidRPr="00781112" w:rsidRDefault="00EB6900" w:rsidP="00EB6900">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73844C67" w14:textId="1DA65780" w:rsidR="00EB6900" w:rsidRPr="00781112" w:rsidRDefault="00EB6900" w:rsidP="00360DD6">
            <w:pPr>
              <w:jc w:val="center"/>
              <w:rPr>
                <w:rFonts w:cs="Arial"/>
                <w:color w:val="000000" w:themeColor="text1"/>
                <w:szCs w:val="16"/>
              </w:rPr>
            </w:pPr>
            <w:r w:rsidRPr="00781112">
              <w:rPr>
                <w:rFonts w:cs="Arial"/>
                <w:color w:val="000000" w:themeColor="text1"/>
                <w:szCs w:val="16"/>
              </w:rPr>
              <w:t>6,098</w:t>
            </w:r>
          </w:p>
        </w:tc>
        <w:tc>
          <w:tcPr>
            <w:tcW w:w="1292" w:type="pct"/>
            <w:shd w:val="clear" w:color="auto" w:fill="auto"/>
            <w:vAlign w:val="center"/>
          </w:tcPr>
          <w:p w14:paraId="3573F811" w14:textId="4BE7EE48" w:rsidR="00EB6900" w:rsidRPr="00781112" w:rsidRDefault="00EB6900" w:rsidP="00360DD6">
            <w:pPr>
              <w:jc w:val="center"/>
              <w:rPr>
                <w:rFonts w:cs="Arial"/>
                <w:color w:val="000000" w:themeColor="text1"/>
                <w:szCs w:val="16"/>
              </w:rPr>
            </w:pPr>
            <w:r w:rsidRPr="00781112">
              <w:rPr>
                <w:rFonts w:cs="Arial"/>
                <w:color w:val="000000" w:themeColor="text1"/>
                <w:szCs w:val="16"/>
              </w:rPr>
              <w:t>5,162</w:t>
            </w:r>
          </w:p>
        </w:tc>
        <w:tc>
          <w:tcPr>
            <w:tcW w:w="1292" w:type="pct"/>
            <w:shd w:val="clear" w:color="auto" w:fill="auto"/>
            <w:vAlign w:val="center"/>
          </w:tcPr>
          <w:p w14:paraId="3D006657" w14:textId="5E74B673" w:rsidR="00EB6900" w:rsidRPr="00781112" w:rsidRDefault="00EB6900" w:rsidP="00360DD6">
            <w:pPr>
              <w:jc w:val="center"/>
              <w:rPr>
                <w:rFonts w:cs="Arial"/>
                <w:color w:val="000000" w:themeColor="text1"/>
                <w:szCs w:val="16"/>
              </w:rPr>
            </w:pPr>
            <w:r w:rsidRPr="00781112">
              <w:rPr>
                <w:rFonts w:cs="Arial"/>
                <w:color w:val="000000" w:themeColor="text1"/>
                <w:szCs w:val="16"/>
              </w:rPr>
              <w:t>4,702</w:t>
            </w:r>
          </w:p>
        </w:tc>
      </w:tr>
      <w:tr w:rsidR="00EB6900" w:rsidRPr="00781112" w14:paraId="4482EF44" w14:textId="77777777" w:rsidTr="009E026B">
        <w:tc>
          <w:tcPr>
            <w:tcW w:w="1124" w:type="pct"/>
            <w:shd w:val="clear" w:color="auto" w:fill="auto"/>
          </w:tcPr>
          <w:p w14:paraId="27BF445B" w14:textId="0D33636A" w:rsidR="00EB6900" w:rsidRPr="00781112" w:rsidRDefault="00EB6900" w:rsidP="00EB6900">
            <w:pPr>
              <w:rPr>
                <w:rFonts w:cs="Arial"/>
                <w:color w:val="000000" w:themeColor="text1"/>
                <w:szCs w:val="16"/>
              </w:rPr>
            </w:pPr>
            <w:r w:rsidRPr="00781112">
              <w:rPr>
                <w:rFonts w:cs="Arial"/>
                <w:szCs w:val="16"/>
                <w:shd w:val="clear" w:color="auto" w:fill="FFFFFF"/>
              </w:rPr>
              <w:t>b. Children with IEPs in regular assessment with no accommodations scored at or above proficient against grade level</w:t>
            </w:r>
          </w:p>
        </w:tc>
        <w:tc>
          <w:tcPr>
            <w:tcW w:w="1292" w:type="pct"/>
            <w:shd w:val="clear" w:color="auto" w:fill="auto"/>
            <w:vAlign w:val="center"/>
          </w:tcPr>
          <w:p w14:paraId="6FAE18FE" w14:textId="45CDD134" w:rsidR="00EB6900" w:rsidRPr="00781112" w:rsidRDefault="00EB6900" w:rsidP="00360DD6">
            <w:pPr>
              <w:jc w:val="center"/>
              <w:rPr>
                <w:rFonts w:cs="Arial"/>
                <w:color w:val="000000" w:themeColor="text1"/>
                <w:szCs w:val="16"/>
              </w:rPr>
            </w:pPr>
            <w:r w:rsidRPr="00781112">
              <w:rPr>
                <w:rFonts w:cs="Arial"/>
                <w:color w:val="000000" w:themeColor="text1"/>
                <w:szCs w:val="16"/>
              </w:rPr>
              <w:t>407</w:t>
            </w:r>
          </w:p>
        </w:tc>
        <w:tc>
          <w:tcPr>
            <w:tcW w:w="1292" w:type="pct"/>
            <w:shd w:val="clear" w:color="auto" w:fill="auto"/>
            <w:vAlign w:val="center"/>
          </w:tcPr>
          <w:p w14:paraId="0501C27C" w14:textId="424208A4" w:rsidR="00EB6900" w:rsidRPr="00781112" w:rsidRDefault="00EB6900" w:rsidP="00360DD6">
            <w:pPr>
              <w:jc w:val="center"/>
              <w:rPr>
                <w:rFonts w:cs="Arial"/>
                <w:color w:val="000000" w:themeColor="text1"/>
                <w:szCs w:val="16"/>
              </w:rPr>
            </w:pPr>
            <w:r w:rsidRPr="00781112">
              <w:rPr>
                <w:rFonts w:cs="Arial"/>
                <w:color w:val="000000" w:themeColor="text1"/>
                <w:szCs w:val="16"/>
              </w:rPr>
              <w:t>64</w:t>
            </w:r>
          </w:p>
        </w:tc>
        <w:tc>
          <w:tcPr>
            <w:tcW w:w="1292" w:type="pct"/>
            <w:shd w:val="clear" w:color="auto" w:fill="auto"/>
            <w:vAlign w:val="center"/>
          </w:tcPr>
          <w:p w14:paraId="2F8ECC6A" w14:textId="065827BA" w:rsidR="00EB6900" w:rsidRPr="00781112" w:rsidRDefault="00EB6900" w:rsidP="00360DD6">
            <w:pPr>
              <w:jc w:val="center"/>
              <w:rPr>
                <w:rFonts w:cs="Arial"/>
                <w:color w:val="000000" w:themeColor="text1"/>
                <w:szCs w:val="16"/>
              </w:rPr>
            </w:pPr>
            <w:r w:rsidRPr="00781112">
              <w:rPr>
                <w:rFonts w:cs="Arial"/>
                <w:color w:val="000000" w:themeColor="text1"/>
                <w:szCs w:val="16"/>
              </w:rPr>
              <w:t>39</w:t>
            </w:r>
          </w:p>
        </w:tc>
      </w:tr>
      <w:tr w:rsidR="00EB6900" w:rsidRPr="00781112" w14:paraId="7ED983D3" w14:textId="77777777" w:rsidTr="009E026B">
        <w:tc>
          <w:tcPr>
            <w:tcW w:w="1124" w:type="pct"/>
            <w:shd w:val="clear" w:color="auto" w:fill="auto"/>
          </w:tcPr>
          <w:p w14:paraId="6E21D958" w14:textId="7EF8B281" w:rsidR="00EB6900" w:rsidRPr="00781112" w:rsidRDefault="00EB6900" w:rsidP="00EB6900">
            <w:pPr>
              <w:rPr>
                <w:rFonts w:cs="Arial"/>
                <w:color w:val="000000" w:themeColor="text1"/>
                <w:szCs w:val="16"/>
              </w:rPr>
            </w:pPr>
            <w:r w:rsidRPr="00781112">
              <w:rPr>
                <w:rFonts w:cs="Arial"/>
                <w:szCs w:val="16"/>
                <w:shd w:val="clear" w:color="auto" w:fill="FFFFFF"/>
              </w:rPr>
              <w:t>c. Children with IEPs in regular assessment with accommodations scored at or above proficient against grade level</w:t>
            </w:r>
          </w:p>
        </w:tc>
        <w:tc>
          <w:tcPr>
            <w:tcW w:w="1292" w:type="pct"/>
            <w:shd w:val="clear" w:color="auto" w:fill="auto"/>
            <w:vAlign w:val="center"/>
          </w:tcPr>
          <w:p w14:paraId="239BF66A" w14:textId="489CBBAB" w:rsidR="00EB6900" w:rsidRPr="00781112" w:rsidRDefault="00EB6900" w:rsidP="00360DD6">
            <w:pPr>
              <w:jc w:val="center"/>
              <w:rPr>
                <w:rFonts w:cs="Arial"/>
                <w:color w:val="000000" w:themeColor="text1"/>
                <w:szCs w:val="16"/>
              </w:rPr>
            </w:pPr>
            <w:r w:rsidRPr="00781112">
              <w:rPr>
                <w:rFonts w:cs="Arial"/>
                <w:color w:val="000000" w:themeColor="text1"/>
                <w:szCs w:val="16"/>
              </w:rPr>
              <w:t>349</w:t>
            </w:r>
          </w:p>
        </w:tc>
        <w:tc>
          <w:tcPr>
            <w:tcW w:w="1292" w:type="pct"/>
            <w:shd w:val="clear" w:color="auto" w:fill="auto"/>
            <w:vAlign w:val="center"/>
          </w:tcPr>
          <w:p w14:paraId="3148F449" w14:textId="071E2D42" w:rsidR="00EB6900" w:rsidRPr="00781112" w:rsidRDefault="00EB6900" w:rsidP="00360DD6">
            <w:pPr>
              <w:jc w:val="center"/>
              <w:rPr>
                <w:rFonts w:cs="Arial"/>
                <w:color w:val="000000" w:themeColor="text1"/>
                <w:szCs w:val="16"/>
              </w:rPr>
            </w:pPr>
            <w:r w:rsidRPr="00781112">
              <w:rPr>
                <w:rFonts w:cs="Arial"/>
                <w:color w:val="000000" w:themeColor="text1"/>
                <w:szCs w:val="16"/>
              </w:rPr>
              <w:t>188</w:t>
            </w:r>
          </w:p>
        </w:tc>
        <w:tc>
          <w:tcPr>
            <w:tcW w:w="1292" w:type="pct"/>
            <w:shd w:val="clear" w:color="auto" w:fill="auto"/>
            <w:vAlign w:val="center"/>
          </w:tcPr>
          <w:p w14:paraId="56D05BB3" w14:textId="5F6BA567" w:rsidR="00EB6900" w:rsidRPr="00781112" w:rsidRDefault="00EB6900" w:rsidP="00360DD6">
            <w:pPr>
              <w:jc w:val="center"/>
              <w:rPr>
                <w:rFonts w:cs="Arial"/>
                <w:color w:val="000000" w:themeColor="text1"/>
                <w:szCs w:val="16"/>
              </w:rPr>
            </w:pPr>
            <w:r w:rsidRPr="00781112">
              <w:rPr>
                <w:rFonts w:cs="Arial"/>
                <w:color w:val="000000" w:themeColor="text1"/>
                <w:szCs w:val="16"/>
              </w:rPr>
              <w:t>224</w:t>
            </w:r>
          </w:p>
        </w:tc>
      </w:tr>
      <w:bookmarkEnd w:id="14"/>
    </w:tbl>
    <w:p w14:paraId="1A4F8ED6" w14:textId="77777777" w:rsidR="00966232" w:rsidRPr="00781112" w:rsidRDefault="00966232" w:rsidP="004369B2">
      <w:pPr>
        <w:rPr>
          <w:color w:val="000000" w:themeColor="text1"/>
        </w:rPr>
      </w:pPr>
    </w:p>
    <w:p w14:paraId="1E1876C6" w14:textId="417321D7" w:rsidR="00E539AB" w:rsidRPr="00781112" w:rsidRDefault="00F6415A" w:rsidP="004369B2">
      <w:pPr>
        <w:rPr>
          <w:b/>
          <w:color w:val="000000" w:themeColor="text1"/>
        </w:rPr>
      </w:pPr>
      <w:r w:rsidRPr="00781112">
        <w:rPr>
          <w:b/>
          <w:color w:val="000000" w:themeColor="text1"/>
        </w:rPr>
        <w:t>FFY 2020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RLA"/>
      </w:tblPr>
      <w:tblGrid>
        <w:gridCol w:w="428"/>
        <w:gridCol w:w="888"/>
        <w:gridCol w:w="2027"/>
        <w:gridCol w:w="2026"/>
        <w:gridCol w:w="1085"/>
        <w:gridCol w:w="1085"/>
        <w:gridCol w:w="1085"/>
        <w:gridCol w:w="1085"/>
        <w:gridCol w:w="1081"/>
      </w:tblGrid>
      <w:tr w:rsidR="000B0DE4" w:rsidRPr="00781112" w14:paraId="52CF9222" w14:textId="5C9FC6C2" w:rsidTr="004B3F40">
        <w:trPr>
          <w:tblHeader/>
        </w:trPr>
        <w:tc>
          <w:tcPr>
            <w:tcW w:w="198" w:type="pct"/>
            <w:shd w:val="clear" w:color="auto" w:fill="auto"/>
            <w:vAlign w:val="bottom"/>
          </w:tcPr>
          <w:p w14:paraId="5B0C0A4E" w14:textId="31160362" w:rsidR="000B0DE4" w:rsidRPr="00781112" w:rsidRDefault="000B0DE4" w:rsidP="000B0DE4">
            <w:pPr>
              <w:jc w:val="center"/>
              <w:rPr>
                <w:b/>
                <w:color w:val="000000" w:themeColor="text1"/>
              </w:rPr>
            </w:pPr>
            <w:r w:rsidRPr="00781112">
              <w:rPr>
                <w:b/>
                <w:color w:val="000000" w:themeColor="text1"/>
              </w:rPr>
              <w:lastRenderedPageBreak/>
              <w:t>Group</w:t>
            </w:r>
          </w:p>
        </w:tc>
        <w:tc>
          <w:tcPr>
            <w:tcW w:w="411" w:type="pct"/>
            <w:shd w:val="clear" w:color="auto" w:fill="auto"/>
            <w:vAlign w:val="bottom"/>
          </w:tcPr>
          <w:p w14:paraId="08D526E5" w14:textId="4BDB327D" w:rsidR="000B0DE4" w:rsidRPr="00781112" w:rsidRDefault="000B0DE4" w:rsidP="000B0DE4">
            <w:pPr>
              <w:jc w:val="center"/>
              <w:rPr>
                <w:b/>
                <w:color w:val="000000" w:themeColor="text1"/>
              </w:rPr>
            </w:pPr>
            <w:r w:rsidRPr="00781112">
              <w:rPr>
                <w:b/>
                <w:color w:val="000000" w:themeColor="text1"/>
              </w:rPr>
              <w:t>Group Name</w:t>
            </w:r>
          </w:p>
        </w:tc>
        <w:tc>
          <w:tcPr>
            <w:tcW w:w="939" w:type="pct"/>
            <w:shd w:val="clear" w:color="auto" w:fill="auto"/>
          </w:tcPr>
          <w:p w14:paraId="198DD72E" w14:textId="3FB5565B" w:rsidR="000B0DE4" w:rsidRPr="00781112" w:rsidRDefault="000B0DE4" w:rsidP="000B0DE4">
            <w:pPr>
              <w:jc w:val="center"/>
              <w:rPr>
                <w:b/>
                <w:bCs/>
                <w:color w:val="000000" w:themeColor="text1"/>
              </w:rPr>
            </w:pPr>
            <w:r w:rsidRPr="00781112">
              <w:rPr>
                <w:b/>
                <w:bCs/>
              </w:rPr>
              <w:t>Number of Children with IEPs Scoring At or Above Proficient Against Grade Level Academic Achievement Standards</w:t>
            </w:r>
          </w:p>
        </w:tc>
        <w:tc>
          <w:tcPr>
            <w:tcW w:w="939" w:type="pct"/>
            <w:shd w:val="clear" w:color="auto" w:fill="auto"/>
          </w:tcPr>
          <w:p w14:paraId="43067EB5" w14:textId="1B6A6AEE" w:rsidR="000B0DE4" w:rsidRPr="00781112" w:rsidRDefault="000B0DE4" w:rsidP="000B0DE4">
            <w:pPr>
              <w:jc w:val="center"/>
              <w:rPr>
                <w:b/>
                <w:bCs/>
                <w:color w:val="000000" w:themeColor="text1"/>
              </w:rPr>
            </w:pPr>
            <w:r w:rsidRPr="00781112">
              <w:rPr>
                <w:b/>
                <w:bCs/>
              </w:rPr>
              <w:t>Number of Children with IEPs who Received a Valid Score and for whom a Proficiency Level was Assigned for the Regular Assessment</w:t>
            </w:r>
          </w:p>
        </w:tc>
        <w:tc>
          <w:tcPr>
            <w:tcW w:w="503" w:type="pct"/>
            <w:shd w:val="clear" w:color="auto" w:fill="auto"/>
            <w:vAlign w:val="bottom"/>
          </w:tcPr>
          <w:p w14:paraId="18374487" w14:textId="78E61E00" w:rsidR="000B0DE4" w:rsidRPr="00781112" w:rsidRDefault="000B0DE4" w:rsidP="000B0DE4">
            <w:pPr>
              <w:jc w:val="center"/>
              <w:rPr>
                <w:b/>
                <w:color w:val="000000" w:themeColor="text1"/>
              </w:rPr>
            </w:pPr>
            <w:r w:rsidRPr="00781112">
              <w:rPr>
                <w:b/>
                <w:color w:val="000000" w:themeColor="text1"/>
              </w:rPr>
              <w:t>FFY 2019 Data</w:t>
            </w:r>
          </w:p>
        </w:tc>
        <w:tc>
          <w:tcPr>
            <w:tcW w:w="503" w:type="pct"/>
            <w:shd w:val="clear" w:color="auto" w:fill="auto"/>
            <w:vAlign w:val="bottom"/>
          </w:tcPr>
          <w:p w14:paraId="3E51680E" w14:textId="2F19F198" w:rsidR="000B0DE4" w:rsidRPr="00781112" w:rsidRDefault="000B0DE4" w:rsidP="000B0DE4">
            <w:pPr>
              <w:jc w:val="center"/>
              <w:rPr>
                <w:b/>
                <w:color w:val="000000" w:themeColor="text1"/>
              </w:rPr>
            </w:pPr>
            <w:r w:rsidRPr="00781112">
              <w:rPr>
                <w:b/>
                <w:color w:val="000000" w:themeColor="text1"/>
              </w:rPr>
              <w:t>FFY 2020 Target</w:t>
            </w:r>
          </w:p>
        </w:tc>
        <w:tc>
          <w:tcPr>
            <w:tcW w:w="503" w:type="pct"/>
            <w:shd w:val="clear" w:color="auto" w:fill="auto"/>
            <w:vAlign w:val="bottom"/>
          </w:tcPr>
          <w:p w14:paraId="29685ECA" w14:textId="115616FC" w:rsidR="000B0DE4" w:rsidRPr="00781112" w:rsidRDefault="000B0DE4" w:rsidP="000B0DE4">
            <w:pPr>
              <w:jc w:val="center"/>
              <w:rPr>
                <w:b/>
                <w:color w:val="000000" w:themeColor="text1"/>
              </w:rPr>
            </w:pPr>
            <w:r w:rsidRPr="00781112">
              <w:rPr>
                <w:b/>
                <w:color w:val="000000" w:themeColor="text1"/>
              </w:rPr>
              <w:t>FFY 2020 Data</w:t>
            </w:r>
          </w:p>
        </w:tc>
        <w:tc>
          <w:tcPr>
            <w:tcW w:w="503" w:type="pct"/>
            <w:shd w:val="clear" w:color="auto" w:fill="auto"/>
            <w:vAlign w:val="bottom"/>
          </w:tcPr>
          <w:p w14:paraId="5E9D6295" w14:textId="7F28EB50" w:rsidR="000B0DE4" w:rsidRPr="00781112" w:rsidRDefault="000B0DE4" w:rsidP="000B0DE4">
            <w:pPr>
              <w:jc w:val="center"/>
              <w:rPr>
                <w:b/>
                <w:color w:val="000000" w:themeColor="text1"/>
              </w:rPr>
            </w:pPr>
            <w:r w:rsidRPr="00781112">
              <w:rPr>
                <w:b/>
                <w:color w:val="000000" w:themeColor="text1"/>
              </w:rPr>
              <w:t>Status</w:t>
            </w:r>
          </w:p>
        </w:tc>
        <w:tc>
          <w:tcPr>
            <w:tcW w:w="501" w:type="pct"/>
            <w:shd w:val="clear" w:color="auto" w:fill="auto"/>
            <w:vAlign w:val="bottom"/>
          </w:tcPr>
          <w:p w14:paraId="7898EF38" w14:textId="75DFA010" w:rsidR="000B0DE4" w:rsidRPr="00781112" w:rsidRDefault="000B0DE4" w:rsidP="000B0DE4">
            <w:pPr>
              <w:jc w:val="center"/>
              <w:rPr>
                <w:b/>
                <w:color w:val="000000" w:themeColor="text1"/>
              </w:rPr>
            </w:pPr>
            <w:r w:rsidRPr="00781112">
              <w:rPr>
                <w:b/>
                <w:color w:val="000000" w:themeColor="text1"/>
              </w:rPr>
              <w:t>Slippage</w:t>
            </w:r>
          </w:p>
        </w:tc>
      </w:tr>
      <w:tr w:rsidR="00AD0E97" w:rsidRPr="00781112" w14:paraId="7760B96D" w14:textId="1E1E2305" w:rsidTr="004B3F40">
        <w:tc>
          <w:tcPr>
            <w:tcW w:w="198" w:type="pct"/>
            <w:shd w:val="clear" w:color="auto" w:fill="auto"/>
            <w:vAlign w:val="center"/>
          </w:tcPr>
          <w:p w14:paraId="6F54F4BD" w14:textId="3AB2A2E6"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A</w:t>
            </w:r>
          </w:p>
        </w:tc>
        <w:tc>
          <w:tcPr>
            <w:tcW w:w="411" w:type="pct"/>
            <w:shd w:val="clear" w:color="auto" w:fill="auto"/>
            <w:vAlign w:val="center"/>
          </w:tcPr>
          <w:p w14:paraId="1AF12AAB" w14:textId="02722A5C"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4</w:t>
            </w:r>
          </w:p>
        </w:tc>
        <w:tc>
          <w:tcPr>
            <w:tcW w:w="939" w:type="pct"/>
            <w:shd w:val="clear" w:color="auto" w:fill="auto"/>
            <w:vAlign w:val="center"/>
          </w:tcPr>
          <w:p w14:paraId="0D75EC1C" w14:textId="5C94E807" w:rsidR="00AD0E97" w:rsidRPr="00781112" w:rsidRDefault="00AD0E97" w:rsidP="00AD0E97">
            <w:pPr>
              <w:jc w:val="center"/>
              <w:rPr>
                <w:rFonts w:cs="Arial"/>
                <w:color w:val="000000" w:themeColor="text1"/>
                <w:szCs w:val="16"/>
              </w:rPr>
            </w:pPr>
            <w:r w:rsidRPr="00781112">
              <w:rPr>
                <w:rFonts w:cs="Arial"/>
                <w:color w:val="000000"/>
                <w:szCs w:val="16"/>
              </w:rPr>
              <w:t>1,006</w:t>
            </w:r>
          </w:p>
        </w:tc>
        <w:tc>
          <w:tcPr>
            <w:tcW w:w="939" w:type="pct"/>
            <w:shd w:val="clear" w:color="auto" w:fill="auto"/>
            <w:vAlign w:val="center"/>
          </w:tcPr>
          <w:p w14:paraId="7E6A021B" w14:textId="57963DE4" w:rsidR="00AD0E97" w:rsidRPr="00781112" w:rsidRDefault="00AD0E97" w:rsidP="00AD0E97">
            <w:pPr>
              <w:jc w:val="center"/>
              <w:rPr>
                <w:rFonts w:cs="Arial"/>
                <w:color w:val="000000" w:themeColor="text1"/>
                <w:szCs w:val="16"/>
              </w:rPr>
            </w:pPr>
            <w:r w:rsidRPr="00781112">
              <w:rPr>
                <w:rFonts w:cs="Arial"/>
                <w:color w:val="000000" w:themeColor="text1"/>
                <w:szCs w:val="16"/>
              </w:rPr>
              <w:t>6,100</w:t>
            </w:r>
          </w:p>
        </w:tc>
        <w:tc>
          <w:tcPr>
            <w:tcW w:w="503" w:type="pct"/>
            <w:shd w:val="clear" w:color="auto" w:fill="auto"/>
            <w:vAlign w:val="center"/>
          </w:tcPr>
          <w:p w14:paraId="69FD37B5" w14:textId="09B40B87" w:rsidR="00AD0E97" w:rsidRPr="00781112" w:rsidRDefault="00AD0E97" w:rsidP="00AD0E97">
            <w:pPr>
              <w:jc w:val="center"/>
              <w:rPr>
                <w:rFonts w:cs="Arial"/>
                <w:color w:val="000000" w:themeColor="text1"/>
                <w:szCs w:val="16"/>
              </w:rPr>
            </w:pPr>
          </w:p>
        </w:tc>
        <w:tc>
          <w:tcPr>
            <w:tcW w:w="503" w:type="pct"/>
            <w:shd w:val="clear" w:color="auto" w:fill="auto"/>
            <w:vAlign w:val="center"/>
          </w:tcPr>
          <w:p w14:paraId="482B7D09" w14:textId="62AFAA78" w:rsidR="00AD0E97" w:rsidRPr="00781112" w:rsidRDefault="00AD0E97" w:rsidP="00AD0E97">
            <w:pPr>
              <w:jc w:val="center"/>
              <w:rPr>
                <w:rFonts w:cs="Arial"/>
                <w:color w:val="000000" w:themeColor="text1"/>
                <w:szCs w:val="16"/>
              </w:rPr>
            </w:pPr>
            <w:r w:rsidRPr="00781112">
              <w:rPr>
                <w:rFonts w:cs="Arial"/>
                <w:color w:val="000000" w:themeColor="text1"/>
                <w:szCs w:val="16"/>
              </w:rPr>
              <w:t>16.49%</w:t>
            </w:r>
          </w:p>
        </w:tc>
        <w:tc>
          <w:tcPr>
            <w:tcW w:w="503" w:type="pct"/>
            <w:shd w:val="clear" w:color="auto" w:fill="auto"/>
            <w:vAlign w:val="center"/>
          </w:tcPr>
          <w:p w14:paraId="120D94C1" w14:textId="45B7E096" w:rsidR="00AD0E97" w:rsidRPr="00781112" w:rsidRDefault="00AD0E97" w:rsidP="00AD0E97">
            <w:pPr>
              <w:jc w:val="center"/>
              <w:rPr>
                <w:rFonts w:cs="Arial"/>
                <w:color w:val="000000" w:themeColor="text1"/>
                <w:szCs w:val="16"/>
              </w:rPr>
            </w:pPr>
            <w:r w:rsidRPr="00781112">
              <w:rPr>
                <w:rFonts w:cs="Arial"/>
                <w:color w:val="000000" w:themeColor="text1"/>
                <w:szCs w:val="16"/>
              </w:rPr>
              <w:t>16.49%</w:t>
            </w:r>
          </w:p>
        </w:tc>
        <w:tc>
          <w:tcPr>
            <w:tcW w:w="503" w:type="pct"/>
            <w:shd w:val="clear" w:color="auto" w:fill="auto"/>
            <w:vAlign w:val="center"/>
          </w:tcPr>
          <w:p w14:paraId="4C985877" w14:textId="6C415586"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c>
          <w:tcPr>
            <w:tcW w:w="501" w:type="pct"/>
            <w:shd w:val="clear" w:color="auto" w:fill="auto"/>
            <w:vAlign w:val="center"/>
          </w:tcPr>
          <w:p w14:paraId="05322B0C" w14:textId="7DA1FCC0"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r>
      <w:tr w:rsidR="00AD0E97" w:rsidRPr="00781112" w14:paraId="7A5387EE" w14:textId="77777777" w:rsidTr="004B3F40">
        <w:tc>
          <w:tcPr>
            <w:tcW w:w="198" w:type="pct"/>
            <w:shd w:val="clear" w:color="auto" w:fill="auto"/>
            <w:vAlign w:val="center"/>
          </w:tcPr>
          <w:p w14:paraId="729AFDF4" w14:textId="72203283"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B</w:t>
            </w:r>
          </w:p>
        </w:tc>
        <w:tc>
          <w:tcPr>
            <w:tcW w:w="411" w:type="pct"/>
            <w:shd w:val="clear" w:color="auto" w:fill="auto"/>
            <w:vAlign w:val="center"/>
          </w:tcPr>
          <w:p w14:paraId="33B7C97E" w14:textId="6E25E05B"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8</w:t>
            </w:r>
          </w:p>
        </w:tc>
        <w:tc>
          <w:tcPr>
            <w:tcW w:w="939" w:type="pct"/>
            <w:shd w:val="clear" w:color="auto" w:fill="auto"/>
            <w:vAlign w:val="center"/>
          </w:tcPr>
          <w:p w14:paraId="3F0D6576" w14:textId="39D13C81" w:rsidR="00AD0E97" w:rsidRPr="00781112" w:rsidRDefault="00AD0E97" w:rsidP="00AD0E97">
            <w:pPr>
              <w:jc w:val="center"/>
              <w:rPr>
                <w:rFonts w:cs="Arial"/>
                <w:color w:val="000000" w:themeColor="text1"/>
                <w:szCs w:val="16"/>
              </w:rPr>
            </w:pPr>
            <w:r w:rsidRPr="00781112">
              <w:rPr>
                <w:rFonts w:cs="Arial"/>
                <w:color w:val="000000"/>
                <w:szCs w:val="16"/>
              </w:rPr>
              <w:t>485</w:t>
            </w:r>
          </w:p>
        </w:tc>
        <w:tc>
          <w:tcPr>
            <w:tcW w:w="939" w:type="pct"/>
            <w:shd w:val="clear" w:color="auto" w:fill="auto"/>
            <w:vAlign w:val="center"/>
          </w:tcPr>
          <w:p w14:paraId="7FFA4863" w14:textId="2B0AF130" w:rsidR="00AD0E97" w:rsidRPr="00781112" w:rsidRDefault="00AD0E97" w:rsidP="00AD0E97">
            <w:pPr>
              <w:jc w:val="center"/>
              <w:rPr>
                <w:rFonts w:cs="Arial"/>
                <w:color w:val="000000" w:themeColor="text1"/>
                <w:szCs w:val="16"/>
              </w:rPr>
            </w:pPr>
            <w:r w:rsidRPr="00781112">
              <w:rPr>
                <w:rFonts w:cs="Arial"/>
                <w:color w:val="000000" w:themeColor="text1"/>
                <w:szCs w:val="16"/>
              </w:rPr>
              <w:t>5,164</w:t>
            </w:r>
          </w:p>
        </w:tc>
        <w:tc>
          <w:tcPr>
            <w:tcW w:w="503" w:type="pct"/>
            <w:shd w:val="clear" w:color="auto" w:fill="auto"/>
            <w:vAlign w:val="center"/>
          </w:tcPr>
          <w:p w14:paraId="3FB80D14" w14:textId="17D00589" w:rsidR="00AD0E97" w:rsidRPr="00781112" w:rsidRDefault="00AD0E97" w:rsidP="00AD0E97">
            <w:pPr>
              <w:jc w:val="center"/>
              <w:rPr>
                <w:rFonts w:cs="Arial"/>
                <w:color w:val="000000" w:themeColor="text1"/>
                <w:szCs w:val="16"/>
              </w:rPr>
            </w:pPr>
          </w:p>
        </w:tc>
        <w:tc>
          <w:tcPr>
            <w:tcW w:w="503" w:type="pct"/>
            <w:shd w:val="clear" w:color="auto" w:fill="auto"/>
            <w:vAlign w:val="center"/>
          </w:tcPr>
          <w:p w14:paraId="12DA8FB6" w14:textId="2A9832BB" w:rsidR="00AD0E97" w:rsidRPr="00781112" w:rsidRDefault="00AD0E97" w:rsidP="00AD0E97">
            <w:pPr>
              <w:jc w:val="center"/>
              <w:rPr>
                <w:rFonts w:cs="Arial"/>
                <w:color w:val="000000" w:themeColor="text1"/>
                <w:szCs w:val="16"/>
              </w:rPr>
            </w:pPr>
            <w:r w:rsidRPr="00781112">
              <w:rPr>
                <w:rFonts w:cs="Arial"/>
                <w:color w:val="000000" w:themeColor="text1"/>
                <w:szCs w:val="16"/>
              </w:rPr>
              <w:t>9.39%</w:t>
            </w:r>
          </w:p>
        </w:tc>
        <w:tc>
          <w:tcPr>
            <w:tcW w:w="503" w:type="pct"/>
            <w:shd w:val="clear" w:color="auto" w:fill="auto"/>
            <w:vAlign w:val="center"/>
          </w:tcPr>
          <w:p w14:paraId="65C7EB9E" w14:textId="563BFA26" w:rsidR="00AD0E97" w:rsidRPr="00781112" w:rsidRDefault="00AD0E97" w:rsidP="00AD0E97">
            <w:pPr>
              <w:jc w:val="center"/>
              <w:rPr>
                <w:rFonts w:cs="Arial"/>
                <w:color w:val="000000" w:themeColor="text1"/>
                <w:szCs w:val="16"/>
              </w:rPr>
            </w:pPr>
            <w:r w:rsidRPr="00781112">
              <w:rPr>
                <w:rFonts w:cs="Arial"/>
                <w:color w:val="000000" w:themeColor="text1"/>
                <w:szCs w:val="16"/>
              </w:rPr>
              <w:t>9.39%</w:t>
            </w:r>
          </w:p>
        </w:tc>
        <w:tc>
          <w:tcPr>
            <w:tcW w:w="503" w:type="pct"/>
            <w:shd w:val="clear" w:color="auto" w:fill="auto"/>
            <w:vAlign w:val="center"/>
          </w:tcPr>
          <w:p w14:paraId="41A6F692" w14:textId="65CC6347"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c>
          <w:tcPr>
            <w:tcW w:w="501" w:type="pct"/>
            <w:shd w:val="clear" w:color="auto" w:fill="auto"/>
            <w:vAlign w:val="center"/>
          </w:tcPr>
          <w:p w14:paraId="3D4E27A4" w14:textId="7BDAA77C"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r>
      <w:tr w:rsidR="00AD0E97" w:rsidRPr="00781112" w14:paraId="26B346DD" w14:textId="77777777" w:rsidTr="004B3F40">
        <w:tc>
          <w:tcPr>
            <w:tcW w:w="198" w:type="pct"/>
            <w:shd w:val="clear" w:color="auto" w:fill="auto"/>
            <w:vAlign w:val="center"/>
          </w:tcPr>
          <w:p w14:paraId="2B13C665" w14:textId="583EB28A"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C</w:t>
            </w:r>
          </w:p>
        </w:tc>
        <w:tc>
          <w:tcPr>
            <w:tcW w:w="411" w:type="pct"/>
            <w:shd w:val="clear" w:color="auto" w:fill="auto"/>
            <w:vAlign w:val="center"/>
          </w:tcPr>
          <w:p w14:paraId="6D97D346" w14:textId="75AC25C8"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HS</w:t>
            </w:r>
          </w:p>
        </w:tc>
        <w:tc>
          <w:tcPr>
            <w:tcW w:w="939" w:type="pct"/>
            <w:shd w:val="clear" w:color="auto" w:fill="auto"/>
            <w:vAlign w:val="center"/>
          </w:tcPr>
          <w:p w14:paraId="30AED5C7" w14:textId="5DD38D7C" w:rsidR="00AD0E97" w:rsidRPr="00781112" w:rsidRDefault="00AD0E97" w:rsidP="00AD0E97">
            <w:pPr>
              <w:jc w:val="center"/>
              <w:rPr>
                <w:rFonts w:cs="Arial"/>
                <w:color w:val="000000" w:themeColor="text1"/>
                <w:szCs w:val="16"/>
              </w:rPr>
            </w:pPr>
            <w:r w:rsidRPr="00781112">
              <w:rPr>
                <w:rFonts w:cs="Arial"/>
                <w:color w:val="000000"/>
                <w:szCs w:val="16"/>
              </w:rPr>
              <w:t>353</w:t>
            </w:r>
          </w:p>
        </w:tc>
        <w:tc>
          <w:tcPr>
            <w:tcW w:w="939" w:type="pct"/>
            <w:shd w:val="clear" w:color="auto" w:fill="auto"/>
            <w:vAlign w:val="center"/>
          </w:tcPr>
          <w:p w14:paraId="3E4BF8E7" w14:textId="17E7C017" w:rsidR="00AD0E97" w:rsidRPr="00781112" w:rsidRDefault="00AD0E97" w:rsidP="00AD0E97">
            <w:pPr>
              <w:jc w:val="center"/>
              <w:rPr>
                <w:rFonts w:cs="Arial"/>
                <w:color w:val="000000" w:themeColor="text1"/>
                <w:szCs w:val="16"/>
              </w:rPr>
            </w:pPr>
            <w:r w:rsidRPr="00781112">
              <w:rPr>
                <w:rFonts w:cs="Arial"/>
                <w:color w:val="000000" w:themeColor="text1"/>
                <w:szCs w:val="16"/>
              </w:rPr>
              <w:t>4,591</w:t>
            </w:r>
          </w:p>
        </w:tc>
        <w:tc>
          <w:tcPr>
            <w:tcW w:w="503" w:type="pct"/>
            <w:shd w:val="clear" w:color="auto" w:fill="auto"/>
            <w:vAlign w:val="center"/>
          </w:tcPr>
          <w:p w14:paraId="039885F2" w14:textId="68486387" w:rsidR="00AD0E97" w:rsidRPr="00781112" w:rsidRDefault="00AD0E97" w:rsidP="00AD0E97">
            <w:pPr>
              <w:jc w:val="center"/>
              <w:rPr>
                <w:rFonts w:cs="Arial"/>
                <w:color w:val="000000" w:themeColor="text1"/>
                <w:szCs w:val="16"/>
              </w:rPr>
            </w:pPr>
          </w:p>
        </w:tc>
        <w:tc>
          <w:tcPr>
            <w:tcW w:w="503" w:type="pct"/>
            <w:shd w:val="clear" w:color="auto" w:fill="auto"/>
            <w:vAlign w:val="center"/>
          </w:tcPr>
          <w:p w14:paraId="0D574818" w14:textId="0B8E29B8" w:rsidR="00AD0E97" w:rsidRPr="00781112" w:rsidRDefault="00AD0E97" w:rsidP="00AD0E97">
            <w:pPr>
              <w:jc w:val="center"/>
              <w:rPr>
                <w:rFonts w:cs="Arial"/>
                <w:color w:val="000000" w:themeColor="text1"/>
                <w:szCs w:val="16"/>
              </w:rPr>
            </w:pPr>
            <w:r w:rsidRPr="00781112">
              <w:rPr>
                <w:rFonts w:cs="Arial"/>
                <w:color w:val="000000" w:themeColor="text1"/>
                <w:szCs w:val="16"/>
              </w:rPr>
              <w:t>7.69%</w:t>
            </w:r>
          </w:p>
        </w:tc>
        <w:tc>
          <w:tcPr>
            <w:tcW w:w="503" w:type="pct"/>
            <w:shd w:val="clear" w:color="auto" w:fill="auto"/>
            <w:vAlign w:val="center"/>
          </w:tcPr>
          <w:p w14:paraId="68757684" w14:textId="14D897E8" w:rsidR="00AD0E97" w:rsidRPr="00781112" w:rsidRDefault="00AD0E97" w:rsidP="00AD0E97">
            <w:pPr>
              <w:jc w:val="center"/>
              <w:rPr>
                <w:rFonts w:cs="Arial"/>
                <w:color w:val="000000" w:themeColor="text1"/>
                <w:szCs w:val="16"/>
              </w:rPr>
            </w:pPr>
            <w:r w:rsidRPr="00781112">
              <w:rPr>
                <w:rFonts w:cs="Arial"/>
                <w:color w:val="000000" w:themeColor="text1"/>
                <w:szCs w:val="16"/>
              </w:rPr>
              <w:t>7.69%</w:t>
            </w:r>
          </w:p>
        </w:tc>
        <w:tc>
          <w:tcPr>
            <w:tcW w:w="503" w:type="pct"/>
            <w:shd w:val="clear" w:color="auto" w:fill="auto"/>
            <w:vAlign w:val="center"/>
          </w:tcPr>
          <w:p w14:paraId="7D508FD3" w14:textId="5052E8AD"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c>
          <w:tcPr>
            <w:tcW w:w="501" w:type="pct"/>
            <w:shd w:val="clear" w:color="auto" w:fill="auto"/>
            <w:vAlign w:val="center"/>
          </w:tcPr>
          <w:p w14:paraId="16AA84BF" w14:textId="66A4BF3F"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r>
    </w:tbl>
    <w:p w14:paraId="6907CCA3" w14:textId="77777777" w:rsidR="00C04118" w:rsidRPr="00781112" w:rsidRDefault="00C04118" w:rsidP="002423F2">
      <w:pPr>
        <w:rPr>
          <w:rFonts w:cs="Arial"/>
          <w:iCs/>
          <w:color w:val="000000" w:themeColor="text1"/>
          <w:szCs w:val="16"/>
        </w:rPr>
      </w:pPr>
    </w:p>
    <w:p w14:paraId="1E0C977F" w14:textId="77777777" w:rsidR="005004AB" w:rsidRPr="00781112" w:rsidRDefault="005004AB" w:rsidP="005004AB">
      <w:pPr>
        <w:rPr>
          <w:color w:val="000000" w:themeColor="text1"/>
        </w:rPr>
      </w:pPr>
    </w:p>
    <w:p w14:paraId="324457C6" w14:textId="2EBC6EF4" w:rsidR="00497DE4" w:rsidRPr="00781112" w:rsidRDefault="00F6415A" w:rsidP="004369B2">
      <w:pPr>
        <w:rPr>
          <w:b/>
          <w:color w:val="000000" w:themeColor="text1"/>
        </w:rPr>
      </w:pPr>
      <w:r w:rsidRPr="00781112">
        <w:rPr>
          <w:b/>
          <w:color w:val="000000" w:themeColor="text1"/>
        </w:rPr>
        <w:t>FFY 2020 SPP/APR Data: Math Assessment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MATHASS"/>
      </w:tblPr>
      <w:tblGrid>
        <w:gridCol w:w="481"/>
        <w:gridCol w:w="1048"/>
        <w:gridCol w:w="1932"/>
        <w:gridCol w:w="1932"/>
        <w:gridCol w:w="1078"/>
        <w:gridCol w:w="1078"/>
        <w:gridCol w:w="1078"/>
        <w:gridCol w:w="1078"/>
        <w:gridCol w:w="1076"/>
      </w:tblGrid>
      <w:tr w:rsidR="00A3100D" w:rsidRPr="00781112" w14:paraId="1ECD1184" w14:textId="77777777" w:rsidTr="00242D8A">
        <w:trPr>
          <w:tblHeader/>
          <w:jc w:val="center"/>
        </w:trPr>
        <w:tc>
          <w:tcPr>
            <w:tcW w:w="223" w:type="pct"/>
            <w:shd w:val="clear" w:color="auto" w:fill="auto"/>
            <w:vAlign w:val="bottom"/>
          </w:tcPr>
          <w:p w14:paraId="2B938423" w14:textId="01A79B33" w:rsidR="009E6C1A" w:rsidRPr="00781112" w:rsidRDefault="009E6C1A" w:rsidP="009E6C1A">
            <w:pPr>
              <w:jc w:val="center"/>
              <w:rPr>
                <w:b/>
                <w:color w:val="000000" w:themeColor="text1"/>
              </w:rPr>
            </w:pPr>
            <w:r w:rsidRPr="00781112">
              <w:rPr>
                <w:b/>
                <w:color w:val="000000" w:themeColor="text1"/>
              </w:rPr>
              <w:t>Group</w:t>
            </w:r>
          </w:p>
        </w:tc>
        <w:tc>
          <w:tcPr>
            <w:tcW w:w="486" w:type="pct"/>
            <w:shd w:val="clear" w:color="auto" w:fill="auto"/>
            <w:vAlign w:val="bottom"/>
          </w:tcPr>
          <w:p w14:paraId="45BFCF3F" w14:textId="3F4AB58B" w:rsidR="009E6C1A" w:rsidRPr="00781112" w:rsidRDefault="009E6C1A" w:rsidP="009E6C1A">
            <w:pPr>
              <w:jc w:val="center"/>
              <w:rPr>
                <w:b/>
                <w:color w:val="000000" w:themeColor="text1"/>
              </w:rPr>
            </w:pPr>
            <w:r w:rsidRPr="00781112">
              <w:rPr>
                <w:b/>
                <w:color w:val="000000" w:themeColor="text1"/>
              </w:rPr>
              <w:t>Group Name</w:t>
            </w:r>
          </w:p>
        </w:tc>
        <w:tc>
          <w:tcPr>
            <w:tcW w:w="896" w:type="pct"/>
            <w:shd w:val="clear" w:color="auto" w:fill="auto"/>
          </w:tcPr>
          <w:p w14:paraId="5541073C" w14:textId="30C0F75E" w:rsidR="009E6C1A" w:rsidRPr="00781112" w:rsidRDefault="009E6C1A" w:rsidP="009E6C1A">
            <w:pPr>
              <w:jc w:val="center"/>
              <w:rPr>
                <w:b/>
                <w:color w:val="000000" w:themeColor="text1"/>
              </w:rPr>
            </w:pPr>
            <w:r w:rsidRPr="00781112">
              <w:rPr>
                <w:b/>
                <w:bCs/>
              </w:rPr>
              <w:t>Number of Children with IEPs Scoring At or Above Proficient Against Grade Level Academic Achievement Standards</w:t>
            </w:r>
          </w:p>
        </w:tc>
        <w:tc>
          <w:tcPr>
            <w:tcW w:w="896" w:type="pct"/>
            <w:shd w:val="clear" w:color="auto" w:fill="auto"/>
          </w:tcPr>
          <w:p w14:paraId="3ABF5E71" w14:textId="763F0C86" w:rsidR="009E6C1A" w:rsidRPr="00781112" w:rsidRDefault="009E6C1A" w:rsidP="009E6C1A">
            <w:pPr>
              <w:jc w:val="center"/>
              <w:rPr>
                <w:b/>
                <w:color w:val="000000" w:themeColor="text1"/>
              </w:rPr>
            </w:pPr>
            <w:r w:rsidRPr="00781112">
              <w:rPr>
                <w:b/>
                <w:bCs/>
              </w:rPr>
              <w:t>Number of Children with IEPs who Received a Valid Score and for whom a Proficiency Level was Assigned for the Regular Assessment</w:t>
            </w:r>
          </w:p>
        </w:tc>
        <w:tc>
          <w:tcPr>
            <w:tcW w:w="500" w:type="pct"/>
            <w:shd w:val="clear" w:color="auto" w:fill="auto"/>
            <w:vAlign w:val="bottom"/>
          </w:tcPr>
          <w:p w14:paraId="5A96E021" w14:textId="0DF96355" w:rsidR="009E6C1A" w:rsidRPr="00781112" w:rsidRDefault="009E6C1A" w:rsidP="009E6C1A">
            <w:pPr>
              <w:jc w:val="center"/>
              <w:rPr>
                <w:b/>
                <w:color w:val="000000" w:themeColor="text1"/>
              </w:rPr>
            </w:pPr>
            <w:r w:rsidRPr="00781112">
              <w:rPr>
                <w:b/>
                <w:color w:val="000000" w:themeColor="text1"/>
              </w:rPr>
              <w:t>FFY 2019 Data</w:t>
            </w:r>
          </w:p>
        </w:tc>
        <w:tc>
          <w:tcPr>
            <w:tcW w:w="500" w:type="pct"/>
            <w:shd w:val="clear" w:color="auto" w:fill="auto"/>
            <w:vAlign w:val="bottom"/>
          </w:tcPr>
          <w:p w14:paraId="69212BFA" w14:textId="33645B71" w:rsidR="009E6C1A" w:rsidRPr="00781112" w:rsidRDefault="009E6C1A" w:rsidP="009E6C1A">
            <w:pPr>
              <w:jc w:val="center"/>
              <w:rPr>
                <w:b/>
                <w:color w:val="000000" w:themeColor="text1"/>
              </w:rPr>
            </w:pPr>
            <w:r w:rsidRPr="00781112">
              <w:rPr>
                <w:b/>
                <w:color w:val="000000" w:themeColor="text1"/>
              </w:rPr>
              <w:t>FFY 2020 Target</w:t>
            </w:r>
          </w:p>
        </w:tc>
        <w:tc>
          <w:tcPr>
            <w:tcW w:w="500" w:type="pct"/>
            <w:shd w:val="clear" w:color="auto" w:fill="auto"/>
            <w:vAlign w:val="bottom"/>
          </w:tcPr>
          <w:p w14:paraId="38A0F56E" w14:textId="2C14D44B" w:rsidR="009E6C1A" w:rsidRPr="00781112" w:rsidRDefault="009E6C1A" w:rsidP="009E6C1A">
            <w:pPr>
              <w:jc w:val="center"/>
              <w:rPr>
                <w:b/>
                <w:color w:val="000000" w:themeColor="text1"/>
              </w:rPr>
            </w:pPr>
            <w:r w:rsidRPr="00781112">
              <w:rPr>
                <w:b/>
                <w:color w:val="000000" w:themeColor="text1"/>
              </w:rPr>
              <w:t>FFY 2020 Data</w:t>
            </w:r>
          </w:p>
        </w:tc>
        <w:tc>
          <w:tcPr>
            <w:tcW w:w="500" w:type="pct"/>
            <w:shd w:val="clear" w:color="auto" w:fill="auto"/>
            <w:vAlign w:val="bottom"/>
          </w:tcPr>
          <w:p w14:paraId="11F44E1D" w14:textId="39A61F57" w:rsidR="009E6C1A" w:rsidRPr="00781112" w:rsidRDefault="009E6C1A" w:rsidP="009E6C1A">
            <w:pPr>
              <w:jc w:val="center"/>
              <w:rPr>
                <w:b/>
                <w:color w:val="000000" w:themeColor="text1"/>
              </w:rPr>
            </w:pPr>
            <w:r w:rsidRPr="00781112">
              <w:rPr>
                <w:b/>
                <w:color w:val="000000" w:themeColor="text1"/>
              </w:rPr>
              <w:t>Status</w:t>
            </w:r>
          </w:p>
        </w:tc>
        <w:tc>
          <w:tcPr>
            <w:tcW w:w="499" w:type="pct"/>
            <w:shd w:val="clear" w:color="auto" w:fill="auto"/>
            <w:vAlign w:val="bottom"/>
          </w:tcPr>
          <w:p w14:paraId="64655725" w14:textId="350D326F" w:rsidR="009E6C1A" w:rsidRPr="00781112" w:rsidRDefault="009E6C1A" w:rsidP="009E6C1A">
            <w:pPr>
              <w:jc w:val="center"/>
              <w:rPr>
                <w:b/>
                <w:color w:val="000000" w:themeColor="text1"/>
              </w:rPr>
            </w:pPr>
            <w:r w:rsidRPr="00781112">
              <w:rPr>
                <w:b/>
                <w:color w:val="000000" w:themeColor="text1"/>
              </w:rPr>
              <w:t>Slippage</w:t>
            </w:r>
          </w:p>
        </w:tc>
      </w:tr>
      <w:tr w:rsidR="00242D8A" w:rsidRPr="00781112" w14:paraId="14220C43" w14:textId="77777777" w:rsidTr="00242D8A">
        <w:trPr>
          <w:jc w:val="center"/>
        </w:trPr>
        <w:tc>
          <w:tcPr>
            <w:tcW w:w="223" w:type="pct"/>
            <w:shd w:val="clear" w:color="auto" w:fill="auto"/>
            <w:vAlign w:val="center"/>
          </w:tcPr>
          <w:p w14:paraId="16A9CDD2" w14:textId="5DBA3D3A" w:rsidR="00242D8A" w:rsidRPr="00781112" w:rsidRDefault="00242D8A" w:rsidP="00242D8A">
            <w:pPr>
              <w:pStyle w:val="Default"/>
              <w:jc w:val="center"/>
              <w:rPr>
                <w:b/>
                <w:color w:val="000000" w:themeColor="text1"/>
                <w:sz w:val="16"/>
                <w:szCs w:val="16"/>
              </w:rPr>
            </w:pPr>
            <w:r w:rsidRPr="00781112">
              <w:rPr>
                <w:rFonts w:eastAsiaTheme="minorHAnsi"/>
                <w:b/>
                <w:color w:val="000000" w:themeColor="text1"/>
                <w:sz w:val="16"/>
                <w:szCs w:val="16"/>
              </w:rPr>
              <w:t>A</w:t>
            </w:r>
          </w:p>
        </w:tc>
        <w:tc>
          <w:tcPr>
            <w:tcW w:w="486" w:type="pct"/>
            <w:shd w:val="clear" w:color="auto" w:fill="auto"/>
            <w:vAlign w:val="center"/>
          </w:tcPr>
          <w:p w14:paraId="1392C443" w14:textId="646DC1A9"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4</w:t>
            </w:r>
          </w:p>
        </w:tc>
        <w:tc>
          <w:tcPr>
            <w:tcW w:w="896" w:type="pct"/>
            <w:shd w:val="clear" w:color="auto" w:fill="auto"/>
            <w:vAlign w:val="center"/>
          </w:tcPr>
          <w:p w14:paraId="0B49B780" w14:textId="151DA31E" w:rsidR="00242D8A" w:rsidRPr="00781112" w:rsidRDefault="00242D8A" w:rsidP="00242D8A">
            <w:pPr>
              <w:jc w:val="center"/>
              <w:rPr>
                <w:rFonts w:cs="Arial"/>
                <w:color w:val="000000" w:themeColor="text1"/>
                <w:szCs w:val="16"/>
              </w:rPr>
            </w:pPr>
            <w:r w:rsidRPr="00781112">
              <w:rPr>
                <w:rFonts w:cs="Arial"/>
                <w:color w:val="000000" w:themeColor="text1"/>
                <w:szCs w:val="16"/>
              </w:rPr>
              <w:t>756</w:t>
            </w:r>
          </w:p>
        </w:tc>
        <w:tc>
          <w:tcPr>
            <w:tcW w:w="896" w:type="pct"/>
            <w:shd w:val="clear" w:color="auto" w:fill="auto"/>
            <w:vAlign w:val="center"/>
          </w:tcPr>
          <w:p w14:paraId="2611648C" w14:textId="77D930AD" w:rsidR="00242D8A" w:rsidRPr="00781112" w:rsidRDefault="00242D8A" w:rsidP="00242D8A">
            <w:pPr>
              <w:jc w:val="center"/>
              <w:rPr>
                <w:rFonts w:cs="Arial"/>
                <w:color w:val="000000" w:themeColor="text1"/>
                <w:szCs w:val="16"/>
              </w:rPr>
            </w:pPr>
            <w:r w:rsidRPr="00242D8A">
              <w:rPr>
                <w:rFonts w:cs="Arial"/>
                <w:color w:val="000000" w:themeColor="text1"/>
                <w:szCs w:val="16"/>
              </w:rPr>
              <w:t>6,098</w:t>
            </w:r>
          </w:p>
        </w:tc>
        <w:tc>
          <w:tcPr>
            <w:tcW w:w="500" w:type="pct"/>
            <w:shd w:val="clear" w:color="auto" w:fill="auto"/>
            <w:vAlign w:val="center"/>
          </w:tcPr>
          <w:p w14:paraId="044B076F" w14:textId="2D73EFD2" w:rsidR="00242D8A" w:rsidRPr="00781112" w:rsidRDefault="00242D8A" w:rsidP="00242D8A">
            <w:pPr>
              <w:jc w:val="center"/>
              <w:rPr>
                <w:rFonts w:cs="Arial"/>
                <w:color w:val="000000" w:themeColor="text1"/>
                <w:szCs w:val="16"/>
              </w:rPr>
            </w:pPr>
          </w:p>
        </w:tc>
        <w:tc>
          <w:tcPr>
            <w:tcW w:w="500" w:type="pct"/>
            <w:shd w:val="clear" w:color="auto" w:fill="auto"/>
            <w:vAlign w:val="center"/>
          </w:tcPr>
          <w:p w14:paraId="4D68E61F" w14:textId="36DB0B83" w:rsidR="00242D8A" w:rsidRPr="00781112" w:rsidRDefault="00242D8A" w:rsidP="00242D8A">
            <w:pPr>
              <w:jc w:val="center"/>
              <w:rPr>
                <w:rFonts w:cs="Arial"/>
                <w:color w:val="000000" w:themeColor="text1"/>
                <w:szCs w:val="16"/>
              </w:rPr>
            </w:pPr>
            <w:r w:rsidRPr="00781112">
              <w:rPr>
                <w:rFonts w:cs="Arial"/>
                <w:color w:val="000000" w:themeColor="text1"/>
                <w:szCs w:val="16"/>
              </w:rPr>
              <w:t>12.40%</w:t>
            </w:r>
          </w:p>
        </w:tc>
        <w:tc>
          <w:tcPr>
            <w:tcW w:w="500" w:type="pct"/>
            <w:shd w:val="clear" w:color="auto" w:fill="auto"/>
            <w:vAlign w:val="center"/>
          </w:tcPr>
          <w:p w14:paraId="4C5100F6" w14:textId="23EB35C9" w:rsidR="00242D8A" w:rsidRPr="00781112" w:rsidRDefault="00242D8A" w:rsidP="00242D8A">
            <w:pPr>
              <w:jc w:val="center"/>
              <w:rPr>
                <w:rFonts w:cs="Arial"/>
                <w:color w:val="000000" w:themeColor="text1"/>
                <w:szCs w:val="16"/>
              </w:rPr>
            </w:pPr>
            <w:r w:rsidRPr="00781112">
              <w:rPr>
                <w:rFonts w:cs="Arial"/>
                <w:color w:val="000000" w:themeColor="text1"/>
                <w:szCs w:val="16"/>
              </w:rPr>
              <w:t>12.40%</w:t>
            </w:r>
          </w:p>
        </w:tc>
        <w:tc>
          <w:tcPr>
            <w:tcW w:w="500" w:type="pct"/>
            <w:shd w:val="clear" w:color="auto" w:fill="auto"/>
            <w:vAlign w:val="center"/>
          </w:tcPr>
          <w:p w14:paraId="5A9EC511" w14:textId="6D6B7DF8"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c>
          <w:tcPr>
            <w:tcW w:w="499" w:type="pct"/>
            <w:shd w:val="clear" w:color="auto" w:fill="auto"/>
            <w:vAlign w:val="center"/>
          </w:tcPr>
          <w:p w14:paraId="17FB0601" w14:textId="6AA7FF5B"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r>
      <w:tr w:rsidR="00242D8A" w:rsidRPr="00781112" w14:paraId="33C5CE6C" w14:textId="77777777" w:rsidTr="00242D8A">
        <w:trPr>
          <w:jc w:val="center"/>
        </w:trPr>
        <w:tc>
          <w:tcPr>
            <w:tcW w:w="223" w:type="pct"/>
            <w:shd w:val="clear" w:color="auto" w:fill="auto"/>
            <w:vAlign w:val="center"/>
          </w:tcPr>
          <w:p w14:paraId="17123B1B" w14:textId="50BB2C71" w:rsidR="00242D8A" w:rsidRPr="00781112" w:rsidRDefault="00242D8A" w:rsidP="00242D8A">
            <w:pPr>
              <w:pStyle w:val="Default"/>
              <w:jc w:val="center"/>
              <w:rPr>
                <w:b/>
                <w:color w:val="000000" w:themeColor="text1"/>
                <w:sz w:val="16"/>
                <w:szCs w:val="16"/>
              </w:rPr>
            </w:pPr>
            <w:r w:rsidRPr="00781112">
              <w:rPr>
                <w:b/>
                <w:color w:val="000000" w:themeColor="text1"/>
                <w:sz w:val="16"/>
                <w:szCs w:val="16"/>
              </w:rPr>
              <w:t>B</w:t>
            </w:r>
          </w:p>
        </w:tc>
        <w:tc>
          <w:tcPr>
            <w:tcW w:w="486" w:type="pct"/>
            <w:shd w:val="clear" w:color="auto" w:fill="auto"/>
            <w:vAlign w:val="center"/>
          </w:tcPr>
          <w:p w14:paraId="45DA42B4" w14:textId="04F51E55"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8</w:t>
            </w:r>
          </w:p>
        </w:tc>
        <w:tc>
          <w:tcPr>
            <w:tcW w:w="896" w:type="pct"/>
            <w:shd w:val="clear" w:color="auto" w:fill="auto"/>
            <w:vAlign w:val="center"/>
          </w:tcPr>
          <w:p w14:paraId="31722F1C" w14:textId="2D076448" w:rsidR="00242D8A" w:rsidRPr="00781112" w:rsidRDefault="00242D8A" w:rsidP="00242D8A">
            <w:pPr>
              <w:jc w:val="center"/>
              <w:rPr>
                <w:rFonts w:cs="Arial"/>
                <w:color w:val="000000" w:themeColor="text1"/>
                <w:szCs w:val="16"/>
              </w:rPr>
            </w:pPr>
            <w:r w:rsidRPr="00781112">
              <w:rPr>
                <w:rFonts w:cs="Arial"/>
                <w:color w:val="000000" w:themeColor="text1"/>
                <w:szCs w:val="16"/>
              </w:rPr>
              <w:t>252</w:t>
            </w:r>
          </w:p>
        </w:tc>
        <w:tc>
          <w:tcPr>
            <w:tcW w:w="896" w:type="pct"/>
            <w:shd w:val="clear" w:color="auto" w:fill="auto"/>
            <w:vAlign w:val="center"/>
          </w:tcPr>
          <w:p w14:paraId="048616C6" w14:textId="622D5B53" w:rsidR="00242D8A" w:rsidRPr="00781112" w:rsidRDefault="00242D8A" w:rsidP="00242D8A">
            <w:pPr>
              <w:jc w:val="center"/>
              <w:rPr>
                <w:rFonts w:cs="Arial"/>
                <w:color w:val="000000" w:themeColor="text1"/>
                <w:szCs w:val="16"/>
              </w:rPr>
            </w:pPr>
            <w:r w:rsidRPr="00242D8A">
              <w:rPr>
                <w:rFonts w:cs="Arial"/>
                <w:color w:val="000000" w:themeColor="text1"/>
                <w:szCs w:val="16"/>
              </w:rPr>
              <w:t>5,162</w:t>
            </w:r>
          </w:p>
        </w:tc>
        <w:tc>
          <w:tcPr>
            <w:tcW w:w="500" w:type="pct"/>
            <w:shd w:val="clear" w:color="auto" w:fill="auto"/>
            <w:vAlign w:val="center"/>
          </w:tcPr>
          <w:p w14:paraId="272455FD" w14:textId="25614537" w:rsidR="00242D8A" w:rsidRPr="00781112" w:rsidRDefault="00242D8A" w:rsidP="00242D8A">
            <w:pPr>
              <w:jc w:val="center"/>
              <w:rPr>
                <w:rFonts w:cs="Arial"/>
                <w:color w:val="000000" w:themeColor="text1"/>
                <w:szCs w:val="16"/>
              </w:rPr>
            </w:pPr>
          </w:p>
        </w:tc>
        <w:tc>
          <w:tcPr>
            <w:tcW w:w="500" w:type="pct"/>
            <w:shd w:val="clear" w:color="auto" w:fill="auto"/>
            <w:vAlign w:val="center"/>
          </w:tcPr>
          <w:p w14:paraId="38039D42" w14:textId="45468742" w:rsidR="00242D8A" w:rsidRPr="00781112" w:rsidRDefault="00242D8A" w:rsidP="00242D8A">
            <w:pPr>
              <w:jc w:val="center"/>
              <w:rPr>
                <w:rFonts w:cs="Arial"/>
                <w:color w:val="000000" w:themeColor="text1"/>
                <w:szCs w:val="16"/>
              </w:rPr>
            </w:pPr>
            <w:r w:rsidRPr="00781112">
              <w:rPr>
                <w:rFonts w:cs="Arial"/>
                <w:color w:val="000000" w:themeColor="text1"/>
                <w:szCs w:val="16"/>
              </w:rPr>
              <w:t>4.88%</w:t>
            </w:r>
          </w:p>
        </w:tc>
        <w:tc>
          <w:tcPr>
            <w:tcW w:w="500" w:type="pct"/>
            <w:shd w:val="clear" w:color="auto" w:fill="auto"/>
            <w:vAlign w:val="center"/>
          </w:tcPr>
          <w:p w14:paraId="7DB4B85A" w14:textId="6DFB205A" w:rsidR="00242D8A" w:rsidRPr="00781112" w:rsidRDefault="00242D8A" w:rsidP="00242D8A">
            <w:pPr>
              <w:jc w:val="center"/>
              <w:rPr>
                <w:rFonts w:cs="Arial"/>
                <w:color w:val="000000" w:themeColor="text1"/>
                <w:szCs w:val="16"/>
              </w:rPr>
            </w:pPr>
            <w:r w:rsidRPr="00781112">
              <w:rPr>
                <w:rFonts w:cs="Arial"/>
                <w:color w:val="000000" w:themeColor="text1"/>
                <w:szCs w:val="16"/>
              </w:rPr>
              <w:t>4.88%</w:t>
            </w:r>
          </w:p>
        </w:tc>
        <w:tc>
          <w:tcPr>
            <w:tcW w:w="500" w:type="pct"/>
            <w:shd w:val="clear" w:color="auto" w:fill="auto"/>
            <w:vAlign w:val="center"/>
          </w:tcPr>
          <w:p w14:paraId="19114A8F" w14:textId="4F4B3C10"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c>
          <w:tcPr>
            <w:tcW w:w="499" w:type="pct"/>
            <w:shd w:val="clear" w:color="auto" w:fill="auto"/>
            <w:vAlign w:val="center"/>
          </w:tcPr>
          <w:p w14:paraId="47661F26" w14:textId="727C9546"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r>
      <w:tr w:rsidR="00242D8A" w:rsidRPr="00781112" w14:paraId="573A5711" w14:textId="77777777" w:rsidTr="00242D8A">
        <w:trPr>
          <w:jc w:val="center"/>
        </w:trPr>
        <w:tc>
          <w:tcPr>
            <w:tcW w:w="223" w:type="pct"/>
            <w:shd w:val="clear" w:color="auto" w:fill="auto"/>
            <w:vAlign w:val="center"/>
          </w:tcPr>
          <w:p w14:paraId="3C25BE15" w14:textId="77777777" w:rsidR="00242D8A" w:rsidRPr="00781112" w:rsidRDefault="00242D8A" w:rsidP="00242D8A">
            <w:pPr>
              <w:pStyle w:val="Default"/>
              <w:jc w:val="center"/>
              <w:rPr>
                <w:rFonts w:eastAsiaTheme="minorHAnsi"/>
                <w:color w:val="000000" w:themeColor="text1"/>
                <w:sz w:val="16"/>
                <w:szCs w:val="16"/>
              </w:rPr>
            </w:pPr>
            <w:r w:rsidRPr="00781112">
              <w:rPr>
                <w:b/>
                <w:color w:val="000000" w:themeColor="text1"/>
                <w:sz w:val="16"/>
                <w:szCs w:val="16"/>
              </w:rPr>
              <w:t>C</w:t>
            </w:r>
          </w:p>
        </w:tc>
        <w:tc>
          <w:tcPr>
            <w:tcW w:w="486" w:type="pct"/>
            <w:shd w:val="clear" w:color="auto" w:fill="auto"/>
            <w:vAlign w:val="center"/>
          </w:tcPr>
          <w:p w14:paraId="1B1F6BC3" w14:textId="7816ECC7"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HS</w:t>
            </w:r>
          </w:p>
        </w:tc>
        <w:tc>
          <w:tcPr>
            <w:tcW w:w="896" w:type="pct"/>
            <w:shd w:val="clear" w:color="auto" w:fill="auto"/>
            <w:vAlign w:val="center"/>
          </w:tcPr>
          <w:p w14:paraId="0EFA1043" w14:textId="0F9EE258" w:rsidR="00242D8A" w:rsidRPr="00781112" w:rsidRDefault="00242D8A" w:rsidP="00242D8A">
            <w:pPr>
              <w:jc w:val="center"/>
              <w:rPr>
                <w:rFonts w:cs="Arial"/>
                <w:color w:val="000000" w:themeColor="text1"/>
                <w:szCs w:val="16"/>
              </w:rPr>
            </w:pPr>
            <w:r w:rsidRPr="00781112">
              <w:rPr>
                <w:rFonts w:cs="Arial"/>
                <w:color w:val="000000" w:themeColor="text1"/>
                <w:szCs w:val="16"/>
              </w:rPr>
              <w:t>263</w:t>
            </w:r>
          </w:p>
        </w:tc>
        <w:tc>
          <w:tcPr>
            <w:tcW w:w="896" w:type="pct"/>
            <w:shd w:val="clear" w:color="auto" w:fill="auto"/>
            <w:vAlign w:val="center"/>
          </w:tcPr>
          <w:p w14:paraId="2A4E8BA5" w14:textId="01157060" w:rsidR="00242D8A" w:rsidRPr="00781112" w:rsidRDefault="00242D8A" w:rsidP="00242D8A">
            <w:pPr>
              <w:jc w:val="center"/>
              <w:rPr>
                <w:rFonts w:cs="Arial"/>
                <w:color w:val="000000" w:themeColor="text1"/>
                <w:szCs w:val="16"/>
              </w:rPr>
            </w:pPr>
            <w:r w:rsidRPr="00242D8A">
              <w:rPr>
                <w:rFonts w:cs="Arial"/>
                <w:color w:val="000000" w:themeColor="text1"/>
                <w:szCs w:val="16"/>
              </w:rPr>
              <w:t>4,702</w:t>
            </w:r>
          </w:p>
        </w:tc>
        <w:tc>
          <w:tcPr>
            <w:tcW w:w="500" w:type="pct"/>
            <w:shd w:val="clear" w:color="auto" w:fill="auto"/>
            <w:vAlign w:val="center"/>
          </w:tcPr>
          <w:p w14:paraId="2250005A" w14:textId="360EA34B" w:rsidR="00242D8A" w:rsidRPr="00781112" w:rsidRDefault="00242D8A" w:rsidP="00242D8A">
            <w:pPr>
              <w:jc w:val="center"/>
              <w:rPr>
                <w:rFonts w:cs="Arial"/>
                <w:color w:val="000000" w:themeColor="text1"/>
                <w:szCs w:val="16"/>
              </w:rPr>
            </w:pPr>
          </w:p>
        </w:tc>
        <w:tc>
          <w:tcPr>
            <w:tcW w:w="500" w:type="pct"/>
            <w:shd w:val="clear" w:color="auto" w:fill="auto"/>
            <w:vAlign w:val="center"/>
          </w:tcPr>
          <w:p w14:paraId="722A3424" w14:textId="24478E1D" w:rsidR="00242D8A" w:rsidRPr="00781112" w:rsidRDefault="00242D8A" w:rsidP="00242D8A">
            <w:pPr>
              <w:jc w:val="center"/>
              <w:rPr>
                <w:rFonts w:cs="Arial"/>
                <w:color w:val="000000" w:themeColor="text1"/>
                <w:szCs w:val="16"/>
              </w:rPr>
            </w:pPr>
            <w:r w:rsidRPr="00781112">
              <w:rPr>
                <w:rFonts w:cs="Arial"/>
                <w:color w:val="000000" w:themeColor="text1"/>
                <w:szCs w:val="16"/>
              </w:rPr>
              <w:t>5.59%</w:t>
            </w:r>
          </w:p>
        </w:tc>
        <w:tc>
          <w:tcPr>
            <w:tcW w:w="500" w:type="pct"/>
            <w:shd w:val="clear" w:color="auto" w:fill="auto"/>
            <w:vAlign w:val="center"/>
          </w:tcPr>
          <w:p w14:paraId="581F32CD" w14:textId="4D615B60" w:rsidR="00242D8A" w:rsidRPr="00781112" w:rsidRDefault="00242D8A" w:rsidP="00242D8A">
            <w:pPr>
              <w:jc w:val="center"/>
              <w:rPr>
                <w:rFonts w:cs="Arial"/>
                <w:color w:val="000000" w:themeColor="text1"/>
                <w:szCs w:val="16"/>
              </w:rPr>
            </w:pPr>
            <w:r w:rsidRPr="00781112">
              <w:rPr>
                <w:rFonts w:cs="Arial"/>
                <w:color w:val="000000" w:themeColor="text1"/>
                <w:szCs w:val="16"/>
              </w:rPr>
              <w:t>5.59%</w:t>
            </w:r>
          </w:p>
        </w:tc>
        <w:tc>
          <w:tcPr>
            <w:tcW w:w="500" w:type="pct"/>
            <w:shd w:val="clear" w:color="auto" w:fill="auto"/>
            <w:vAlign w:val="center"/>
          </w:tcPr>
          <w:p w14:paraId="3FECC7B3" w14:textId="2C921A8F"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c>
          <w:tcPr>
            <w:tcW w:w="499" w:type="pct"/>
            <w:shd w:val="clear" w:color="auto" w:fill="auto"/>
            <w:vAlign w:val="center"/>
          </w:tcPr>
          <w:p w14:paraId="79B60713" w14:textId="20FD7180"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r>
    </w:tbl>
    <w:p w14:paraId="197C30C8" w14:textId="77777777" w:rsidR="00CF57A2" w:rsidRPr="00781112" w:rsidRDefault="00CF57A2" w:rsidP="00580134">
      <w:pPr>
        <w:rPr>
          <w:rFonts w:cs="Arial"/>
          <w:iCs/>
          <w:color w:val="000000" w:themeColor="text1"/>
          <w:szCs w:val="16"/>
        </w:rPr>
      </w:pPr>
    </w:p>
    <w:p w14:paraId="491BF673" w14:textId="01A5E679" w:rsidR="00140972" w:rsidRDefault="00140972">
      <w:pPr>
        <w:spacing w:before="0" w:after="200" w:line="276" w:lineRule="auto"/>
        <w:rPr>
          <w:color w:val="000000" w:themeColor="text1"/>
        </w:rPr>
      </w:pPr>
      <w:r>
        <w:rPr>
          <w:color w:val="000000" w:themeColor="text1"/>
        </w:rPr>
        <w:br w:type="page"/>
      </w:r>
    </w:p>
    <w:p w14:paraId="548763BB" w14:textId="77777777" w:rsidR="00585959" w:rsidRPr="00781112" w:rsidRDefault="00585959" w:rsidP="005004AB">
      <w:pPr>
        <w:rPr>
          <w:color w:val="000000" w:themeColor="text1"/>
        </w:rPr>
      </w:pPr>
    </w:p>
    <w:p w14:paraId="3D6382E8" w14:textId="3FF585D4" w:rsidR="00497DE4" w:rsidRPr="00781112" w:rsidRDefault="00497DE4" w:rsidP="004369B2">
      <w:pPr>
        <w:rPr>
          <w:color w:val="000000" w:themeColor="text1"/>
        </w:rPr>
      </w:pPr>
      <w:r w:rsidRPr="00781112">
        <w:rPr>
          <w:b/>
          <w:color w:val="000000" w:themeColor="text1"/>
        </w:rPr>
        <w:t>Regulatory Information</w:t>
      </w:r>
    </w:p>
    <w:p w14:paraId="3C6B4961" w14:textId="47AFDEDF" w:rsidR="00497DE4" w:rsidRPr="00781112" w:rsidRDefault="00A14B5D" w:rsidP="00552927">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00497DE4" w:rsidRPr="00781112">
        <w:rPr>
          <w:rFonts w:cs="Arial"/>
          <w:b/>
          <w:color w:val="000000" w:themeColor="text1"/>
          <w:szCs w:val="16"/>
          <w:shd w:val="clear" w:color="auto" w:fill="FFFFFF"/>
        </w:rPr>
        <w:t xml:space="preserve"> </w:t>
      </w:r>
    </w:p>
    <w:p w14:paraId="0071F535" w14:textId="77777777" w:rsidR="00585959" w:rsidRPr="00781112" w:rsidRDefault="00585959" w:rsidP="004369B2">
      <w:pPr>
        <w:rPr>
          <w:color w:val="000000" w:themeColor="text1"/>
        </w:rPr>
      </w:pPr>
    </w:p>
    <w:p w14:paraId="36CE185D" w14:textId="50CA6AD9" w:rsidR="000A5A2E" w:rsidRPr="00781112" w:rsidRDefault="000A5A2E" w:rsidP="004369B2">
      <w:pPr>
        <w:rPr>
          <w:color w:val="000000" w:themeColor="text1"/>
        </w:rPr>
      </w:pPr>
      <w:r w:rsidRPr="00781112">
        <w:rPr>
          <w:b/>
          <w:color w:val="000000" w:themeColor="text1"/>
        </w:rPr>
        <w:t>Public Reporting Information</w:t>
      </w:r>
    </w:p>
    <w:p w14:paraId="09EDA537" w14:textId="77777777" w:rsidR="00E539AB" w:rsidRPr="00781112" w:rsidRDefault="00E539AB" w:rsidP="00E539AB">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11DD1A5" w14:textId="0E809EBD" w:rsidR="00A869E9" w:rsidRPr="00781112" w:rsidRDefault="002B7490" w:rsidP="00E539AB">
      <w:pPr>
        <w:rPr>
          <w:rFonts w:cs="Arial"/>
          <w:color w:val="000000" w:themeColor="text1"/>
          <w:szCs w:val="16"/>
        </w:rPr>
      </w:pPr>
      <w:r w:rsidRPr="00781112">
        <w:rPr>
          <w:rFonts w:cs="Arial"/>
          <w:color w:val="000000" w:themeColor="text1"/>
          <w:szCs w:val="16"/>
        </w:rPr>
        <w:t xml:space="preserve">The "Regular and Alternate Test Summary" publicly reports participation and performance results for children with disabilities on regular assessments - with or without accommodations - and alternate assessments. </w:t>
      </w:r>
      <w:r w:rsidRPr="00781112">
        <w:rPr>
          <w:rFonts w:cs="Arial"/>
          <w:color w:val="000000" w:themeColor="text1"/>
          <w:szCs w:val="16"/>
        </w:rPr>
        <w:br/>
      </w:r>
      <w:r w:rsidRPr="00781112">
        <w:rPr>
          <w:rFonts w:cs="Arial"/>
          <w:color w:val="000000" w:themeColor="text1"/>
          <w:szCs w:val="16"/>
        </w:rPr>
        <w:br/>
        <w:t>For Spring 2021 results, use the following link:</w:t>
      </w:r>
      <w:r w:rsidRPr="00781112">
        <w:rPr>
          <w:rFonts w:cs="Arial"/>
          <w:color w:val="000000" w:themeColor="text1"/>
          <w:szCs w:val="16"/>
        </w:rPr>
        <w:br/>
        <w:t xml:space="preserve">https://www.louisianabelieves.com/docs/default-source/academics/regular-and-alternate-test-summary-2021.xlsx?sfvrsn=7cc26518_2. </w:t>
      </w:r>
      <w:r w:rsidRPr="00781112">
        <w:rPr>
          <w:rFonts w:cs="Arial"/>
          <w:color w:val="000000" w:themeColor="text1"/>
          <w:szCs w:val="16"/>
        </w:rPr>
        <w:br/>
      </w:r>
      <w:r w:rsidRPr="00781112">
        <w:rPr>
          <w:rFonts w:cs="Arial"/>
          <w:color w:val="000000" w:themeColor="text1"/>
          <w:szCs w:val="16"/>
        </w:rPr>
        <w:br/>
        <w:t xml:space="preserve">For past assessment results, use the link below. The results are available under the Special Education Data section. </w:t>
      </w:r>
      <w:r w:rsidRPr="00781112">
        <w:rPr>
          <w:rFonts w:cs="Arial"/>
          <w:color w:val="000000" w:themeColor="text1"/>
          <w:szCs w:val="16"/>
        </w:rPr>
        <w:br/>
        <w:t>https://louisianabelieves.com/resources/library/special-education-reporting-and-funding</w:t>
      </w:r>
    </w:p>
    <w:p w14:paraId="2BE473B4" w14:textId="77777777" w:rsidR="00053391" w:rsidRPr="00781112" w:rsidRDefault="00053391" w:rsidP="004369B2">
      <w:pPr>
        <w:rPr>
          <w:b/>
          <w:color w:val="000000" w:themeColor="text1"/>
        </w:rPr>
      </w:pPr>
      <w:bookmarkStart w:id="15" w:name="_Toc382082367"/>
      <w:bookmarkStart w:id="16" w:name="_Toc392159276"/>
      <w:r w:rsidRPr="00781112">
        <w:rPr>
          <w:b/>
          <w:color w:val="000000" w:themeColor="text1"/>
        </w:rPr>
        <w:t>Provide additional information about this indicator (optional)</w:t>
      </w:r>
    </w:p>
    <w:p w14:paraId="3E9E8793" w14:textId="126D5C73" w:rsidR="00A869E9" w:rsidRPr="00781112" w:rsidRDefault="002B7490" w:rsidP="000E33D0">
      <w:pPr>
        <w:rPr>
          <w:rFonts w:cs="Arial"/>
          <w:color w:val="000000" w:themeColor="text1"/>
          <w:szCs w:val="16"/>
        </w:rPr>
      </w:pPr>
      <w:r w:rsidRPr="00781112">
        <w:rPr>
          <w:rFonts w:cs="Arial"/>
          <w:color w:val="000000" w:themeColor="text1"/>
          <w:szCs w:val="16"/>
        </w:rPr>
        <w:t>FFY 2020 is the first year reporting this target and reporting ELA and math proficiency by grades 4, 8 and HS. Additionally, this is the first year that the State is defining proficiency as scoring Mastery+ instead of Basic+ on our statewide assessments. This is also the State's first set of statewide assessment data post-pandemic.</w:t>
      </w:r>
    </w:p>
    <w:p w14:paraId="7E90E47A" w14:textId="1FCF2660" w:rsidR="000A2C83" w:rsidRPr="00781112" w:rsidRDefault="00573F6C" w:rsidP="008645AD">
      <w:pPr>
        <w:pStyle w:val="Heading2"/>
      </w:pPr>
      <w:r w:rsidRPr="00781112">
        <w:t>3B</w:t>
      </w:r>
      <w:r w:rsidR="00BB4FD7" w:rsidRPr="00781112">
        <w:t xml:space="preserve"> </w:t>
      </w:r>
      <w:r w:rsidRPr="00781112">
        <w:t xml:space="preserve">- </w:t>
      </w:r>
      <w:r w:rsidR="000A2C83" w:rsidRPr="00781112">
        <w:t>Prior FFY Required Actions</w:t>
      </w:r>
    </w:p>
    <w:p w14:paraId="020116A7" w14:textId="30989224" w:rsidR="00CA1E5A" w:rsidRPr="00781112" w:rsidRDefault="002B7490" w:rsidP="000A2C83">
      <w:pPr>
        <w:rPr>
          <w:rFonts w:cs="Arial"/>
          <w:color w:val="000000" w:themeColor="text1"/>
          <w:szCs w:val="16"/>
        </w:rPr>
      </w:pPr>
      <w:r w:rsidRPr="00781112">
        <w:rPr>
          <w:rFonts w:cs="Arial"/>
          <w:color w:val="000000" w:themeColor="text1"/>
          <w:szCs w:val="16"/>
        </w:rPr>
        <w:t>None</w:t>
      </w:r>
    </w:p>
    <w:p w14:paraId="40E83F51" w14:textId="68FFF50F" w:rsidR="00053391" w:rsidRPr="00781112" w:rsidRDefault="00573F6C" w:rsidP="008645AD">
      <w:pPr>
        <w:pStyle w:val="Heading2"/>
      </w:pPr>
      <w:r w:rsidRPr="00781112">
        <w:t>3B - OSEP Response</w:t>
      </w:r>
    </w:p>
    <w:p w14:paraId="3ED35024" w14:textId="0A8D2725" w:rsidR="00A869E9" w:rsidRPr="00781112" w:rsidRDefault="002B7490" w:rsidP="001F692C">
      <w:pPr>
        <w:rPr>
          <w:rFonts w:cs="Arial"/>
          <w:color w:val="000000" w:themeColor="text1"/>
          <w:szCs w:val="16"/>
        </w:rPr>
      </w:pPr>
      <w:r w:rsidRPr="00781112">
        <w:rPr>
          <w:rFonts w:cs="Arial"/>
          <w:color w:val="000000" w:themeColor="text1"/>
          <w:szCs w:val="16"/>
          <w:shd w:val="clear" w:color="auto" w:fill="FFFFFF"/>
        </w:rPr>
        <w:t>The State has revised the baseline for this indicator, using data from FFY 2020, and OSEP accepts that revision.</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The State provided targets for FFYs 2020 through 2025 for this indicator, and OSEP accepts those targets.</w:t>
      </w:r>
    </w:p>
    <w:p w14:paraId="4E98DE68" w14:textId="3E692587" w:rsidR="00053391" w:rsidRPr="00781112" w:rsidRDefault="00573F6C" w:rsidP="008645AD">
      <w:pPr>
        <w:pStyle w:val="Heading2"/>
      </w:pPr>
      <w:r w:rsidRPr="00781112">
        <w:t>3B - Required Actions</w:t>
      </w:r>
    </w:p>
    <w:p w14:paraId="54E3AE73" w14:textId="681577C9" w:rsidR="00A869E9" w:rsidRPr="00781112" w:rsidRDefault="00A869E9" w:rsidP="001F692C">
      <w:pPr>
        <w:rPr>
          <w:rFonts w:cs="Arial"/>
          <w:color w:val="000000" w:themeColor="text1"/>
          <w:szCs w:val="16"/>
        </w:rPr>
      </w:pPr>
    </w:p>
    <w:p w14:paraId="4DBC1CB9"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62E86A4" w14:textId="6BD07048" w:rsidR="009D378C" w:rsidRPr="00781112" w:rsidRDefault="009D378C">
      <w:pPr>
        <w:pStyle w:val="Heading1"/>
        <w:rPr>
          <w:color w:val="000000" w:themeColor="text1"/>
          <w:sz w:val="22"/>
        </w:rPr>
      </w:pPr>
      <w:r w:rsidRPr="00781112">
        <w:rPr>
          <w:color w:val="000000" w:themeColor="text1"/>
          <w:sz w:val="22"/>
        </w:rPr>
        <w:lastRenderedPageBreak/>
        <w:t>Indicator 3C: Proficiency for Children with IEPs (Alternate Academic Achievement Standards)</w:t>
      </w:r>
      <w:bookmarkEnd w:id="15"/>
      <w:bookmarkEnd w:id="16"/>
    </w:p>
    <w:p w14:paraId="52EFBCBE" w14:textId="26DA486B" w:rsidR="008878CC" w:rsidRPr="00781112" w:rsidRDefault="008878CC" w:rsidP="00A018D4">
      <w:pPr>
        <w:rPr>
          <w:color w:val="000000" w:themeColor="text1"/>
          <w:szCs w:val="20"/>
        </w:rPr>
      </w:pPr>
      <w:r w:rsidRPr="00781112">
        <w:rPr>
          <w:b/>
          <w:color w:val="000000" w:themeColor="text1"/>
          <w:sz w:val="20"/>
          <w:szCs w:val="20"/>
        </w:rPr>
        <w:t xml:space="preserve">Instructions and Measurement </w:t>
      </w:r>
    </w:p>
    <w:p w14:paraId="241F1C78" w14:textId="77777777" w:rsidR="000A5A2E" w:rsidRPr="00781112" w:rsidRDefault="000A5A2E" w:rsidP="004369B2">
      <w:pPr>
        <w:rPr>
          <w:color w:val="000000" w:themeColor="text1"/>
        </w:rPr>
      </w:pPr>
      <w:bookmarkStart w:id="17" w:name="_Toc384383330"/>
      <w:bookmarkStart w:id="18" w:name="_Toc392159282"/>
      <w:bookmarkStart w:id="19" w:name="_Toc382082372"/>
      <w:r w:rsidRPr="00781112">
        <w:rPr>
          <w:b/>
          <w:color w:val="000000" w:themeColor="text1"/>
        </w:rPr>
        <w:t xml:space="preserve">Monitoring Priority: </w:t>
      </w:r>
      <w:r w:rsidRPr="00781112">
        <w:rPr>
          <w:color w:val="000000" w:themeColor="text1"/>
        </w:rPr>
        <w:t>FAPE in the LRE</w:t>
      </w:r>
    </w:p>
    <w:p w14:paraId="40B194E0" w14:textId="1AA1580D" w:rsidR="000A5A2E" w:rsidRPr="00781112" w:rsidRDefault="000A5A2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Participation and performance </w:t>
      </w:r>
      <w:r w:rsidR="00DA7FAE" w:rsidRPr="00781112">
        <w:rPr>
          <w:rFonts w:cs="Arial"/>
          <w:color w:val="000000" w:themeColor="text1"/>
          <w:szCs w:val="16"/>
        </w:rPr>
        <w:t xml:space="preserve">of </w:t>
      </w:r>
      <w:r w:rsidRPr="00781112">
        <w:rPr>
          <w:rFonts w:cs="Arial"/>
          <w:color w:val="000000" w:themeColor="text1"/>
          <w:szCs w:val="16"/>
        </w:rPr>
        <w:t>children with IEPs on statewide assessments:</w:t>
      </w:r>
    </w:p>
    <w:p w14:paraId="7F5EE1F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A. Participation rate for children with IEPs.</w:t>
      </w:r>
    </w:p>
    <w:p w14:paraId="76102D80"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65AE871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7381D72B"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57288DF2" w14:textId="77777777" w:rsidR="00385214" w:rsidRPr="00781112" w:rsidRDefault="00385214" w:rsidP="00385214">
      <w:pPr>
        <w:rPr>
          <w:rFonts w:cs="Arial"/>
          <w:color w:val="000000" w:themeColor="text1"/>
          <w:szCs w:val="16"/>
        </w:rPr>
      </w:pPr>
      <w:r w:rsidRPr="00781112">
        <w:rPr>
          <w:rFonts w:cs="Arial"/>
          <w:color w:val="000000" w:themeColor="text1"/>
          <w:szCs w:val="16"/>
        </w:rPr>
        <w:t>(20 U.S.C. 1416 (a)(3)(A))</w:t>
      </w:r>
    </w:p>
    <w:p w14:paraId="363AAB3C" w14:textId="77777777" w:rsidR="000A5A2E" w:rsidRPr="00781112" w:rsidRDefault="000A5A2E" w:rsidP="004369B2">
      <w:pPr>
        <w:rPr>
          <w:color w:val="000000" w:themeColor="text1"/>
        </w:rPr>
      </w:pPr>
      <w:r w:rsidRPr="00781112">
        <w:rPr>
          <w:b/>
          <w:color w:val="000000" w:themeColor="text1"/>
        </w:rPr>
        <w:t>Data Source</w:t>
      </w:r>
    </w:p>
    <w:p w14:paraId="274B140A" w14:textId="3ABBB221" w:rsidR="000A5A2E" w:rsidRPr="00781112" w:rsidRDefault="000A5A2E" w:rsidP="00552927">
      <w:pPr>
        <w:rPr>
          <w:rFonts w:cs="Arial"/>
          <w:color w:val="000000" w:themeColor="text1"/>
          <w:szCs w:val="16"/>
        </w:rPr>
      </w:pPr>
      <w:r w:rsidRPr="00781112">
        <w:rPr>
          <w:rFonts w:cs="Arial"/>
          <w:color w:val="000000" w:themeColor="text1"/>
          <w:szCs w:val="16"/>
        </w:rPr>
        <w:t>3C. Same data as used for reporting to the Department under Title I of the ESEA, using EDFacts file specifications FS175 and 178.</w:t>
      </w:r>
    </w:p>
    <w:p w14:paraId="064C7F6E" w14:textId="77777777" w:rsidR="000A5A2E" w:rsidRPr="00781112" w:rsidRDefault="000A5A2E" w:rsidP="004369B2">
      <w:pPr>
        <w:rPr>
          <w:color w:val="000000" w:themeColor="text1"/>
        </w:rPr>
      </w:pPr>
      <w:r w:rsidRPr="00781112">
        <w:rPr>
          <w:b/>
          <w:color w:val="000000" w:themeColor="text1"/>
        </w:rPr>
        <w:t>Measurement</w:t>
      </w:r>
    </w:p>
    <w:p w14:paraId="7639A7B8" w14:textId="3B2FB141" w:rsidR="000A5A2E" w:rsidRPr="00781112" w:rsidRDefault="000A5A2E" w:rsidP="00552927">
      <w:pPr>
        <w:rPr>
          <w:rFonts w:cs="Arial"/>
          <w:color w:val="000000" w:themeColor="text1"/>
          <w:szCs w:val="16"/>
        </w:rPr>
      </w:pPr>
      <w:r w:rsidRPr="00781112">
        <w:rPr>
          <w:rFonts w:cs="Arial"/>
          <w:color w:val="000000" w:themeColor="text1"/>
          <w:szCs w:val="16"/>
        </w:rPr>
        <w:t xml:space="preserve">C. </w:t>
      </w:r>
      <w:r w:rsidR="00385214" w:rsidRPr="00781112">
        <w:rPr>
          <w:rFonts w:cs="Arial"/>
          <w:szCs w:val="16"/>
        </w:rPr>
        <w:t>Proficiency rate percent = [(# of children with IEPs scoring at or above proficient against alternate academic achievement standards) divided by the (total # of children with IEPs who received a valid score and for whom a proficiency level was assigned for the alternate assessment)]. Calculate separately for reading and math.  Calculate separately for grades 4, 8, and high school. The proficiency rate includes both children with IEPs enrolled for a full academic year and those not enrolled for a full academic year.</w:t>
      </w:r>
    </w:p>
    <w:p w14:paraId="1CE435A8" w14:textId="77777777" w:rsidR="000A5A2E" w:rsidRPr="00781112" w:rsidRDefault="000A5A2E" w:rsidP="004369B2">
      <w:pPr>
        <w:rPr>
          <w:color w:val="000000" w:themeColor="text1"/>
        </w:rPr>
      </w:pPr>
      <w:r w:rsidRPr="00781112">
        <w:rPr>
          <w:b/>
          <w:color w:val="000000" w:themeColor="text1"/>
        </w:rPr>
        <w:t>Instructions</w:t>
      </w:r>
    </w:p>
    <w:p w14:paraId="79EB3296" w14:textId="77777777" w:rsidR="000A5A2E" w:rsidRPr="00781112" w:rsidRDefault="000A5A2E" w:rsidP="00552927">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4F00AC69" w14:textId="77777777" w:rsidR="000A5A2E" w:rsidRPr="00781112" w:rsidRDefault="000A5A2E" w:rsidP="00552927">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04E96BDA" w14:textId="77777777" w:rsidR="00385214" w:rsidRPr="00781112" w:rsidRDefault="000A5A2E" w:rsidP="00385214">
      <w:pPr>
        <w:rPr>
          <w:rFonts w:cs="Arial"/>
          <w:szCs w:val="16"/>
        </w:rPr>
      </w:pPr>
      <w:r w:rsidRPr="00781112">
        <w:rPr>
          <w:rFonts w:cs="Arial"/>
          <w:color w:val="000000" w:themeColor="text1"/>
          <w:szCs w:val="16"/>
        </w:rPr>
        <w:t xml:space="preserve">Indicator 3C: </w:t>
      </w:r>
      <w:r w:rsidR="00385214" w:rsidRPr="00781112">
        <w:rPr>
          <w:rFonts w:cs="Arial"/>
          <w:szCs w:val="16"/>
        </w:rPr>
        <w:t>Proficiency calculations in this SPP/APR must result in proficiency rates for children with IEPs on the alternate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w:t>
      </w:r>
    </w:p>
    <w:p w14:paraId="1015A11D" w14:textId="071607C2" w:rsidR="000A5A2E" w:rsidRPr="00781112" w:rsidRDefault="00385214" w:rsidP="00385214">
      <w:pPr>
        <w:rPr>
          <w:rFonts w:cs="Arial"/>
          <w:color w:val="000000" w:themeColor="text1"/>
          <w:szCs w:val="16"/>
        </w:rPr>
      </w:pPr>
      <w:r w:rsidRPr="00781112">
        <w:rPr>
          <w:rFonts w:cs="Arial"/>
          <w:szCs w:val="16"/>
        </w:rPr>
        <w:t>of testing.</w:t>
      </w:r>
    </w:p>
    <w:p w14:paraId="7CE600A3" w14:textId="62D18727" w:rsidR="001B5210" w:rsidRPr="00781112" w:rsidRDefault="00573F6C" w:rsidP="008645AD">
      <w:pPr>
        <w:pStyle w:val="Heading2"/>
      </w:pPr>
      <w:r w:rsidRPr="00781112">
        <w:t>3C</w:t>
      </w:r>
      <w:r w:rsidR="00BB4FD7" w:rsidRPr="00781112">
        <w:t xml:space="preserve"> </w:t>
      </w:r>
      <w:r w:rsidRPr="00781112">
        <w:t xml:space="preserve">- </w:t>
      </w:r>
      <w:r w:rsidR="001B5210" w:rsidRPr="00781112">
        <w:t>Indicator Data</w:t>
      </w:r>
    </w:p>
    <w:p w14:paraId="0B1C0DD7" w14:textId="51BE70AF" w:rsidR="00A10323" w:rsidRPr="00781112" w:rsidRDefault="00A10323">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HISTDATA"/>
      </w:tblPr>
      <w:tblGrid>
        <w:gridCol w:w="1588"/>
        <w:gridCol w:w="1588"/>
        <w:gridCol w:w="2538"/>
        <w:gridCol w:w="2538"/>
        <w:gridCol w:w="2538"/>
      </w:tblGrid>
      <w:tr w:rsidR="00537221" w:rsidRPr="00781112" w14:paraId="5299B4E6" w14:textId="77777777" w:rsidTr="009725F4">
        <w:trPr>
          <w:trHeight w:val="368"/>
          <w:tblHeader/>
        </w:trPr>
        <w:tc>
          <w:tcPr>
            <w:tcW w:w="736" w:type="pct"/>
            <w:tcBorders>
              <w:top w:val="single" w:sz="4" w:space="0" w:color="auto"/>
            </w:tcBorders>
            <w:vAlign w:val="center"/>
          </w:tcPr>
          <w:p w14:paraId="43B0649B"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611078A1"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4FF0AF06"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5F7760A7"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01C3E0F4"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Baseline Data</w:t>
            </w:r>
          </w:p>
        </w:tc>
      </w:tr>
      <w:tr w:rsidR="00537221" w:rsidRPr="00781112" w14:paraId="62CCD80E" w14:textId="77777777" w:rsidTr="00827FF4">
        <w:trPr>
          <w:trHeight w:val="368"/>
        </w:trPr>
        <w:tc>
          <w:tcPr>
            <w:tcW w:w="736" w:type="pct"/>
            <w:vAlign w:val="center"/>
          </w:tcPr>
          <w:p w14:paraId="6DBDC79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49F4CF1"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0E5785E8" w14:textId="11F5BAE0" w:rsidR="00537221" w:rsidRPr="00781112" w:rsidRDefault="00537221"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4EB8CC47" w14:textId="1B0ED9ED"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281A612" w14:textId="23CB1591" w:rsidR="00537221" w:rsidRPr="00781112" w:rsidRDefault="00537221" w:rsidP="00827FF4">
            <w:pPr>
              <w:spacing w:before="0" w:after="0"/>
              <w:jc w:val="center"/>
              <w:rPr>
                <w:color w:val="000000" w:themeColor="text1"/>
              </w:rPr>
            </w:pPr>
            <w:r w:rsidRPr="00781112">
              <w:rPr>
                <w:rFonts w:cs="Arial"/>
                <w:color w:val="000000" w:themeColor="text1"/>
                <w:szCs w:val="16"/>
              </w:rPr>
              <w:t>50.65%</w:t>
            </w:r>
          </w:p>
        </w:tc>
      </w:tr>
      <w:tr w:rsidR="00537221" w:rsidRPr="00781112" w14:paraId="1C24E702" w14:textId="77777777" w:rsidTr="00827FF4">
        <w:trPr>
          <w:trHeight w:val="368"/>
        </w:trPr>
        <w:tc>
          <w:tcPr>
            <w:tcW w:w="736" w:type="pct"/>
            <w:vAlign w:val="center"/>
          </w:tcPr>
          <w:p w14:paraId="678970EB"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1EBDCD6D"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727E9135" w14:textId="4107258E"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C958A72" w14:textId="4A38962C"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FED42B6" w14:textId="77E5EAC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56.70%</w:t>
            </w:r>
          </w:p>
        </w:tc>
      </w:tr>
      <w:tr w:rsidR="00537221" w:rsidRPr="00781112" w14:paraId="59B71803" w14:textId="77777777" w:rsidTr="00827FF4">
        <w:trPr>
          <w:trHeight w:val="368"/>
        </w:trPr>
        <w:tc>
          <w:tcPr>
            <w:tcW w:w="736" w:type="pct"/>
            <w:vAlign w:val="center"/>
          </w:tcPr>
          <w:p w14:paraId="4EBEF59E"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EE18997"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7D681B80" w14:textId="4A6DABFD" w:rsidR="00537221" w:rsidRPr="00781112" w:rsidRDefault="00537221"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1DF3FFCD" w14:textId="6C6BE9F1"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4A93084" w14:textId="02FAA503"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71.59%</w:t>
            </w:r>
          </w:p>
        </w:tc>
      </w:tr>
      <w:tr w:rsidR="00537221" w:rsidRPr="00781112" w14:paraId="05A06BC9" w14:textId="77777777" w:rsidTr="00827FF4">
        <w:trPr>
          <w:trHeight w:val="368"/>
        </w:trPr>
        <w:tc>
          <w:tcPr>
            <w:tcW w:w="736" w:type="pct"/>
            <w:vAlign w:val="center"/>
          </w:tcPr>
          <w:p w14:paraId="6020FFAF"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CFDB92F"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5CB62D65" w14:textId="5E527C8F"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F85621" w14:textId="1D815BA8"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790D130A" w14:textId="06A6107B"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51.69%</w:t>
            </w:r>
          </w:p>
        </w:tc>
      </w:tr>
      <w:tr w:rsidR="00537221" w:rsidRPr="00781112" w14:paraId="086B388C" w14:textId="77777777" w:rsidTr="00827FF4">
        <w:trPr>
          <w:trHeight w:val="368"/>
        </w:trPr>
        <w:tc>
          <w:tcPr>
            <w:tcW w:w="736" w:type="pct"/>
            <w:vAlign w:val="center"/>
          </w:tcPr>
          <w:p w14:paraId="7653A8F3"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285758E"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4FB850D" w14:textId="54F493D6" w:rsidR="00537221" w:rsidRPr="00781112" w:rsidRDefault="00537221"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502C33F8" w14:textId="45D8525B"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AD27F52" w14:textId="16DC50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59.34%</w:t>
            </w:r>
          </w:p>
        </w:tc>
      </w:tr>
      <w:tr w:rsidR="00537221" w:rsidRPr="00781112" w14:paraId="43D0DD14" w14:textId="77777777" w:rsidTr="00827FF4">
        <w:trPr>
          <w:trHeight w:val="368"/>
        </w:trPr>
        <w:tc>
          <w:tcPr>
            <w:tcW w:w="736" w:type="pct"/>
            <w:vAlign w:val="center"/>
          </w:tcPr>
          <w:p w14:paraId="1464F87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09D1AD8"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261B7EA0" w14:textId="1CFD27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07D595C6" w14:textId="36D54FE7"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7DF7D26" w14:textId="3067273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49.65%</w:t>
            </w:r>
          </w:p>
        </w:tc>
      </w:tr>
    </w:tbl>
    <w:p w14:paraId="4679A4B4" w14:textId="77777777" w:rsidR="00537221" w:rsidRPr="00781112" w:rsidRDefault="00537221">
      <w:pPr>
        <w:rPr>
          <w:b/>
          <w:color w:val="000000" w:themeColor="text1"/>
        </w:rPr>
      </w:pPr>
    </w:p>
    <w:p w14:paraId="764C016B" w14:textId="48180105" w:rsidR="00A10323" w:rsidRPr="00781112" w:rsidRDefault="00A10323" w:rsidP="004369B2">
      <w:pPr>
        <w:rPr>
          <w:b/>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TARGETS"/>
      </w:tblPr>
      <w:tblGrid>
        <w:gridCol w:w="814"/>
        <w:gridCol w:w="697"/>
        <w:gridCol w:w="1737"/>
        <w:gridCol w:w="1256"/>
        <w:gridCol w:w="1256"/>
        <w:gridCol w:w="1256"/>
        <w:gridCol w:w="1256"/>
        <w:gridCol w:w="1256"/>
        <w:gridCol w:w="1262"/>
      </w:tblGrid>
      <w:tr w:rsidR="00561042" w:rsidRPr="00781112" w14:paraId="6FE97918" w14:textId="1BF8CF9D" w:rsidTr="00E95FBF">
        <w:tc>
          <w:tcPr>
            <w:tcW w:w="377" w:type="pct"/>
            <w:tcBorders>
              <w:bottom w:val="single" w:sz="4" w:space="0" w:color="auto"/>
            </w:tcBorders>
            <w:shd w:val="clear" w:color="auto" w:fill="auto"/>
          </w:tcPr>
          <w:p w14:paraId="5CDF6985" w14:textId="5342FC63" w:rsidR="00561042" w:rsidRPr="00781112" w:rsidRDefault="00561042" w:rsidP="00561042">
            <w:pPr>
              <w:jc w:val="center"/>
              <w:rPr>
                <w:b/>
                <w:color w:val="000000" w:themeColor="text1"/>
              </w:rPr>
            </w:pPr>
            <w:r w:rsidRPr="00781112">
              <w:rPr>
                <w:b/>
                <w:color w:val="000000" w:themeColor="text1"/>
              </w:rPr>
              <w:t>Subject</w:t>
            </w:r>
          </w:p>
        </w:tc>
        <w:tc>
          <w:tcPr>
            <w:tcW w:w="323" w:type="pct"/>
            <w:tcBorders>
              <w:bottom w:val="single" w:sz="4" w:space="0" w:color="auto"/>
            </w:tcBorders>
            <w:shd w:val="clear" w:color="auto" w:fill="auto"/>
          </w:tcPr>
          <w:p w14:paraId="01DFF2B4" w14:textId="2094C240" w:rsidR="00561042" w:rsidRPr="00781112" w:rsidRDefault="00561042" w:rsidP="00561042">
            <w:pPr>
              <w:jc w:val="center"/>
              <w:rPr>
                <w:b/>
                <w:color w:val="000000" w:themeColor="text1"/>
              </w:rPr>
            </w:pPr>
            <w:r w:rsidRPr="00781112">
              <w:rPr>
                <w:b/>
                <w:color w:val="000000" w:themeColor="text1"/>
              </w:rPr>
              <w:t>Group</w:t>
            </w:r>
          </w:p>
        </w:tc>
        <w:tc>
          <w:tcPr>
            <w:tcW w:w="805" w:type="pct"/>
            <w:shd w:val="clear" w:color="auto" w:fill="auto"/>
          </w:tcPr>
          <w:p w14:paraId="3976F221" w14:textId="32F28582" w:rsidR="00561042" w:rsidRPr="00781112" w:rsidDel="008E7B87" w:rsidRDefault="00561042" w:rsidP="00561042">
            <w:pPr>
              <w:jc w:val="center"/>
              <w:rPr>
                <w:b/>
                <w:color w:val="000000" w:themeColor="text1"/>
              </w:rPr>
            </w:pPr>
            <w:r w:rsidRPr="00781112">
              <w:rPr>
                <w:b/>
                <w:color w:val="000000" w:themeColor="text1"/>
              </w:rPr>
              <w:t>Group Name</w:t>
            </w:r>
          </w:p>
        </w:tc>
        <w:tc>
          <w:tcPr>
            <w:tcW w:w="582" w:type="pct"/>
            <w:shd w:val="clear" w:color="auto" w:fill="auto"/>
          </w:tcPr>
          <w:p w14:paraId="076E9FA3" w14:textId="2BDFEC53" w:rsidR="00561042" w:rsidRPr="00781112" w:rsidRDefault="00561042" w:rsidP="00561042">
            <w:pPr>
              <w:jc w:val="center"/>
              <w:rPr>
                <w:b/>
                <w:color w:val="000000" w:themeColor="text1"/>
              </w:rPr>
            </w:pPr>
            <w:r w:rsidRPr="00781112">
              <w:rPr>
                <w:b/>
                <w:color w:val="000000" w:themeColor="text1"/>
              </w:rPr>
              <w:t>2020</w:t>
            </w:r>
          </w:p>
        </w:tc>
        <w:tc>
          <w:tcPr>
            <w:tcW w:w="582" w:type="pct"/>
            <w:vAlign w:val="center"/>
          </w:tcPr>
          <w:p w14:paraId="2A95FA03" w14:textId="46828D1C" w:rsidR="00561042" w:rsidRPr="00781112" w:rsidRDefault="00561042" w:rsidP="00561042">
            <w:pPr>
              <w:jc w:val="center"/>
              <w:rPr>
                <w:b/>
                <w:color w:val="000000" w:themeColor="text1"/>
              </w:rPr>
            </w:pPr>
            <w:r w:rsidRPr="00781112">
              <w:rPr>
                <w:rFonts w:cs="Arial"/>
                <w:b/>
                <w:color w:val="000000" w:themeColor="text1"/>
                <w:szCs w:val="16"/>
              </w:rPr>
              <w:t>2021</w:t>
            </w:r>
          </w:p>
        </w:tc>
        <w:tc>
          <w:tcPr>
            <w:tcW w:w="582" w:type="pct"/>
            <w:vAlign w:val="center"/>
          </w:tcPr>
          <w:p w14:paraId="56A4FE1C" w14:textId="196C362E" w:rsidR="00561042" w:rsidRPr="00781112" w:rsidRDefault="00561042" w:rsidP="00561042">
            <w:pPr>
              <w:jc w:val="center"/>
              <w:rPr>
                <w:b/>
                <w:color w:val="000000" w:themeColor="text1"/>
              </w:rPr>
            </w:pPr>
            <w:r w:rsidRPr="00781112">
              <w:rPr>
                <w:rFonts w:cs="Arial"/>
                <w:b/>
                <w:color w:val="000000" w:themeColor="text1"/>
                <w:szCs w:val="16"/>
              </w:rPr>
              <w:t>2022</w:t>
            </w:r>
          </w:p>
        </w:tc>
        <w:tc>
          <w:tcPr>
            <w:tcW w:w="582" w:type="pct"/>
            <w:vAlign w:val="center"/>
          </w:tcPr>
          <w:p w14:paraId="6FCB9B7C" w14:textId="67672F5E" w:rsidR="00561042" w:rsidRPr="00781112" w:rsidRDefault="00561042" w:rsidP="00561042">
            <w:pPr>
              <w:jc w:val="center"/>
              <w:rPr>
                <w:b/>
                <w:color w:val="000000" w:themeColor="text1"/>
              </w:rPr>
            </w:pPr>
            <w:r w:rsidRPr="00781112">
              <w:rPr>
                <w:rFonts w:cs="Arial"/>
                <w:b/>
                <w:color w:val="000000" w:themeColor="text1"/>
                <w:szCs w:val="16"/>
              </w:rPr>
              <w:t>2023</w:t>
            </w:r>
          </w:p>
        </w:tc>
        <w:tc>
          <w:tcPr>
            <w:tcW w:w="582" w:type="pct"/>
            <w:vAlign w:val="center"/>
          </w:tcPr>
          <w:p w14:paraId="7118C826" w14:textId="7C910CE0" w:rsidR="00561042" w:rsidRPr="00781112" w:rsidRDefault="00561042" w:rsidP="00561042">
            <w:pPr>
              <w:jc w:val="center"/>
              <w:rPr>
                <w:b/>
                <w:color w:val="000000" w:themeColor="text1"/>
              </w:rPr>
            </w:pPr>
            <w:r w:rsidRPr="00781112">
              <w:rPr>
                <w:rFonts w:cs="Arial"/>
                <w:b/>
                <w:color w:val="000000" w:themeColor="text1"/>
                <w:szCs w:val="16"/>
              </w:rPr>
              <w:t>2024</w:t>
            </w:r>
          </w:p>
        </w:tc>
        <w:tc>
          <w:tcPr>
            <w:tcW w:w="585" w:type="pct"/>
            <w:vAlign w:val="center"/>
          </w:tcPr>
          <w:p w14:paraId="33416EB6" w14:textId="63A7E482" w:rsidR="00561042" w:rsidRPr="00781112" w:rsidRDefault="00561042" w:rsidP="00561042">
            <w:pPr>
              <w:jc w:val="center"/>
              <w:rPr>
                <w:b/>
                <w:color w:val="000000" w:themeColor="text1"/>
              </w:rPr>
            </w:pPr>
            <w:r w:rsidRPr="00781112">
              <w:rPr>
                <w:rFonts w:cs="Arial"/>
                <w:b/>
                <w:color w:val="000000" w:themeColor="text1"/>
                <w:szCs w:val="16"/>
              </w:rPr>
              <w:t>2025</w:t>
            </w:r>
          </w:p>
        </w:tc>
      </w:tr>
      <w:tr w:rsidR="00D13592" w:rsidRPr="00781112" w14:paraId="24016D03" w14:textId="0FC0BA7B" w:rsidTr="00E95FBF">
        <w:tc>
          <w:tcPr>
            <w:tcW w:w="377" w:type="pct"/>
            <w:shd w:val="clear" w:color="auto" w:fill="auto"/>
            <w:vAlign w:val="center"/>
          </w:tcPr>
          <w:p w14:paraId="6AD78348" w14:textId="77777777"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Reading</w:t>
            </w:r>
          </w:p>
        </w:tc>
        <w:tc>
          <w:tcPr>
            <w:tcW w:w="323" w:type="pct"/>
            <w:shd w:val="clear" w:color="auto" w:fill="auto"/>
            <w:vAlign w:val="center"/>
          </w:tcPr>
          <w:p w14:paraId="68D451C5" w14:textId="0D62DF33"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A &gt;=</w:t>
            </w:r>
          </w:p>
        </w:tc>
        <w:tc>
          <w:tcPr>
            <w:tcW w:w="805" w:type="pct"/>
            <w:shd w:val="clear" w:color="auto" w:fill="auto"/>
            <w:vAlign w:val="center"/>
          </w:tcPr>
          <w:p w14:paraId="10A86524" w14:textId="5A63BB47"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4</w:t>
            </w:r>
          </w:p>
        </w:tc>
        <w:tc>
          <w:tcPr>
            <w:tcW w:w="582" w:type="pct"/>
            <w:shd w:val="clear" w:color="auto" w:fill="auto"/>
            <w:vAlign w:val="center"/>
          </w:tcPr>
          <w:p w14:paraId="3451F312" w14:textId="2295E6F6" w:rsidR="00D13592" w:rsidRPr="00781112" w:rsidRDefault="00D13592" w:rsidP="00D13592">
            <w:pPr>
              <w:jc w:val="center"/>
              <w:rPr>
                <w:rFonts w:cs="Arial"/>
                <w:color w:val="000000" w:themeColor="text1"/>
                <w:szCs w:val="16"/>
              </w:rPr>
            </w:pPr>
            <w:r w:rsidRPr="00781112">
              <w:rPr>
                <w:rFonts w:cs="Arial"/>
                <w:color w:val="000000" w:themeColor="text1"/>
                <w:szCs w:val="16"/>
              </w:rPr>
              <w:t>50.65%</w:t>
            </w:r>
          </w:p>
        </w:tc>
        <w:tc>
          <w:tcPr>
            <w:tcW w:w="582" w:type="pct"/>
            <w:vAlign w:val="center"/>
          </w:tcPr>
          <w:p w14:paraId="1A23D563" w14:textId="56F68959" w:rsidR="00D13592" w:rsidRPr="00781112" w:rsidRDefault="00D13592" w:rsidP="00D13592">
            <w:pPr>
              <w:jc w:val="center"/>
              <w:rPr>
                <w:rFonts w:cs="Arial"/>
                <w:color w:val="000000" w:themeColor="text1"/>
                <w:szCs w:val="16"/>
              </w:rPr>
            </w:pPr>
            <w:r w:rsidRPr="00781112">
              <w:rPr>
                <w:rFonts w:cs="Arial"/>
                <w:color w:val="000000" w:themeColor="text1"/>
                <w:szCs w:val="16"/>
              </w:rPr>
              <w:t>52.00%</w:t>
            </w:r>
          </w:p>
        </w:tc>
        <w:tc>
          <w:tcPr>
            <w:tcW w:w="582" w:type="pct"/>
            <w:vAlign w:val="center"/>
          </w:tcPr>
          <w:p w14:paraId="6BBDE651" w14:textId="47B65FE0" w:rsidR="00D13592" w:rsidRPr="00781112" w:rsidRDefault="00D13592" w:rsidP="00D13592">
            <w:pPr>
              <w:jc w:val="center"/>
              <w:rPr>
                <w:rFonts w:cs="Arial"/>
                <w:color w:val="000000" w:themeColor="text1"/>
                <w:szCs w:val="16"/>
              </w:rPr>
            </w:pPr>
            <w:r w:rsidRPr="00781112">
              <w:rPr>
                <w:rFonts w:cs="Arial"/>
                <w:color w:val="000000" w:themeColor="text1"/>
                <w:szCs w:val="16"/>
              </w:rPr>
              <w:t>54.00%</w:t>
            </w:r>
          </w:p>
        </w:tc>
        <w:tc>
          <w:tcPr>
            <w:tcW w:w="582" w:type="pct"/>
            <w:vAlign w:val="center"/>
          </w:tcPr>
          <w:p w14:paraId="5A275577" w14:textId="6DCA94CB" w:rsidR="00D13592" w:rsidRPr="00781112" w:rsidRDefault="00D13592" w:rsidP="00D13592">
            <w:pPr>
              <w:jc w:val="center"/>
              <w:rPr>
                <w:rFonts w:cs="Arial"/>
                <w:color w:val="000000" w:themeColor="text1"/>
                <w:szCs w:val="16"/>
              </w:rPr>
            </w:pPr>
            <w:r w:rsidRPr="00781112">
              <w:rPr>
                <w:rFonts w:cs="Arial"/>
                <w:color w:val="000000" w:themeColor="text1"/>
                <w:szCs w:val="16"/>
              </w:rPr>
              <w:t>56.00%</w:t>
            </w:r>
          </w:p>
        </w:tc>
        <w:tc>
          <w:tcPr>
            <w:tcW w:w="582" w:type="pct"/>
            <w:vAlign w:val="center"/>
          </w:tcPr>
          <w:p w14:paraId="3206928B" w14:textId="11EAF098" w:rsidR="00D13592" w:rsidRPr="00781112" w:rsidRDefault="00D13592" w:rsidP="00D13592">
            <w:pPr>
              <w:jc w:val="center"/>
              <w:rPr>
                <w:rFonts w:cs="Arial"/>
                <w:color w:val="000000" w:themeColor="text1"/>
                <w:szCs w:val="16"/>
              </w:rPr>
            </w:pPr>
            <w:r w:rsidRPr="00781112">
              <w:rPr>
                <w:rFonts w:cs="Arial"/>
                <w:color w:val="000000" w:themeColor="text1"/>
                <w:szCs w:val="16"/>
              </w:rPr>
              <w:t>58.00%</w:t>
            </w:r>
          </w:p>
        </w:tc>
        <w:tc>
          <w:tcPr>
            <w:tcW w:w="585" w:type="pct"/>
            <w:vAlign w:val="center"/>
          </w:tcPr>
          <w:p w14:paraId="6FBEC16B" w14:textId="37B5556C" w:rsidR="00D13592" w:rsidRPr="00781112" w:rsidRDefault="00D13592" w:rsidP="00D13592">
            <w:pPr>
              <w:jc w:val="center"/>
              <w:rPr>
                <w:rFonts w:cs="Arial"/>
                <w:color w:val="000000" w:themeColor="text1"/>
                <w:szCs w:val="16"/>
              </w:rPr>
            </w:pPr>
            <w:r w:rsidRPr="00781112">
              <w:rPr>
                <w:rFonts w:cs="Arial"/>
                <w:color w:val="000000" w:themeColor="text1"/>
                <w:szCs w:val="16"/>
              </w:rPr>
              <w:t>60.00%</w:t>
            </w:r>
          </w:p>
        </w:tc>
      </w:tr>
      <w:tr w:rsidR="00D13592" w:rsidRPr="00781112" w14:paraId="4229AE62" w14:textId="33381C2A" w:rsidTr="00E95FBF">
        <w:tc>
          <w:tcPr>
            <w:tcW w:w="377" w:type="pct"/>
            <w:shd w:val="clear" w:color="auto" w:fill="auto"/>
            <w:vAlign w:val="center"/>
          </w:tcPr>
          <w:p w14:paraId="65BFCE1A" w14:textId="0D697A5F"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Reading</w:t>
            </w:r>
          </w:p>
        </w:tc>
        <w:tc>
          <w:tcPr>
            <w:tcW w:w="323" w:type="pct"/>
            <w:shd w:val="clear" w:color="auto" w:fill="auto"/>
            <w:vAlign w:val="center"/>
          </w:tcPr>
          <w:p w14:paraId="0A529643" w14:textId="25196352"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B &gt;=</w:t>
            </w:r>
          </w:p>
        </w:tc>
        <w:tc>
          <w:tcPr>
            <w:tcW w:w="805" w:type="pct"/>
            <w:shd w:val="clear" w:color="auto" w:fill="auto"/>
            <w:vAlign w:val="center"/>
          </w:tcPr>
          <w:p w14:paraId="62F8D3A7" w14:textId="0DE3112A"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8</w:t>
            </w:r>
          </w:p>
        </w:tc>
        <w:tc>
          <w:tcPr>
            <w:tcW w:w="582" w:type="pct"/>
            <w:shd w:val="clear" w:color="auto" w:fill="auto"/>
            <w:vAlign w:val="center"/>
          </w:tcPr>
          <w:p w14:paraId="1D5B4183" w14:textId="1238BC64" w:rsidR="00D13592" w:rsidRPr="00781112" w:rsidRDefault="00D13592" w:rsidP="00D13592">
            <w:pPr>
              <w:jc w:val="center"/>
              <w:rPr>
                <w:rFonts w:cs="Arial"/>
                <w:color w:val="000000" w:themeColor="text1"/>
                <w:szCs w:val="16"/>
              </w:rPr>
            </w:pPr>
            <w:r w:rsidRPr="00781112">
              <w:rPr>
                <w:rFonts w:cs="Arial"/>
                <w:color w:val="000000" w:themeColor="text1"/>
                <w:szCs w:val="16"/>
              </w:rPr>
              <w:t>56.70%</w:t>
            </w:r>
          </w:p>
        </w:tc>
        <w:tc>
          <w:tcPr>
            <w:tcW w:w="582" w:type="pct"/>
            <w:vAlign w:val="center"/>
          </w:tcPr>
          <w:p w14:paraId="200F306C" w14:textId="40F15380" w:rsidR="00D13592" w:rsidRPr="00781112" w:rsidRDefault="00D13592" w:rsidP="00D13592">
            <w:pPr>
              <w:jc w:val="center"/>
              <w:rPr>
                <w:rFonts w:cs="Arial"/>
                <w:color w:val="000000" w:themeColor="text1"/>
                <w:szCs w:val="16"/>
              </w:rPr>
            </w:pPr>
            <w:r w:rsidRPr="00781112">
              <w:rPr>
                <w:rFonts w:cs="Arial"/>
                <w:color w:val="000000" w:themeColor="text1"/>
                <w:szCs w:val="16"/>
              </w:rPr>
              <w:t>58.00%</w:t>
            </w:r>
          </w:p>
        </w:tc>
        <w:tc>
          <w:tcPr>
            <w:tcW w:w="582" w:type="pct"/>
            <w:vAlign w:val="center"/>
          </w:tcPr>
          <w:p w14:paraId="01C155DC" w14:textId="32FC3C15" w:rsidR="00D13592" w:rsidRPr="00781112" w:rsidRDefault="00D13592" w:rsidP="00D13592">
            <w:pPr>
              <w:jc w:val="center"/>
              <w:rPr>
                <w:rFonts w:cs="Arial"/>
                <w:color w:val="000000" w:themeColor="text1"/>
                <w:szCs w:val="16"/>
              </w:rPr>
            </w:pPr>
            <w:r w:rsidRPr="00781112">
              <w:rPr>
                <w:rFonts w:cs="Arial"/>
                <w:color w:val="000000" w:themeColor="text1"/>
                <w:szCs w:val="16"/>
              </w:rPr>
              <w:t>60.00%</w:t>
            </w:r>
          </w:p>
        </w:tc>
        <w:tc>
          <w:tcPr>
            <w:tcW w:w="582" w:type="pct"/>
            <w:vAlign w:val="center"/>
          </w:tcPr>
          <w:p w14:paraId="31A2EE92" w14:textId="183FF0A7" w:rsidR="00D13592" w:rsidRPr="00781112" w:rsidRDefault="00D13592" w:rsidP="00D13592">
            <w:pPr>
              <w:jc w:val="center"/>
              <w:rPr>
                <w:rFonts w:cs="Arial"/>
                <w:color w:val="000000" w:themeColor="text1"/>
                <w:szCs w:val="16"/>
              </w:rPr>
            </w:pPr>
            <w:r w:rsidRPr="00781112">
              <w:rPr>
                <w:rFonts w:cs="Arial"/>
                <w:color w:val="000000" w:themeColor="text1"/>
                <w:szCs w:val="16"/>
              </w:rPr>
              <w:t>62.00%</w:t>
            </w:r>
          </w:p>
        </w:tc>
        <w:tc>
          <w:tcPr>
            <w:tcW w:w="582" w:type="pct"/>
            <w:vAlign w:val="center"/>
          </w:tcPr>
          <w:p w14:paraId="52A72D95" w14:textId="51822CAD" w:rsidR="00D13592" w:rsidRPr="00781112" w:rsidRDefault="00D13592" w:rsidP="00D13592">
            <w:pPr>
              <w:jc w:val="center"/>
              <w:rPr>
                <w:rFonts w:cs="Arial"/>
                <w:color w:val="000000" w:themeColor="text1"/>
                <w:szCs w:val="16"/>
              </w:rPr>
            </w:pPr>
            <w:r w:rsidRPr="00781112">
              <w:rPr>
                <w:rFonts w:cs="Arial"/>
                <w:color w:val="000000" w:themeColor="text1"/>
                <w:szCs w:val="16"/>
              </w:rPr>
              <w:t>64.00%</w:t>
            </w:r>
          </w:p>
        </w:tc>
        <w:tc>
          <w:tcPr>
            <w:tcW w:w="585" w:type="pct"/>
            <w:vAlign w:val="center"/>
          </w:tcPr>
          <w:p w14:paraId="0A9D3561" w14:textId="4D0FA131" w:rsidR="00D13592" w:rsidRPr="00781112" w:rsidRDefault="00D13592" w:rsidP="00D13592">
            <w:pPr>
              <w:jc w:val="center"/>
              <w:rPr>
                <w:rFonts w:cs="Arial"/>
                <w:color w:val="000000" w:themeColor="text1"/>
                <w:szCs w:val="16"/>
              </w:rPr>
            </w:pPr>
            <w:r w:rsidRPr="00781112">
              <w:rPr>
                <w:rFonts w:cs="Arial"/>
                <w:color w:val="000000" w:themeColor="text1"/>
                <w:szCs w:val="16"/>
              </w:rPr>
              <w:t>66.00%</w:t>
            </w:r>
          </w:p>
        </w:tc>
      </w:tr>
      <w:tr w:rsidR="00D13592" w:rsidRPr="00781112" w14:paraId="53D446D4" w14:textId="31EA6E11" w:rsidTr="00E95FBF">
        <w:tc>
          <w:tcPr>
            <w:tcW w:w="377" w:type="pct"/>
            <w:shd w:val="clear" w:color="auto" w:fill="auto"/>
            <w:vAlign w:val="center"/>
          </w:tcPr>
          <w:p w14:paraId="5413BB65" w14:textId="22884284"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Reading</w:t>
            </w:r>
          </w:p>
        </w:tc>
        <w:tc>
          <w:tcPr>
            <w:tcW w:w="323" w:type="pct"/>
            <w:shd w:val="clear" w:color="auto" w:fill="auto"/>
            <w:vAlign w:val="center"/>
          </w:tcPr>
          <w:p w14:paraId="1408EAB6" w14:textId="5A0418AE"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C &gt;=</w:t>
            </w:r>
          </w:p>
        </w:tc>
        <w:tc>
          <w:tcPr>
            <w:tcW w:w="805" w:type="pct"/>
            <w:shd w:val="clear" w:color="auto" w:fill="auto"/>
            <w:vAlign w:val="center"/>
          </w:tcPr>
          <w:p w14:paraId="6E4FCBFF" w14:textId="158A4AA0"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HS</w:t>
            </w:r>
          </w:p>
        </w:tc>
        <w:tc>
          <w:tcPr>
            <w:tcW w:w="582" w:type="pct"/>
            <w:shd w:val="clear" w:color="auto" w:fill="auto"/>
            <w:vAlign w:val="center"/>
          </w:tcPr>
          <w:p w14:paraId="3520F380" w14:textId="38C36219" w:rsidR="00D13592" w:rsidRPr="00781112" w:rsidRDefault="00D13592" w:rsidP="00D13592">
            <w:pPr>
              <w:jc w:val="center"/>
              <w:rPr>
                <w:rFonts w:cs="Arial"/>
                <w:color w:val="000000" w:themeColor="text1"/>
                <w:szCs w:val="16"/>
              </w:rPr>
            </w:pPr>
            <w:r w:rsidRPr="00781112">
              <w:rPr>
                <w:rFonts w:cs="Arial"/>
                <w:color w:val="000000" w:themeColor="text1"/>
                <w:szCs w:val="16"/>
              </w:rPr>
              <w:t>71.59%</w:t>
            </w:r>
          </w:p>
        </w:tc>
        <w:tc>
          <w:tcPr>
            <w:tcW w:w="582" w:type="pct"/>
            <w:vAlign w:val="center"/>
          </w:tcPr>
          <w:p w14:paraId="3305DD14" w14:textId="4DBBF69C" w:rsidR="00D13592" w:rsidRPr="00781112" w:rsidRDefault="00D13592" w:rsidP="00D13592">
            <w:pPr>
              <w:jc w:val="center"/>
              <w:rPr>
                <w:rFonts w:cs="Arial"/>
                <w:color w:val="000000" w:themeColor="text1"/>
                <w:szCs w:val="16"/>
              </w:rPr>
            </w:pPr>
            <w:r w:rsidRPr="00781112">
              <w:rPr>
                <w:rFonts w:cs="Arial"/>
                <w:color w:val="000000" w:themeColor="text1"/>
                <w:szCs w:val="16"/>
              </w:rPr>
              <w:t>73.00%</w:t>
            </w:r>
          </w:p>
        </w:tc>
        <w:tc>
          <w:tcPr>
            <w:tcW w:w="582" w:type="pct"/>
            <w:vAlign w:val="center"/>
          </w:tcPr>
          <w:p w14:paraId="02FF2601" w14:textId="545909AE" w:rsidR="00D13592" w:rsidRPr="00781112" w:rsidRDefault="00D13592" w:rsidP="00D13592">
            <w:pPr>
              <w:jc w:val="center"/>
              <w:rPr>
                <w:rFonts w:cs="Arial"/>
                <w:color w:val="000000" w:themeColor="text1"/>
                <w:szCs w:val="16"/>
              </w:rPr>
            </w:pPr>
            <w:r w:rsidRPr="00781112">
              <w:rPr>
                <w:rFonts w:cs="Arial"/>
                <w:color w:val="000000" w:themeColor="text1"/>
                <w:szCs w:val="16"/>
              </w:rPr>
              <w:t>75.00%</w:t>
            </w:r>
          </w:p>
        </w:tc>
        <w:tc>
          <w:tcPr>
            <w:tcW w:w="582" w:type="pct"/>
            <w:vAlign w:val="center"/>
          </w:tcPr>
          <w:p w14:paraId="607B9906" w14:textId="6058F884" w:rsidR="00D13592" w:rsidRPr="00781112" w:rsidRDefault="00D13592" w:rsidP="00D13592">
            <w:pPr>
              <w:jc w:val="center"/>
              <w:rPr>
                <w:rFonts w:cs="Arial"/>
                <w:color w:val="000000" w:themeColor="text1"/>
                <w:szCs w:val="16"/>
              </w:rPr>
            </w:pPr>
            <w:r w:rsidRPr="00781112">
              <w:rPr>
                <w:rFonts w:cs="Arial"/>
                <w:color w:val="000000" w:themeColor="text1"/>
                <w:szCs w:val="16"/>
              </w:rPr>
              <w:t>77.00%</w:t>
            </w:r>
          </w:p>
        </w:tc>
        <w:tc>
          <w:tcPr>
            <w:tcW w:w="582" w:type="pct"/>
            <w:vAlign w:val="center"/>
          </w:tcPr>
          <w:p w14:paraId="00AA5B51" w14:textId="2B22FFA4" w:rsidR="00D13592" w:rsidRPr="00781112" w:rsidRDefault="00D13592" w:rsidP="00D13592">
            <w:pPr>
              <w:jc w:val="center"/>
              <w:rPr>
                <w:rFonts w:cs="Arial"/>
                <w:color w:val="000000" w:themeColor="text1"/>
                <w:szCs w:val="16"/>
              </w:rPr>
            </w:pPr>
            <w:r w:rsidRPr="00781112">
              <w:rPr>
                <w:rFonts w:cs="Arial"/>
                <w:color w:val="000000" w:themeColor="text1"/>
                <w:szCs w:val="16"/>
              </w:rPr>
              <w:t>79.00%</w:t>
            </w:r>
          </w:p>
        </w:tc>
        <w:tc>
          <w:tcPr>
            <w:tcW w:w="585" w:type="pct"/>
            <w:vAlign w:val="center"/>
          </w:tcPr>
          <w:p w14:paraId="098D4CBC" w14:textId="1DF737D1" w:rsidR="00D13592" w:rsidRPr="00781112" w:rsidRDefault="00D13592" w:rsidP="00D13592">
            <w:pPr>
              <w:jc w:val="center"/>
              <w:rPr>
                <w:rFonts w:cs="Arial"/>
                <w:color w:val="000000" w:themeColor="text1"/>
                <w:szCs w:val="16"/>
              </w:rPr>
            </w:pPr>
            <w:r w:rsidRPr="00781112">
              <w:rPr>
                <w:rFonts w:cs="Arial"/>
                <w:color w:val="000000" w:themeColor="text1"/>
                <w:szCs w:val="16"/>
              </w:rPr>
              <w:t>81.00%</w:t>
            </w:r>
          </w:p>
        </w:tc>
      </w:tr>
      <w:tr w:rsidR="00D13592" w:rsidRPr="00781112" w14:paraId="4D7E1CB4" w14:textId="31C0C80F" w:rsidTr="00E95FBF">
        <w:tc>
          <w:tcPr>
            <w:tcW w:w="377" w:type="pct"/>
            <w:shd w:val="clear" w:color="auto" w:fill="auto"/>
            <w:vAlign w:val="center"/>
          </w:tcPr>
          <w:p w14:paraId="3E17FC71" w14:textId="77777777"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Math</w:t>
            </w:r>
          </w:p>
        </w:tc>
        <w:tc>
          <w:tcPr>
            <w:tcW w:w="323" w:type="pct"/>
            <w:shd w:val="clear" w:color="auto" w:fill="auto"/>
            <w:vAlign w:val="center"/>
          </w:tcPr>
          <w:p w14:paraId="393C59D6" w14:textId="4FA6AC82"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A &gt;=</w:t>
            </w:r>
          </w:p>
        </w:tc>
        <w:tc>
          <w:tcPr>
            <w:tcW w:w="805" w:type="pct"/>
            <w:shd w:val="clear" w:color="auto" w:fill="auto"/>
            <w:vAlign w:val="center"/>
          </w:tcPr>
          <w:p w14:paraId="06CBBAA1" w14:textId="25010E97"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4</w:t>
            </w:r>
          </w:p>
        </w:tc>
        <w:tc>
          <w:tcPr>
            <w:tcW w:w="582" w:type="pct"/>
            <w:shd w:val="clear" w:color="auto" w:fill="auto"/>
            <w:vAlign w:val="center"/>
          </w:tcPr>
          <w:p w14:paraId="5B4F37F7" w14:textId="0586B65B" w:rsidR="00D13592" w:rsidRPr="00781112" w:rsidRDefault="00D13592" w:rsidP="00D13592">
            <w:pPr>
              <w:jc w:val="center"/>
              <w:rPr>
                <w:rFonts w:cs="Arial"/>
                <w:color w:val="000000" w:themeColor="text1"/>
                <w:szCs w:val="16"/>
              </w:rPr>
            </w:pPr>
            <w:r w:rsidRPr="00781112">
              <w:rPr>
                <w:rFonts w:cs="Arial"/>
                <w:color w:val="000000" w:themeColor="text1"/>
                <w:szCs w:val="16"/>
              </w:rPr>
              <w:t>51.69%</w:t>
            </w:r>
          </w:p>
        </w:tc>
        <w:tc>
          <w:tcPr>
            <w:tcW w:w="582" w:type="pct"/>
            <w:vAlign w:val="center"/>
          </w:tcPr>
          <w:p w14:paraId="5BCC413B" w14:textId="09A05E02" w:rsidR="00D13592" w:rsidRPr="00781112" w:rsidRDefault="00D13592" w:rsidP="00D13592">
            <w:pPr>
              <w:jc w:val="center"/>
              <w:rPr>
                <w:rFonts w:cs="Arial"/>
                <w:color w:val="000000" w:themeColor="text1"/>
                <w:szCs w:val="16"/>
              </w:rPr>
            </w:pPr>
            <w:r w:rsidRPr="00781112">
              <w:rPr>
                <w:rFonts w:cs="Arial"/>
                <w:color w:val="000000" w:themeColor="text1"/>
                <w:szCs w:val="16"/>
              </w:rPr>
              <w:t>53.00%</w:t>
            </w:r>
          </w:p>
        </w:tc>
        <w:tc>
          <w:tcPr>
            <w:tcW w:w="582" w:type="pct"/>
            <w:vAlign w:val="center"/>
          </w:tcPr>
          <w:p w14:paraId="45EF5FCE" w14:textId="00D7D29B" w:rsidR="00D13592" w:rsidRPr="00781112" w:rsidRDefault="00D13592" w:rsidP="00D13592">
            <w:pPr>
              <w:jc w:val="center"/>
              <w:rPr>
                <w:rFonts w:cs="Arial"/>
                <w:color w:val="000000" w:themeColor="text1"/>
                <w:szCs w:val="16"/>
              </w:rPr>
            </w:pPr>
            <w:r w:rsidRPr="00781112">
              <w:rPr>
                <w:rFonts w:cs="Arial"/>
                <w:color w:val="000000" w:themeColor="text1"/>
                <w:szCs w:val="16"/>
              </w:rPr>
              <w:t>55.00%</w:t>
            </w:r>
          </w:p>
        </w:tc>
        <w:tc>
          <w:tcPr>
            <w:tcW w:w="582" w:type="pct"/>
            <w:vAlign w:val="center"/>
          </w:tcPr>
          <w:p w14:paraId="68AE213E" w14:textId="4ECF4085" w:rsidR="00D13592" w:rsidRPr="00781112" w:rsidRDefault="00D13592" w:rsidP="00D13592">
            <w:pPr>
              <w:jc w:val="center"/>
              <w:rPr>
                <w:rFonts w:cs="Arial"/>
                <w:color w:val="000000" w:themeColor="text1"/>
                <w:szCs w:val="16"/>
              </w:rPr>
            </w:pPr>
            <w:r w:rsidRPr="00781112">
              <w:rPr>
                <w:rFonts w:cs="Arial"/>
                <w:color w:val="000000" w:themeColor="text1"/>
                <w:szCs w:val="16"/>
              </w:rPr>
              <w:t>57.00%</w:t>
            </w:r>
          </w:p>
        </w:tc>
        <w:tc>
          <w:tcPr>
            <w:tcW w:w="582" w:type="pct"/>
            <w:vAlign w:val="center"/>
          </w:tcPr>
          <w:p w14:paraId="7B3E2D7F" w14:textId="73124E34" w:rsidR="00D13592" w:rsidRPr="00781112" w:rsidRDefault="00D13592" w:rsidP="00D13592">
            <w:pPr>
              <w:jc w:val="center"/>
              <w:rPr>
                <w:rFonts w:cs="Arial"/>
                <w:color w:val="000000" w:themeColor="text1"/>
                <w:szCs w:val="16"/>
              </w:rPr>
            </w:pPr>
            <w:r w:rsidRPr="00781112">
              <w:rPr>
                <w:rFonts w:cs="Arial"/>
                <w:color w:val="000000" w:themeColor="text1"/>
                <w:szCs w:val="16"/>
              </w:rPr>
              <w:t>59.00%</w:t>
            </w:r>
          </w:p>
        </w:tc>
        <w:tc>
          <w:tcPr>
            <w:tcW w:w="585" w:type="pct"/>
            <w:vAlign w:val="center"/>
          </w:tcPr>
          <w:p w14:paraId="4BC7B620" w14:textId="19BD9C5D" w:rsidR="00D13592" w:rsidRPr="00781112" w:rsidRDefault="00D13592" w:rsidP="00D13592">
            <w:pPr>
              <w:jc w:val="center"/>
              <w:rPr>
                <w:rFonts w:cs="Arial"/>
                <w:color w:val="000000" w:themeColor="text1"/>
                <w:szCs w:val="16"/>
              </w:rPr>
            </w:pPr>
            <w:r w:rsidRPr="00781112">
              <w:rPr>
                <w:rFonts w:cs="Arial"/>
                <w:color w:val="000000" w:themeColor="text1"/>
                <w:szCs w:val="16"/>
              </w:rPr>
              <w:t>61.00%</w:t>
            </w:r>
          </w:p>
        </w:tc>
      </w:tr>
      <w:tr w:rsidR="00D13592" w:rsidRPr="00781112" w14:paraId="6A0B25C6" w14:textId="3CA923D5" w:rsidTr="00E95FBF">
        <w:tc>
          <w:tcPr>
            <w:tcW w:w="377" w:type="pct"/>
            <w:shd w:val="clear" w:color="auto" w:fill="auto"/>
            <w:vAlign w:val="center"/>
          </w:tcPr>
          <w:p w14:paraId="7A201508" w14:textId="57E216ED"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Math</w:t>
            </w:r>
          </w:p>
        </w:tc>
        <w:tc>
          <w:tcPr>
            <w:tcW w:w="323" w:type="pct"/>
            <w:shd w:val="clear" w:color="auto" w:fill="auto"/>
            <w:vAlign w:val="center"/>
          </w:tcPr>
          <w:p w14:paraId="3BD3C679" w14:textId="4834DDCE"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B &gt;=</w:t>
            </w:r>
          </w:p>
        </w:tc>
        <w:tc>
          <w:tcPr>
            <w:tcW w:w="805" w:type="pct"/>
            <w:shd w:val="clear" w:color="auto" w:fill="auto"/>
            <w:vAlign w:val="center"/>
          </w:tcPr>
          <w:p w14:paraId="75E8E6D8" w14:textId="7D040B60"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8</w:t>
            </w:r>
          </w:p>
        </w:tc>
        <w:tc>
          <w:tcPr>
            <w:tcW w:w="582" w:type="pct"/>
            <w:shd w:val="clear" w:color="auto" w:fill="auto"/>
            <w:vAlign w:val="center"/>
          </w:tcPr>
          <w:p w14:paraId="4671DF75" w14:textId="2CD78B1B" w:rsidR="00D13592" w:rsidRPr="00781112" w:rsidRDefault="00D13592" w:rsidP="00D13592">
            <w:pPr>
              <w:jc w:val="center"/>
              <w:rPr>
                <w:rFonts w:cs="Arial"/>
                <w:color w:val="000000" w:themeColor="text1"/>
                <w:szCs w:val="16"/>
              </w:rPr>
            </w:pPr>
            <w:r w:rsidRPr="00781112">
              <w:rPr>
                <w:rFonts w:cs="Arial"/>
                <w:color w:val="000000" w:themeColor="text1"/>
                <w:szCs w:val="16"/>
              </w:rPr>
              <w:t>59.34%</w:t>
            </w:r>
          </w:p>
        </w:tc>
        <w:tc>
          <w:tcPr>
            <w:tcW w:w="582" w:type="pct"/>
            <w:vAlign w:val="center"/>
          </w:tcPr>
          <w:p w14:paraId="0BF63C58" w14:textId="72F24C80" w:rsidR="00D13592" w:rsidRPr="00781112" w:rsidRDefault="00D13592" w:rsidP="00D13592">
            <w:pPr>
              <w:jc w:val="center"/>
              <w:rPr>
                <w:rFonts w:cs="Arial"/>
                <w:color w:val="000000" w:themeColor="text1"/>
                <w:szCs w:val="16"/>
              </w:rPr>
            </w:pPr>
            <w:r w:rsidRPr="00781112">
              <w:rPr>
                <w:rFonts w:cs="Arial"/>
                <w:color w:val="000000" w:themeColor="text1"/>
                <w:szCs w:val="16"/>
              </w:rPr>
              <w:t>60.00%</w:t>
            </w:r>
          </w:p>
        </w:tc>
        <w:tc>
          <w:tcPr>
            <w:tcW w:w="582" w:type="pct"/>
            <w:vAlign w:val="center"/>
          </w:tcPr>
          <w:p w14:paraId="0075BBBD" w14:textId="7AFABF25" w:rsidR="00D13592" w:rsidRPr="00781112" w:rsidRDefault="00D13592" w:rsidP="00D13592">
            <w:pPr>
              <w:jc w:val="center"/>
              <w:rPr>
                <w:rFonts w:cs="Arial"/>
                <w:color w:val="000000" w:themeColor="text1"/>
                <w:szCs w:val="16"/>
              </w:rPr>
            </w:pPr>
            <w:r w:rsidRPr="00781112">
              <w:rPr>
                <w:rFonts w:cs="Arial"/>
                <w:color w:val="000000" w:themeColor="text1"/>
                <w:szCs w:val="16"/>
              </w:rPr>
              <w:t>62.00%</w:t>
            </w:r>
          </w:p>
        </w:tc>
        <w:tc>
          <w:tcPr>
            <w:tcW w:w="582" w:type="pct"/>
            <w:vAlign w:val="center"/>
          </w:tcPr>
          <w:p w14:paraId="0162408E" w14:textId="763A5CFC" w:rsidR="00D13592" w:rsidRPr="00781112" w:rsidRDefault="00D13592" w:rsidP="00D13592">
            <w:pPr>
              <w:jc w:val="center"/>
              <w:rPr>
                <w:rFonts w:cs="Arial"/>
                <w:color w:val="000000" w:themeColor="text1"/>
                <w:szCs w:val="16"/>
              </w:rPr>
            </w:pPr>
            <w:r w:rsidRPr="00781112">
              <w:rPr>
                <w:rFonts w:cs="Arial"/>
                <w:color w:val="000000" w:themeColor="text1"/>
                <w:szCs w:val="16"/>
              </w:rPr>
              <w:t>64.00%</w:t>
            </w:r>
          </w:p>
        </w:tc>
        <w:tc>
          <w:tcPr>
            <w:tcW w:w="582" w:type="pct"/>
            <w:vAlign w:val="center"/>
          </w:tcPr>
          <w:p w14:paraId="31533AB0" w14:textId="168489BE" w:rsidR="00D13592" w:rsidRPr="00781112" w:rsidRDefault="00D13592" w:rsidP="00D13592">
            <w:pPr>
              <w:jc w:val="center"/>
              <w:rPr>
                <w:rFonts w:cs="Arial"/>
                <w:color w:val="000000" w:themeColor="text1"/>
                <w:szCs w:val="16"/>
              </w:rPr>
            </w:pPr>
            <w:r w:rsidRPr="00781112">
              <w:rPr>
                <w:rFonts w:cs="Arial"/>
                <w:color w:val="000000" w:themeColor="text1"/>
                <w:szCs w:val="16"/>
              </w:rPr>
              <w:t>66.00%</w:t>
            </w:r>
          </w:p>
        </w:tc>
        <w:tc>
          <w:tcPr>
            <w:tcW w:w="585" w:type="pct"/>
            <w:vAlign w:val="center"/>
          </w:tcPr>
          <w:p w14:paraId="3FD08822" w14:textId="00C4AF34" w:rsidR="00D13592" w:rsidRPr="00781112" w:rsidRDefault="00D13592" w:rsidP="00D13592">
            <w:pPr>
              <w:jc w:val="center"/>
              <w:rPr>
                <w:rFonts w:cs="Arial"/>
                <w:color w:val="000000" w:themeColor="text1"/>
                <w:szCs w:val="16"/>
              </w:rPr>
            </w:pPr>
            <w:r w:rsidRPr="00781112">
              <w:rPr>
                <w:rFonts w:cs="Arial"/>
                <w:color w:val="000000" w:themeColor="text1"/>
                <w:szCs w:val="16"/>
              </w:rPr>
              <w:t>68.00%</w:t>
            </w:r>
          </w:p>
        </w:tc>
      </w:tr>
      <w:tr w:rsidR="00D13592" w:rsidRPr="00781112" w14:paraId="72653908" w14:textId="04D938F0" w:rsidTr="00E95FBF">
        <w:tc>
          <w:tcPr>
            <w:tcW w:w="377" w:type="pct"/>
            <w:shd w:val="clear" w:color="auto" w:fill="auto"/>
            <w:vAlign w:val="center"/>
          </w:tcPr>
          <w:p w14:paraId="48B507DA" w14:textId="179672F1"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Math</w:t>
            </w:r>
          </w:p>
        </w:tc>
        <w:tc>
          <w:tcPr>
            <w:tcW w:w="323" w:type="pct"/>
            <w:shd w:val="clear" w:color="auto" w:fill="auto"/>
            <w:vAlign w:val="center"/>
          </w:tcPr>
          <w:p w14:paraId="63FB17C0" w14:textId="2F2DF4DD"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C &gt;=</w:t>
            </w:r>
          </w:p>
        </w:tc>
        <w:tc>
          <w:tcPr>
            <w:tcW w:w="805" w:type="pct"/>
            <w:shd w:val="clear" w:color="auto" w:fill="auto"/>
            <w:vAlign w:val="center"/>
          </w:tcPr>
          <w:p w14:paraId="54F8A2F9" w14:textId="5C3A3F72"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HS</w:t>
            </w:r>
          </w:p>
        </w:tc>
        <w:tc>
          <w:tcPr>
            <w:tcW w:w="582" w:type="pct"/>
            <w:shd w:val="clear" w:color="auto" w:fill="auto"/>
            <w:vAlign w:val="center"/>
          </w:tcPr>
          <w:p w14:paraId="32CB0D9F" w14:textId="65605481" w:rsidR="00D13592" w:rsidRPr="00781112" w:rsidRDefault="00D13592" w:rsidP="00D13592">
            <w:pPr>
              <w:jc w:val="center"/>
              <w:rPr>
                <w:rFonts w:cs="Arial"/>
                <w:color w:val="000000" w:themeColor="text1"/>
                <w:szCs w:val="16"/>
              </w:rPr>
            </w:pPr>
            <w:r w:rsidRPr="00781112">
              <w:rPr>
                <w:rFonts w:cs="Arial"/>
                <w:color w:val="000000" w:themeColor="text1"/>
                <w:szCs w:val="16"/>
              </w:rPr>
              <w:t>49.65%</w:t>
            </w:r>
          </w:p>
        </w:tc>
        <w:tc>
          <w:tcPr>
            <w:tcW w:w="582" w:type="pct"/>
            <w:vAlign w:val="center"/>
          </w:tcPr>
          <w:p w14:paraId="72012D7E" w14:textId="10B8E7BA" w:rsidR="00D13592" w:rsidRPr="00781112" w:rsidRDefault="00D13592" w:rsidP="00D13592">
            <w:pPr>
              <w:jc w:val="center"/>
              <w:rPr>
                <w:rFonts w:cs="Arial"/>
                <w:color w:val="000000" w:themeColor="text1"/>
                <w:szCs w:val="16"/>
              </w:rPr>
            </w:pPr>
            <w:r w:rsidRPr="00781112">
              <w:rPr>
                <w:rFonts w:cs="Arial"/>
                <w:color w:val="000000" w:themeColor="text1"/>
                <w:szCs w:val="16"/>
              </w:rPr>
              <w:t>51.00%</w:t>
            </w:r>
          </w:p>
        </w:tc>
        <w:tc>
          <w:tcPr>
            <w:tcW w:w="582" w:type="pct"/>
            <w:vAlign w:val="center"/>
          </w:tcPr>
          <w:p w14:paraId="323B3F79" w14:textId="5FA94A39" w:rsidR="00D13592" w:rsidRPr="00781112" w:rsidRDefault="00D13592" w:rsidP="00D13592">
            <w:pPr>
              <w:jc w:val="center"/>
              <w:rPr>
                <w:rFonts w:cs="Arial"/>
                <w:color w:val="000000" w:themeColor="text1"/>
                <w:szCs w:val="16"/>
              </w:rPr>
            </w:pPr>
            <w:r w:rsidRPr="00781112">
              <w:rPr>
                <w:rFonts w:cs="Arial"/>
                <w:color w:val="000000" w:themeColor="text1"/>
                <w:szCs w:val="16"/>
              </w:rPr>
              <w:t>53.00%</w:t>
            </w:r>
          </w:p>
        </w:tc>
        <w:tc>
          <w:tcPr>
            <w:tcW w:w="582" w:type="pct"/>
            <w:vAlign w:val="center"/>
          </w:tcPr>
          <w:p w14:paraId="4A1DD032" w14:textId="1316ECD4" w:rsidR="00D13592" w:rsidRPr="00781112" w:rsidRDefault="00D13592" w:rsidP="00D13592">
            <w:pPr>
              <w:jc w:val="center"/>
              <w:rPr>
                <w:rFonts w:cs="Arial"/>
                <w:color w:val="000000" w:themeColor="text1"/>
                <w:szCs w:val="16"/>
              </w:rPr>
            </w:pPr>
            <w:r w:rsidRPr="00781112">
              <w:rPr>
                <w:rFonts w:cs="Arial"/>
                <w:color w:val="000000" w:themeColor="text1"/>
                <w:szCs w:val="16"/>
              </w:rPr>
              <w:t>55.00%</w:t>
            </w:r>
          </w:p>
        </w:tc>
        <w:tc>
          <w:tcPr>
            <w:tcW w:w="582" w:type="pct"/>
            <w:vAlign w:val="center"/>
          </w:tcPr>
          <w:p w14:paraId="74C8F676" w14:textId="54D72167" w:rsidR="00D13592" w:rsidRPr="00781112" w:rsidRDefault="00D13592" w:rsidP="00D13592">
            <w:pPr>
              <w:jc w:val="center"/>
              <w:rPr>
                <w:rFonts w:cs="Arial"/>
                <w:color w:val="000000" w:themeColor="text1"/>
                <w:szCs w:val="16"/>
              </w:rPr>
            </w:pPr>
            <w:r w:rsidRPr="00781112">
              <w:rPr>
                <w:rFonts w:cs="Arial"/>
                <w:color w:val="000000" w:themeColor="text1"/>
                <w:szCs w:val="16"/>
              </w:rPr>
              <w:t>57.00%</w:t>
            </w:r>
          </w:p>
        </w:tc>
        <w:tc>
          <w:tcPr>
            <w:tcW w:w="585" w:type="pct"/>
            <w:vAlign w:val="center"/>
          </w:tcPr>
          <w:p w14:paraId="1C6A0417" w14:textId="5A5D31CA" w:rsidR="00D13592" w:rsidRPr="00781112" w:rsidRDefault="00D13592" w:rsidP="00D13592">
            <w:pPr>
              <w:jc w:val="center"/>
              <w:rPr>
                <w:rFonts w:cs="Arial"/>
                <w:color w:val="000000" w:themeColor="text1"/>
                <w:szCs w:val="16"/>
              </w:rPr>
            </w:pPr>
            <w:r w:rsidRPr="00781112">
              <w:rPr>
                <w:rFonts w:cs="Arial"/>
                <w:color w:val="000000" w:themeColor="text1"/>
                <w:szCs w:val="16"/>
              </w:rPr>
              <w:t>59.00%</w:t>
            </w:r>
          </w:p>
        </w:tc>
      </w:tr>
    </w:tbl>
    <w:p w14:paraId="113C15D2" w14:textId="77777777" w:rsidR="00140972" w:rsidRDefault="00140972">
      <w:pPr>
        <w:spacing w:before="0" w:after="200" w:line="276" w:lineRule="auto"/>
        <w:rPr>
          <w:b/>
          <w:color w:val="000000" w:themeColor="text1"/>
        </w:rPr>
      </w:pPr>
      <w:r>
        <w:rPr>
          <w:b/>
          <w:color w:val="000000" w:themeColor="text1"/>
        </w:rPr>
        <w:br w:type="page"/>
      </w:r>
    </w:p>
    <w:p w14:paraId="0A08A514" w14:textId="090EA0D1" w:rsidR="002D145D" w:rsidRPr="00781112" w:rsidRDefault="002D145D" w:rsidP="004369B2">
      <w:pPr>
        <w:rPr>
          <w:b/>
          <w:color w:val="000000" w:themeColor="text1"/>
        </w:rPr>
      </w:pPr>
      <w:r w:rsidRPr="00781112">
        <w:rPr>
          <w:b/>
          <w:color w:val="000000" w:themeColor="text1"/>
        </w:rPr>
        <w:lastRenderedPageBreak/>
        <w:t xml:space="preserve">Targets: Description of Stakeholder Input </w:t>
      </w:r>
    </w:p>
    <w:p w14:paraId="08B1A70A" w14:textId="19A83495" w:rsidR="002D145D" w:rsidRPr="00781112" w:rsidRDefault="002B7490" w:rsidP="002D145D">
      <w:pPr>
        <w:rPr>
          <w:rFonts w:cs="Arial"/>
          <w:color w:val="000000" w:themeColor="text1"/>
          <w:szCs w:val="16"/>
        </w:rPr>
      </w:pPr>
      <w:r w:rsidRPr="00781112">
        <w:rPr>
          <w:rFonts w:cs="Arial"/>
          <w:color w:val="000000" w:themeColor="text1"/>
          <w:szCs w:val="16"/>
        </w:rPr>
        <w:t>Louisiana has developed a comprehensive vision for the future of education in our state—Louisiana Believes. The driving force of this vision is that every one of Louisiana’s children should be on track to a college degree or a professional career. This inclusive vision and Louisiana’s values were apparent in the development of the SPP as we solicited and received broad stakeholder input to inform the target setting process for FFY 2020 - FFY 2025. The LDOE used three phases to develop the SPP targets for FFY 2020 - FFY 2025: 1) internal review, 2) external stakeholder feedback, and 3) Special Education Advisory Panel (SEAP) integration.</w:t>
      </w:r>
      <w:r w:rsidRPr="00781112">
        <w:rPr>
          <w:rFonts w:cs="Arial"/>
          <w:color w:val="000000" w:themeColor="text1"/>
          <w:szCs w:val="16"/>
        </w:rPr>
        <w:br/>
      </w:r>
      <w:r w:rsidRPr="00781112">
        <w:rPr>
          <w:rFonts w:cs="Arial"/>
          <w:color w:val="000000" w:themeColor="text1"/>
          <w:szCs w:val="16"/>
        </w:rPr>
        <w:br/>
        <w:t xml:space="preserve">Internal Review </w:t>
      </w:r>
      <w:r w:rsidRPr="00781112">
        <w:rPr>
          <w:rFonts w:cs="Arial"/>
          <w:color w:val="000000" w:themeColor="text1"/>
          <w:szCs w:val="16"/>
        </w:rPr>
        <w:br/>
        <w:t xml:space="preserve">The LDOE's Division for Diverse Learners reviewed historical data and LDOE policies, procedures, and practices; and collaborated with internal teams to develop targets that were rigorous and attainable. </w:t>
      </w:r>
      <w:r w:rsidRPr="00781112">
        <w:rPr>
          <w:rFonts w:cs="Arial"/>
          <w:color w:val="000000" w:themeColor="text1"/>
          <w:szCs w:val="16"/>
        </w:rPr>
        <w:br/>
      </w:r>
      <w:r w:rsidRPr="00781112">
        <w:rPr>
          <w:rFonts w:cs="Arial"/>
          <w:color w:val="000000" w:themeColor="text1"/>
          <w:szCs w:val="16"/>
        </w:rPr>
        <w:br/>
        <w:t>External Stakeholder Feedback</w:t>
      </w:r>
      <w:r w:rsidRPr="00781112">
        <w:rPr>
          <w:rFonts w:cs="Arial"/>
          <w:color w:val="000000" w:themeColor="text1"/>
          <w:szCs w:val="16"/>
        </w:rPr>
        <w:br/>
        <w:t xml:space="preserve">The Division for Diverse Learners developed and executed an SPP/APR target setting engagement strategy to solicit broad stakeholder feedback on the FFY 2020 - FFY 2025 targets. The LDOE developed a State Performance Plan / Annual Performance Report Target Setting webpage on the Louisiana Believes website. The webpage contains an overview document with an explanation of each indicator, historical data for each indicator, and tables to clearly identify whether or not the State met targets for each indicator. After review of the overview document, a target setting survey was available for stakeholders to provide input on targets. </w:t>
      </w:r>
      <w:r w:rsidRPr="00781112">
        <w:rPr>
          <w:rFonts w:cs="Arial"/>
          <w:color w:val="000000" w:themeColor="text1"/>
          <w:szCs w:val="16"/>
        </w:rPr>
        <w:br/>
      </w:r>
      <w:r w:rsidRPr="00781112">
        <w:rPr>
          <w:rFonts w:cs="Arial"/>
          <w:color w:val="000000" w:themeColor="text1"/>
          <w:szCs w:val="16"/>
        </w:rPr>
        <w:br/>
        <w:t>SEAP Integration</w:t>
      </w:r>
      <w:r w:rsidRPr="00781112">
        <w:rPr>
          <w:rFonts w:cs="Arial"/>
          <w:color w:val="000000" w:themeColor="text1"/>
          <w:szCs w:val="16"/>
        </w:rPr>
        <w:br/>
        <w:t>The LDOE informed the SEAP on the target setting process at two separate meetings. LDOE provided an overview of each indicator along with historical data to SEAP members who provided input. SEAP's structure also allows for public comments, which were exercised at the meetings, providing external stakeholder feedback.</w:t>
      </w:r>
      <w:r w:rsidRPr="00781112">
        <w:rPr>
          <w:rFonts w:cs="Arial"/>
          <w:color w:val="000000" w:themeColor="text1"/>
          <w:szCs w:val="16"/>
        </w:rPr>
        <w:br/>
      </w:r>
      <w:r w:rsidRPr="00781112">
        <w:rPr>
          <w:rFonts w:cs="Arial"/>
          <w:color w:val="000000" w:themeColor="text1"/>
          <w:szCs w:val="16"/>
        </w:rPr>
        <w:br/>
        <w:t>The LDOE set targets based on feedback, historical data, and whether previous targets set were met. LDOE will continue to monitor data, targets, and changes to Indicator methodology, and may revise targets in the future, as necessary. Any revisions will incorporate stakeholder feedback, including, but not limited to, SEAP.</w:t>
      </w:r>
    </w:p>
    <w:p w14:paraId="2261CE05" w14:textId="31E113F2" w:rsidR="002D145D" w:rsidRPr="00781112" w:rsidRDefault="002D145D" w:rsidP="002D145D">
      <w:pPr>
        <w:rPr>
          <w:rFonts w:cs="Arial"/>
          <w:color w:val="000000" w:themeColor="text1"/>
          <w:szCs w:val="16"/>
        </w:rPr>
      </w:pPr>
    </w:p>
    <w:p w14:paraId="4A15E54A" w14:textId="77777777" w:rsidR="00B8751C" w:rsidRPr="00781112" w:rsidRDefault="00B8751C">
      <w:pPr>
        <w:rPr>
          <w:b/>
          <w:color w:val="000000" w:themeColor="text1"/>
        </w:rPr>
      </w:pPr>
    </w:p>
    <w:p w14:paraId="01651096" w14:textId="2F7D8824" w:rsidR="000A5A2E" w:rsidRPr="00781112" w:rsidRDefault="00F6415A">
      <w:pPr>
        <w:rPr>
          <w:b/>
          <w:color w:val="000000" w:themeColor="text1"/>
        </w:rPr>
      </w:pPr>
      <w:r w:rsidRPr="00781112">
        <w:rPr>
          <w:b/>
          <w:color w:val="000000" w:themeColor="text1"/>
        </w:rPr>
        <w:t>FFY 2020 Data Disaggregation from EDFacts</w:t>
      </w:r>
    </w:p>
    <w:p w14:paraId="42AECFE6"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Data Source: </w:t>
      </w:r>
    </w:p>
    <w:p w14:paraId="4E62FCFE" w14:textId="0B9900E2" w:rsidR="00A10323" w:rsidRPr="00781112" w:rsidRDefault="002B7490" w:rsidP="00286BDF">
      <w:pPr>
        <w:rPr>
          <w:rFonts w:cs="Arial"/>
          <w:color w:val="000000" w:themeColor="text1"/>
          <w:szCs w:val="16"/>
        </w:rPr>
      </w:pPr>
      <w:r w:rsidRPr="00781112">
        <w:rPr>
          <w:rFonts w:cs="Arial"/>
          <w:color w:val="000000" w:themeColor="text1"/>
          <w:szCs w:val="16"/>
        </w:rPr>
        <w:t>SY 2020-21 Assessment Data Groups - Reading (EDFacts file spec FS178; Data Group: 584)</w:t>
      </w:r>
    </w:p>
    <w:p w14:paraId="5E404A07"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Date: </w:t>
      </w:r>
    </w:p>
    <w:p w14:paraId="46908A6B" w14:textId="07C3945A" w:rsidR="00A10323" w:rsidRPr="00781112" w:rsidRDefault="002B7490" w:rsidP="00286BDF">
      <w:pPr>
        <w:rPr>
          <w:rFonts w:cs="Arial"/>
          <w:color w:val="000000" w:themeColor="text1"/>
          <w:szCs w:val="16"/>
        </w:rPr>
      </w:pPr>
      <w:r w:rsidRPr="00781112">
        <w:rPr>
          <w:rFonts w:cs="Arial"/>
          <w:color w:val="000000" w:themeColor="text1"/>
          <w:szCs w:val="16"/>
        </w:rPr>
        <w:t>03/03/2022</w:t>
      </w:r>
    </w:p>
    <w:p w14:paraId="7A786FF9" w14:textId="77777777" w:rsidR="00A63347" w:rsidRPr="00781112" w:rsidRDefault="00A63347">
      <w:pPr>
        <w:rPr>
          <w:b/>
          <w:color w:val="000000" w:themeColor="text1"/>
        </w:rPr>
      </w:pPr>
    </w:p>
    <w:p w14:paraId="603FD8CB" w14:textId="05C9185C" w:rsidR="00162F4A" w:rsidRPr="00781112" w:rsidRDefault="00162F4A">
      <w:pPr>
        <w:rPr>
          <w:b/>
          <w:color w:val="000000" w:themeColor="text1"/>
        </w:rPr>
      </w:pPr>
      <w:r w:rsidRPr="00781112">
        <w:rPr>
          <w:b/>
          <w:color w:val="000000" w:themeColor="text1"/>
        </w:rPr>
        <w:t>Reading Assessment Proficiency Data by Grade</w:t>
      </w:r>
    </w:p>
    <w:tbl>
      <w:tblPr>
        <w:tblStyle w:val="TableGrid"/>
        <w:tblW w:w="10795" w:type="dxa"/>
        <w:tblLayout w:type="fixed"/>
        <w:tblLook w:val="04A0" w:firstRow="1" w:lastRow="0" w:firstColumn="1" w:lastColumn="0" w:noHBand="0" w:noVBand="1"/>
        <w:tblCaption w:val="B03CASSPARTDATABYGRDRLA"/>
      </w:tblPr>
      <w:tblGrid>
        <w:gridCol w:w="2695"/>
        <w:gridCol w:w="2700"/>
        <w:gridCol w:w="2700"/>
        <w:gridCol w:w="2700"/>
      </w:tblGrid>
      <w:tr w:rsidR="003403B4" w:rsidRPr="00781112" w14:paraId="428FB0F7" w14:textId="08DAAE1B" w:rsidTr="00E95FBF">
        <w:tc>
          <w:tcPr>
            <w:tcW w:w="2695" w:type="dxa"/>
            <w:shd w:val="clear" w:color="auto" w:fill="auto"/>
          </w:tcPr>
          <w:p w14:paraId="3C2A5B11" w14:textId="73EE4867" w:rsidR="003403B4" w:rsidRPr="00781112" w:rsidRDefault="00835EAD" w:rsidP="003403B4">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3FF46CFF" w14:textId="175C9EF7" w:rsidR="003403B4" w:rsidRPr="00781112" w:rsidRDefault="003403B4" w:rsidP="00196CE6">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1F0659F7" w14:textId="574B33D5" w:rsidR="003403B4" w:rsidRPr="00781112" w:rsidRDefault="003403B4" w:rsidP="00315E88">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51B61EB6" w14:textId="7B1064DE" w:rsidR="003403B4" w:rsidRPr="00781112" w:rsidRDefault="003403B4" w:rsidP="00E14CF0">
            <w:pPr>
              <w:jc w:val="center"/>
              <w:rPr>
                <w:b/>
                <w:color w:val="000000" w:themeColor="text1"/>
              </w:rPr>
            </w:pPr>
            <w:r w:rsidRPr="00781112">
              <w:rPr>
                <w:rFonts w:cs="Arial"/>
                <w:b/>
                <w:bCs/>
                <w:color w:val="000000" w:themeColor="text1"/>
                <w:szCs w:val="16"/>
              </w:rPr>
              <w:t>Grade HS</w:t>
            </w:r>
          </w:p>
        </w:tc>
      </w:tr>
      <w:tr w:rsidR="005A486A" w:rsidRPr="00781112" w14:paraId="15C4E2F5" w14:textId="23A18F5A" w:rsidTr="00E95FBF">
        <w:tc>
          <w:tcPr>
            <w:tcW w:w="2695" w:type="dxa"/>
            <w:shd w:val="clear" w:color="auto" w:fill="auto"/>
          </w:tcPr>
          <w:p w14:paraId="1D84B931" w14:textId="3EFA8778" w:rsidR="005A486A" w:rsidRPr="00781112" w:rsidRDefault="005A486A" w:rsidP="005A486A">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07C14EE4" w14:textId="28486B47" w:rsidR="005A486A" w:rsidRPr="00781112" w:rsidRDefault="005A486A" w:rsidP="00360DD6">
            <w:pPr>
              <w:jc w:val="center"/>
              <w:rPr>
                <w:b/>
                <w:color w:val="000000" w:themeColor="text1"/>
              </w:rPr>
            </w:pPr>
            <w:r w:rsidRPr="00781112">
              <w:rPr>
                <w:color w:val="000000" w:themeColor="text1"/>
              </w:rPr>
              <w:t>535</w:t>
            </w:r>
          </w:p>
        </w:tc>
        <w:tc>
          <w:tcPr>
            <w:tcW w:w="2700" w:type="dxa"/>
            <w:shd w:val="clear" w:color="auto" w:fill="auto"/>
            <w:vAlign w:val="center"/>
          </w:tcPr>
          <w:p w14:paraId="1DFC3C40" w14:textId="5833F145" w:rsidR="005A486A" w:rsidRPr="00781112" w:rsidRDefault="005A486A" w:rsidP="00360DD6">
            <w:pPr>
              <w:jc w:val="center"/>
              <w:rPr>
                <w:b/>
                <w:color w:val="000000" w:themeColor="text1"/>
              </w:rPr>
            </w:pPr>
            <w:r w:rsidRPr="00781112">
              <w:rPr>
                <w:color w:val="000000" w:themeColor="text1"/>
              </w:rPr>
              <w:t>940</w:t>
            </w:r>
          </w:p>
        </w:tc>
        <w:tc>
          <w:tcPr>
            <w:tcW w:w="2700" w:type="dxa"/>
            <w:shd w:val="clear" w:color="auto" w:fill="auto"/>
            <w:vAlign w:val="center"/>
          </w:tcPr>
          <w:p w14:paraId="70A0184C" w14:textId="4D57349B" w:rsidR="005A486A" w:rsidRPr="00781112" w:rsidRDefault="005A486A" w:rsidP="00360DD6">
            <w:pPr>
              <w:jc w:val="center"/>
              <w:rPr>
                <w:b/>
                <w:color w:val="000000" w:themeColor="text1"/>
              </w:rPr>
            </w:pPr>
            <w:r w:rsidRPr="00781112">
              <w:rPr>
                <w:color w:val="000000" w:themeColor="text1"/>
              </w:rPr>
              <w:t>859</w:t>
            </w:r>
          </w:p>
        </w:tc>
      </w:tr>
      <w:tr w:rsidR="005A486A" w:rsidRPr="00781112" w14:paraId="3BE009FE" w14:textId="48A19AF7" w:rsidTr="00E95FBF">
        <w:tc>
          <w:tcPr>
            <w:tcW w:w="2695" w:type="dxa"/>
            <w:shd w:val="clear" w:color="auto" w:fill="auto"/>
          </w:tcPr>
          <w:p w14:paraId="3D43994F" w14:textId="3B46415A" w:rsidR="005A486A" w:rsidRPr="00781112" w:rsidRDefault="003403B4" w:rsidP="005A486A">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55D5067" w14:textId="45460D4D" w:rsidR="005A486A" w:rsidRPr="00781112" w:rsidRDefault="005A486A" w:rsidP="00360DD6">
            <w:pPr>
              <w:jc w:val="center"/>
              <w:rPr>
                <w:b/>
                <w:color w:val="000000" w:themeColor="text1"/>
              </w:rPr>
            </w:pPr>
            <w:r w:rsidRPr="00781112">
              <w:rPr>
                <w:color w:val="000000" w:themeColor="text1"/>
              </w:rPr>
              <w:t>271</w:t>
            </w:r>
          </w:p>
        </w:tc>
        <w:tc>
          <w:tcPr>
            <w:tcW w:w="2700" w:type="dxa"/>
            <w:shd w:val="clear" w:color="auto" w:fill="auto"/>
            <w:vAlign w:val="center"/>
          </w:tcPr>
          <w:p w14:paraId="47E25E0D" w14:textId="60D76349" w:rsidR="005A486A" w:rsidRPr="00781112" w:rsidRDefault="005A486A" w:rsidP="00360DD6">
            <w:pPr>
              <w:jc w:val="center"/>
              <w:rPr>
                <w:b/>
                <w:color w:val="000000" w:themeColor="text1"/>
              </w:rPr>
            </w:pPr>
            <w:r w:rsidRPr="00781112">
              <w:rPr>
                <w:color w:val="000000" w:themeColor="text1"/>
              </w:rPr>
              <w:t>533</w:t>
            </w:r>
          </w:p>
        </w:tc>
        <w:tc>
          <w:tcPr>
            <w:tcW w:w="2700" w:type="dxa"/>
            <w:shd w:val="clear" w:color="auto" w:fill="auto"/>
            <w:vAlign w:val="center"/>
          </w:tcPr>
          <w:p w14:paraId="523F025F" w14:textId="6533B4FD" w:rsidR="005A486A" w:rsidRPr="00781112" w:rsidRDefault="005A486A" w:rsidP="00360DD6">
            <w:pPr>
              <w:jc w:val="center"/>
              <w:rPr>
                <w:b/>
                <w:color w:val="000000" w:themeColor="text1"/>
              </w:rPr>
            </w:pPr>
            <w:r w:rsidRPr="00781112">
              <w:rPr>
                <w:color w:val="000000" w:themeColor="text1"/>
              </w:rPr>
              <w:t>615</w:t>
            </w:r>
          </w:p>
        </w:tc>
      </w:tr>
    </w:tbl>
    <w:p w14:paraId="31899BDA"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Data Source:  </w:t>
      </w:r>
    </w:p>
    <w:p w14:paraId="6AEE1AE1" w14:textId="785594EB" w:rsidR="00BD7229" w:rsidRPr="00781112" w:rsidRDefault="002B7490" w:rsidP="00286BDF">
      <w:pPr>
        <w:rPr>
          <w:rFonts w:cs="Arial"/>
          <w:color w:val="000000" w:themeColor="text1"/>
          <w:szCs w:val="16"/>
        </w:rPr>
      </w:pPr>
      <w:r w:rsidRPr="00781112">
        <w:rPr>
          <w:rFonts w:cs="Arial"/>
          <w:color w:val="000000" w:themeColor="text1"/>
          <w:szCs w:val="16"/>
        </w:rPr>
        <w:t>SY 2020-21 Assessment Data Groups - Math (EDFacts file spec FS175; Data Group: 583)</w:t>
      </w:r>
    </w:p>
    <w:p w14:paraId="59F25B6E"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Date: </w:t>
      </w:r>
    </w:p>
    <w:p w14:paraId="4B8A206D" w14:textId="36B0E5E5" w:rsidR="00BD7229" w:rsidRPr="00781112" w:rsidRDefault="002B7490" w:rsidP="00286BDF">
      <w:pPr>
        <w:rPr>
          <w:rFonts w:cs="Arial"/>
          <w:color w:val="000000" w:themeColor="text1"/>
          <w:szCs w:val="16"/>
        </w:rPr>
      </w:pPr>
      <w:r w:rsidRPr="00781112">
        <w:rPr>
          <w:rFonts w:cs="Arial"/>
          <w:color w:val="000000" w:themeColor="text1"/>
          <w:szCs w:val="16"/>
        </w:rPr>
        <w:t>03/03/2022</w:t>
      </w:r>
    </w:p>
    <w:p w14:paraId="3365AF3D" w14:textId="2AFA5758" w:rsidR="00162F4A" w:rsidRPr="00781112" w:rsidRDefault="00162F4A">
      <w:pPr>
        <w:rPr>
          <w:b/>
          <w:color w:val="000000" w:themeColor="text1"/>
        </w:rPr>
      </w:pPr>
      <w:r w:rsidRPr="00781112">
        <w:rPr>
          <w:b/>
          <w:color w:val="000000" w:themeColor="text1"/>
        </w:rPr>
        <w:t>Math Assessment Proficiency Data by Grade</w:t>
      </w:r>
    </w:p>
    <w:tbl>
      <w:tblPr>
        <w:tblStyle w:val="TableGrid"/>
        <w:tblW w:w="10795" w:type="dxa"/>
        <w:tblLayout w:type="fixed"/>
        <w:tblLook w:val="04A0" w:firstRow="1" w:lastRow="0" w:firstColumn="1" w:lastColumn="0" w:noHBand="0" w:noVBand="1"/>
        <w:tblCaption w:val="B03CASSPARTDATABYGRDMATH"/>
      </w:tblPr>
      <w:tblGrid>
        <w:gridCol w:w="2695"/>
        <w:gridCol w:w="2700"/>
        <w:gridCol w:w="2700"/>
        <w:gridCol w:w="2700"/>
      </w:tblGrid>
      <w:tr w:rsidR="0084736E" w:rsidRPr="00781112" w14:paraId="62DE1B1F" w14:textId="77777777" w:rsidTr="00E95FBF">
        <w:tc>
          <w:tcPr>
            <w:tcW w:w="2695" w:type="dxa"/>
            <w:shd w:val="clear" w:color="auto" w:fill="auto"/>
          </w:tcPr>
          <w:p w14:paraId="190C09EE" w14:textId="0BB3377D" w:rsidR="0084736E" w:rsidRPr="00781112" w:rsidRDefault="00835EAD" w:rsidP="0084736E">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7DE5B404" w14:textId="75646743" w:rsidR="0084736E" w:rsidRPr="00781112" w:rsidRDefault="0084736E" w:rsidP="0084736E">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7038055F" w14:textId="27DA5FAA" w:rsidR="0084736E" w:rsidRPr="00781112" w:rsidRDefault="0084736E" w:rsidP="0084736E">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3032FA89" w14:textId="7F94CD01" w:rsidR="0084736E" w:rsidRPr="00781112" w:rsidRDefault="0084736E" w:rsidP="0084736E">
            <w:pPr>
              <w:jc w:val="center"/>
              <w:rPr>
                <w:b/>
                <w:color w:val="000000" w:themeColor="text1"/>
              </w:rPr>
            </w:pPr>
            <w:r w:rsidRPr="00781112">
              <w:rPr>
                <w:rFonts w:cs="Arial"/>
                <w:b/>
                <w:bCs/>
                <w:color w:val="000000" w:themeColor="text1"/>
                <w:szCs w:val="16"/>
              </w:rPr>
              <w:t>Grade HS</w:t>
            </w:r>
          </w:p>
        </w:tc>
      </w:tr>
      <w:tr w:rsidR="00660173" w:rsidRPr="00781112" w14:paraId="33333988" w14:textId="77777777" w:rsidTr="00E95FBF">
        <w:tc>
          <w:tcPr>
            <w:tcW w:w="2695" w:type="dxa"/>
            <w:shd w:val="clear" w:color="auto" w:fill="auto"/>
          </w:tcPr>
          <w:p w14:paraId="7DC36ACB" w14:textId="0A898DD0" w:rsidR="00660173" w:rsidRPr="00781112" w:rsidRDefault="00660173" w:rsidP="00660173">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4CE4FB96" w14:textId="01B59A61" w:rsidR="00660173" w:rsidRPr="00781112" w:rsidRDefault="00660173" w:rsidP="00360DD6">
            <w:pPr>
              <w:jc w:val="center"/>
              <w:rPr>
                <w:b/>
                <w:color w:val="000000" w:themeColor="text1"/>
              </w:rPr>
            </w:pPr>
            <w:r w:rsidRPr="00781112">
              <w:rPr>
                <w:color w:val="000000" w:themeColor="text1"/>
              </w:rPr>
              <w:t>532</w:t>
            </w:r>
          </w:p>
        </w:tc>
        <w:tc>
          <w:tcPr>
            <w:tcW w:w="2700" w:type="dxa"/>
            <w:shd w:val="clear" w:color="auto" w:fill="auto"/>
            <w:vAlign w:val="center"/>
          </w:tcPr>
          <w:p w14:paraId="07947D7E" w14:textId="50342908" w:rsidR="00660173" w:rsidRPr="00781112" w:rsidRDefault="00660173" w:rsidP="00360DD6">
            <w:pPr>
              <w:jc w:val="center"/>
              <w:rPr>
                <w:b/>
                <w:color w:val="000000" w:themeColor="text1"/>
              </w:rPr>
            </w:pPr>
            <w:r w:rsidRPr="00781112">
              <w:rPr>
                <w:color w:val="000000" w:themeColor="text1"/>
              </w:rPr>
              <w:t>937</w:t>
            </w:r>
          </w:p>
        </w:tc>
        <w:tc>
          <w:tcPr>
            <w:tcW w:w="2700" w:type="dxa"/>
            <w:shd w:val="clear" w:color="auto" w:fill="auto"/>
            <w:vAlign w:val="center"/>
          </w:tcPr>
          <w:p w14:paraId="669EEFA3" w14:textId="194786E9" w:rsidR="00660173" w:rsidRPr="00781112" w:rsidRDefault="00660173" w:rsidP="00360DD6">
            <w:pPr>
              <w:jc w:val="center"/>
              <w:rPr>
                <w:b/>
                <w:color w:val="000000" w:themeColor="text1"/>
              </w:rPr>
            </w:pPr>
            <w:r w:rsidRPr="00781112">
              <w:rPr>
                <w:color w:val="000000" w:themeColor="text1"/>
              </w:rPr>
              <w:t>852</w:t>
            </w:r>
          </w:p>
        </w:tc>
      </w:tr>
      <w:tr w:rsidR="00660173" w:rsidRPr="00781112" w14:paraId="7E58498F" w14:textId="77777777" w:rsidTr="00E95FBF">
        <w:tc>
          <w:tcPr>
            <w:tcW w:w="2695" w:type="dxa"/>
            <w:shd w:val="clear" w:color="auto" w:fill="auto"/>
          </w:tcPr>
          <w:p w14:paraId="4F32E0BC" w14:textId="3249207F" w:rsidR="00660173" w:rsidRPr="00781112" w:rsidRDefault="00660173" w:rsidP="00660173">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DE46D54" w14:textId="09C11F4A" w:rsidR="00660173" w:rsidRPr="00781112" w:rsidRDefault="00660173" w:rsidP="00360DD6">
            <w:pPr>
              <w:jc w:val="center"/>
              <w:rPr>
                <w:b/>
                <w:color w:val="000000" w:themeColor="text1"/>
              </w:rPr>
            </w:pPr>
            <w:r w:rsidRPr="00781112">
              <w:rPr>
                <w:color w:val="000000" w:themeColor="text1"/>
              </w:rPr>
              <w:t>275</w:t>
            </w:r>
          </w:p>
        </w:tc>
        <w:tc>
          <w:tcPr>
            <w:tcW w:w="2700" w:type="dxa"/>
            <w:shd w:val="clear" w:color="auto" w:fill="auto"/>
            <w:vAlign w:val="center"/>
          </w:tcPr>
          <w:p w14:paraId="6F4311F8" w14:textId="57481F37" w:rsidR="00660173" w:rsidRPr="00781112" w:rsidRDefault="00660173" w:rsidP="00360DD6">
            <w:pPr>
              <w:jc w:val="center"/>
              <w:rPr>
                <w:b/>
                <w:color w:val="000000" w:themeColor="text1"/>
              </w:rPr>
            </w:pPr>
            <w:r w:rsidRPr="00781112">
              <w:rPr>
                <w:color w:val="000000" w:themeColor="text1"/>
              </w:rPr>
              <w:t>556</w:t>
            </w:r>
          </w:p>
        </w:tc>
        <w:tc>
          <w:tcPr>
            <w:tcW w:w="2700" w:type="dxa"/>
            <w:shd w:val="clear" w:color="auto" w:fill="auto"/>
            <w:vAlign w:val="center"/>
          </w:tcPr>
          <w:p w14:paraId="7B154B01" w14:textId="7C106CF5" w:rsidR="00660173" w:rsidRPr="00781112" w:rsidRDefault="00660173" w:rsidP="00360DD6">
            <w:pPr>
              <w:jc w:val="center"/>
              <w:rPr>
                <w:b/>
                <w:color w:val="000000" w:themeColor="text1"/>
              </w:rPr>
            </w:pPr>
            <w:r w:rsidRPr="00781112">
              <w:rPr>
                <w:color w:val="000000" w:themeColor="text1"/>
              </w:rPr>
              <w:t>423</w:t>
            </w:r>
          </w:p>
        </w:tc>
      </w:tr>
    </w:tbl>
    <w:p w14:paraId="56C37F05" w14:textId="77777777" w:rsidR="00241BD0" w:rsidRPr="00781112" w:rsidRDefault="00241BD0" w:rsidP="004369B2">
      <w:pPr>
        <w:rPr>
          <w:color w:val="000000" w:themeColor="text1"/>
        </w:rPr>
      </w:pPr>
    </w:p>
    <w:p w14:paraId="0E0A129D" w14:textId="7DDC8951" w:rsidR="00BD7229" w:rsidRPr="00781112" w:rsidRDefault="00F6415A" w:rsidP="004369B2">
      <w:pPr>
        <w:rPr>
          <w:b/>
          <w:color w:val="000000" w:themeColor="text1"/>
        </w:rPr>
      </w:pPr>
      <w:r w:rsidRPr="00781112">
        <w:rPr>
          <w:b/>
          <w:color w:val="000000" w:themeColor="text1"/>
        </w:rPr>
        <w:t>FFY 2020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RLA"/>
      </w:tblPr>
      <w:tblGrid>
        <w:gridCol w:w="696"/>
        <w:gridCol w:w="1178"/>
        <w:gridCol w:w="1245"/>
        <w:gridCol w:w="1373"/>
        <w:gridCol w:w="1140"/>
        <w:gridCol w:w="1600"/>
        <w:gridCol w:w="1050"/>
        <w:gridCol w:w="1270"/>
        <w:gridCol w:w="1238"/>
      </w:tblGrid>
      <w:tr w:rsidR="00C5757B" w:rsidRPr="00781112" w14:paraId="73241F59" w14:textId="77777777" w:rsidTr="00140972">
        <w:trPr>
          <w:tblHeader/>
        </w:trPr>
        <w:tc>
          <w:tcPr>
            <w:tcW w:w="221" w:type="pct"/>
            <w:shd w:val="clear" w:color="auto" w:fill="auto"/>
            <w:vAlign w:val="bottom"/>
          </w:tcPr>
          <w:p w14:paraId="3378C689" w14:textId="77777777" w:rsidR="00C5757B" w:rsidRPr="00781112" w:rsidRDefault="00C5757B" w:rsidP="00C5757B">
            <w:pPr>
              <w:jc w:val="center"/>
              <w:rPr>
                <w:b/>
                <w:color w:val="000000" w:themeColor="text1"/>
              </w:rPr>
            </w:pPr>
            <w:r w:rsidRPr="00781112">
              <w:rPr>
                <w:b/>
                <w:color w:val="000000" w:themeColor="text1"/>
              </w:rPr>
              <w:lastRenderedPageBreak/>
              <w:t>Group</w:t>
            </w:r>
          </w:p>
        </w:tc>
        <w:tc>
          <w:tcPr>
            <w:tcW w:w="559" w:type="pct"/>
            <w:shd w:val="clear" w:color="auto" w:fill="auto"/>
            <w:vAlign w:val="bottom"/>
          </w:tcPr>
          <w:p w14:paraId="34B96D6C" w14:textId="2E1BB354" w:rsidR="00C5757B" w:rsidRPr="00781112" w:rsidRDefault="00C5757B" w:rsidP="00C5757B">
            <w:pPr>
              <w:jc w:val="center"/>
              <w:rPr>
                <w:b/>
                <w:color w:val="000000" w:themeColor="text1"/>
              </w:rPr>
            </w:pPr>
            <w:r w:rsidRPr="00781112">
              <w:rPr>
                <w:b/>
                <w:color w:val="000000" w:themeColor="text1"/>
              </w:rPr>
              <w:t>Group Name</w:t>
            </w:r>
          </w:p>
        </w:tc>
        <w:tc>
          <w:tcPr>
            <w:tcW w:w="590" w:type="pct"/>
            <w:shd w:val="clear" w:color="auto" w:fill="auto"/>
            <w:vAlign w:val="bottom"/>
          </w:tcPr>
          <w:p w14:paraId="3B6543C5" w14:textId="7737694B" w:rsidR="00C5757B" w:rsidRPr="00781112" w:rsidRDefault="00C5757B" w:rsidP="00C5757B">
            <w:pPr>
              <w:jc w:val="center"/>
              <w:rPr>
                <w:b/>
                <w:color w:val="000000" w:themeColor="text1"/>
              </w:rPr>
            </w:pPr>
            <w:r w:rsidRPr="00781112">
              <w:rPr>
                <w:b/>
                <w:color w:val="000000" w:themeColor="text1"/>
              </w:rPr>
              <w:t>Number of Children with IEPs Scoring At or Above Proficient Against Alternate Academic Achievement Standards</w:t>
            </w:r>
          </w:p>
        </w:tc>
        <w:tc>
          <w:tcPr>
            <w:tcW w:w="649" w:type="pct"/>
            <w:shd w:val="clear" w:color="auto" w:fill="auto"/>
            <w:vAlign w:val="bottom"/>
          </w:tcPr>
          <w:p w14:paraId="36E5B9C7" w14:textId="23CF68D2" w:rsidR="00C5757B" w:rsidRPr="00781112" w:rsidRDefault="00C5757B" w:rsidP="00C5757B">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2614DFA3" w14:textId="108CEA21" w:rsidR="00C5757B" w:rsidRPr="00781112" w:rsidRDefault="00C5757B" w:rsidP="00C5757B">
            <w:pPr>
              <w:jc w:val="center"/>
              <w:rPr>
                <w:b/>
                <w:color w:val="000000" w:themeColor="text1"/>
              </w:rPr>
            </w:pPr>
            <w:r w:rsidRPr="00781112">
              <w:rPr>
                <w:b/>
                <w:color w:val="000000" w:themeColor="text1"/>
              </w:rPr>
              <w:t>FFY 2019 Data</w:t>
            </w:r>
          </w:p>
        </w:tc>
        <w:tc>
          <w:tcPr>
            <w:tcW w:w="754" w:type="pct"/>
            <w:shd w:val="clear" w:color="auto" w:fill="auto"/>
            <w:vAlign w:val="bottom"/>
          </w:tcPr>
          <w:p w14:paraId="09D4299D" w14:textId="08FEB7A7" w:rsidR="00C5757B" w:rsidRPr="00781112" w:rsidRDefault="00C5757B" w:rsidP="00C5757B">
            <w:pPr>
              <w:jc w:val="center"/>
              <w:rPr>
                <w:b/>
                <w:color w:val="000000" w:themeColor="text1"/>
              </w:rPr>
            </w:pPr>
            <w:r w:rsidRPr="00781112">
              <w:rPr>
                <w:b/>
                <w:color w:val="000000" w:themeColor="text1"/>
              </w:rPr>
              <w:t>FFY 2020 Target</w:t>
            </w:r>
          </w:p>
        </w:tc>
        <w:tc>
          <w:tcPr>
            <w:tcW w:w="499" w:type="pct"/>
            <w:shd w:val="clear" w:color="auto" w:fill="auto"/>
            <w:vAlign w:val="bottom"/>
          </w:tcPr>
          <w:p w14:paraId="2B4D24C2" w14:textId="2ED835F8" w:rsidR="00C5757B" w:rsidRPr="00781112" w:rsidRDefault="00C5757B" w:rsidP="00C5757B">
            <w:pPr>
              <w:jc w:val="center"/>
              <w:rPr>
                <w:b/>
                <w:color w:val="000000" w:themeColor="text1"/>
              </w:rPr>
            </w:pPr>
            <w:r w:rsidRPr="00781112">
              <w:rPr>
                <w:b/>
                <w:color w:val="000000" w:themeColor="text1"/>
              </w:rPr>
              <w:t>FFY 2020 Data</w:t>
            </w:r>
          </w:p>
        </w:tc>
        <w:tc>
          <w:tcPr>
            <w:tcW w:w="601" w:type="pct"/>
            <w:shd w:val="clear" w:color="auto" w:fill="auto"/>
            <w:vAlign w:val="bottom"/>
          </w:tcPr>
          <w:p w14:paraId="4987ED35" w14:textId="77777777" w:rsidR="00C5757B" w:rsidRPr="00781112" w:rsidRDefault="00C5757B" w:rsidP="00C5757B">
            <w:pPr>
              <w:jc w:val="center"/>
              <w:rPr>
                <w:b/>
                <w:color w:val="000000" w:themeColor="text1"/>
              </w:rPr>
            </w:pPr>
            <w:r w:rsidRPr="00781112">
              <w:rPr>
                <w:b/>
                <w:color w:val="000000" w:themeColor="text1"/>
              </w:rPr>
              <w:t>Status</w:t>
            </w:r>
          </w:p>
        </w:tc>
        <w:tc>
          <w:tcPr>
            <w:tcW w:w="586" w:type="pct"/>
            <w:shd w:val="clear" w:color="auto" w:fill="auto"/>
            <w:vAlign w:val="bottom"/>
          </w:tcPr>
          <w:p w14:paraId="7EA3F612" w14:textId="77777777" w:rsidR="00C5757B" w:rsidRPr="00781112" w:rsidRDefault="00C5757B" w:rsidP="00C5757B">
            <w:pPr>
              <w:jc w:val="center"/>
              <w:rPr>
                <w:b/>
                <w:color w:val="000000" w:themeColor="text1"/>
              </w:rPr>
            </w:pPr>
            <w:r w:rsidRPr="00781112">
              <w:rPr>
                <w:b/>
                <w:color w:val="000000" w:themeColor="text1"/>
              </w:rPr>
              <w:t>Slippage</w:t>
            </w:r>
          </w:p>
        </w:tc>
      </w:tr>
      <w:tr w:rsidR="00566725" w:rsidRPr="00781112" w14:paraId="318B8AAD" w14:textId="77777777" w:rsidTr="00140972">
        <w:tc>
          <w:tcPr>
            <w:tcW w:w="221" w:type="pct"/>
            <w:shd w:val="clear" w:color="auto" w:fill="auto"/>
            <w:vAlign w:val="center"/>
          </w:tcPr>
          <w:p w14:paraId="4BD3A1A0"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A</w:t>
            </w:r>
          </w:p>
        </w:tc>
        <w:tc>
          <w:tcPr>
            <w:tcW w:w="559" w:type="pct"/>
            <w:shd w:val="clear" w:color="auto" w:fill="auto"/>
          </w:tcPr>
          <w:p w14:paraId="2D59B69E" w14:textId="71850FD0"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tcPr>
          <w:p w14:paraId="10EC608D" w14:textId="576E5156" w:rsidR="00566725" w:rsidRPr="00781112" w:rsidRDefault="00566725" w:rsidP="00566725">
            <w:pPr>
              <w:jc w:val="center"/>
              <w:rPr>
                <w:rFonts w:cs="Arial"/>
                <w:color w:val="000000" w:themeColor="text1"/>
                <w:szCs w:val="16"/>
              </w:rPr>
            </w:pPr>
            <w:r w:rsidRPr="00781112">
              <w:rPr>
                <w:rFonts w:cs="Arial"/>
                <w:color w:val="000000" w:themeColor="text1"/>
                <w:szCs w:val="16"/>
              </w:rPr>
              <w:t>271</w:t>
            </w:r>
          </w:p>
        </w:tc>
        <w:tc>
          <w:tcPr>
            <w:tcW w:w="649" w:type="pct"/>
            <w:shd w:val="clear" w:color="auto" w:fill="auto"/>
          </w:tcPr>
          <w:p w14:paraId="5740CA80" w14:textId="7FBF02A9" w:rsidR="00566725" w:rsidRPr="00781112" w:rsidRDefault="00566725" w:rsidP="00566725">
            <w:pPr>
              <w:jc w:val="center"/>
              <w:rPr>
                <w:rFonts w:cs="Arial"/>
                <w:color w:val="000000" w:themeColor="text1"/>
                <w:szCs w:val="16"/>
              </w:rPr>
            </w:pPr>
            <w:r>
              <w:rPr>
                <w:rFonts w:cs="Arial"/>
                <w:color w:val="000000"/>
                <w:szCs w:val="16"/>
              </w:rPr>
              <w:t>535</w:t>
            </w:r>
          </w:p>
        </w:tc>
        <w:tc>
          <w:tcPr>
            <w:tcW w:w="541" w:type="pct"/>
            <w:shd w:val="clear" w:color="auto" w:fill="auto"/>
          </w:tcPr>
          <w:p w14:paraId="6BA58310" w14:textId="391F367C" w:rsidR="00566725" w:rsidRPr="00781112" w:rsidRDefault="00566725" w:rsidP="00566725">
            <w:pPr>
              <w:jc w:val="center"/>
              <w:rPr>
                <w:rFonts w:cs="Arial"/>
                <w:color w:val="000000" w:themeColor="text1"/>
                <w:szCs w:val="16"/>
              </w:rPr>
            </w:pPr>
          </w:p>
        </w:tc>
        <w:tc>
          <w:tcPr>
            <w:tcW w:w="754" w:type="pct"/>
            <w:shd w:val="clear" w:color="auto" w:fill="auto"/>
          </w:tcPr>
          <w:p w14:paraId="47A1F29A" w14:textId="0E923F64" w:rsidR="00566725" w:rsidRPr="00781112" w:rsidRDefault="00566725" w:rsidP="00566725">
            <w:pPr>
              <w:jc w:val="center"/>
              <w:rPr>
                <w:rFonts w:cs="Arial"/>
                <w:color w:val="000000" w:themeColor="text1"/>
                <w:szCs w:val="16"/>
              </w:rPr>
            </w:pPr>
            <w:r w:rsidRPr="00781112">
              <w:rPr>
                <w:rFonts w:cs="Arial"/>
                <w:color w:val="000000" w:themeColor="text1"/>
                <w:szCs w:val="16"/>
              </w:rPr>
              <w:t>50.65%</w:t>
            </w:r>
          </w:p>
        </w:tc>
        <w:tc>
          <w:tcPr>
            <w:tcW w:w="499" w:type="pct"/>
            <w:shd w:val="clear" w:color="auto" w:fill="auto"/>
          </w:tcPr>
          <w:p w14:paraId="2AE4C61A" w14:textId="12BE6FDD" w:rsidR="00566725" w:rsidRPr="00781112" w:rsidRDefault="00566725" w:rsidP="00566725">
            <w:pPr>
              <w:jc w:val="center"/>
              <w:rPr>
                <w:rFonts w:cs="Arial"/>
                <w:color w:val="000000" w:themeColor="text1"/>
                <w:szCs w:val="16"/>
              </w:rPr>
            </w:pPr>
            <w:r w:rsidRPr="00781112">
              <w:rPr>
                <w:rFonts w:cs="Arial"/>
                <w:color w:val="000000" w:themeColor="text1"/>
                <w:szCs w:val="16"/>
              </w:rPr>
              <w:t>50.65%</w:t>
            </w:r>
          </w:p>
        </w:tc>
        <w:tc>
          <w:tcPr>
            <w:tcW w:w="601" w:type="pct"/>
            <w:shd w:val="clear" w:color="auto" w:fill="auto"/>
          </w:tcPr>
          <w:p w14:paraId="2590AA37" w14:textId="2B2E3DAE"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tcPr>
          <w:p w14:paraId="39DEC07F" w14:textId="70B28667"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r>
      <w:tr w:rsidR="00566725" w:rsidRPr="00781112" w14:paraId="52B173E5" w14:textId="77777777" w:rsidTr="00140972">
        <w:tc>
          <w:tcPr>
            <w:tcW w:w="221" w:type="pct"/>
            <w:shd w:val="clear" w:color="auto" w:fill="auto"/>
            <w:vAlign w:val="center"/>
          </w:tcPr>
          <w:p w14:paraId="5153CDB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B</w:t>
            </w:r>
          </w:p>
        </w:tc>
        <w:tc>
          <w:tcPr>
            <w:tcW w:w="559" w:type="pct"/>
            <w:shd w:val="clear" w:color="auto" w:fill="auto"/>
          </w:tcPr>
          <w:p w14:paraId="137CEDF6" w14:textId="15D625F4"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tcPr>
          <w:p w14:paraId="1707A82B" w14:textId="3E333A0B" w:rsidR="00566725" w:rsidRPr="00781112" w:rsidRDefault="00566725" w:rsidP="00566725">
            <w:pPr>
              <w:jc w:val="center"/>
              <w:rPr>
                <w:rFonts w:cs="Arial"/>
                <w:color w:val="000000" w:themeColor="text1"/>
                <w:szCs w:val="16"/>
              </w:rPr>
            </w:pPr>
            <w:r w:rsidRPr="00781112">
              <w:rPr>
                <w:rFonts w:cs="Arial"/>
                <w:color w:val="000000" w:themeColor="text1"/>
                <w:szCs w:val="16"/>
              </w:rPr>
              <w:t>533</w:t>
            </w:r>
          </w:p>
        </w:tc>
        <w:tc>
          <w:tcPr>
            <w:tcW w:w="649" w:type="pct"/>
            <w:shd w:val="clear" w:color="auto" w:fill="auto"/>
          </w:tcPr>
          <w:p w14:paraId="1BCB466D" w14:textId="5DD60E0B" w:rsidR="00566725" w:rsidRPr="00781112" w:rsidRDefault="00566725" w:rsidP="00566725">
            <w:pPr>
              <w:jc w:val="center"/>
              <w:rPr>
                <w:rFonts w:cs="Arial"/>
                <w:color w:val="000000" w:themeColor="text1"/>
                <w:szCs w:val="16"/>
              </w:rPr>
            </w:pPr>
            <w:r>
              <w:rPr>
                <w:rFonts w:cs="Arial"/>
                <w:color w:val="000000"/>
                <w:szCs w:val="16"/>
              </w:rPr>
              <w:t>940</w:t>
            </w:r>
          </w:p>
        </w:tc>
        <w:tc>
          <w:tcPr>
            <w:tcW w:w="541" w:type="pct"/>
            <w:shd w:val="clear" w:color="auto" w:fill="auto"/>
          </w:tcPr>
          <w:p w14:paraId="60597E0A" w14:textId="4D673C7B" w:rsidR="00566725" w:rsidRPr="00781112" w:rsidRDefault="00566725" w:rsidP="00566725">
            <w:pPr>
              <w:jc w:val="center"/>
              <w:rPr>
                <w:rFonts w:cs="Arial"/>
                <w:color w:val="000000" w:themeColor="text1"/>
                <w:szCs w:val="16"/>
              </w:rPr>
            </w:pPr>
          </w:p>
        </w:tc>
        <w:tc>
          <w:tcPr>
            <w:tcW w:w="754" w:type="pct"/>
            <w:shd w:val="clear" w:color="auto" w:fill="auto"/>
          </w:tcPr>
          <w:p w14:paraId="6445398C" w14:textId="393A6DFD" w:rsidR="00566725" w:rsidRPr="00781112" w:rsidRDefault="00566725" w:rsidP="00566725">
            <w:pPr>
              <w:jc w:val="center"/>
              <w:rPr>
                <w:rFonts w:cs="Arial"/>
                <w:color w:val="000000" w:themeColor="text1"/>
                <w:szCs w:val="16"/>
              </w:rPr>
            </w:pPr>
            <w:r w:rsidRPr="00781112">
              <w:rPr>
                <w:rFonts w:cs="Arial"/>
                <w:color w:val="000000" w:themeColor="text1"/>
                <w:szCs w:val="16"/>
              </w:rPr>
              <w:t>56.70%</w:t>
            </w:r>
          </w:p>
        </w:tc>
        <w:tc>
          <w:tcPr>
            <w:tcW w:w="499" w:type="pct"/>
            <w:shd w:val="clear" w:color="auto" w:fill="auto"/>
          </w:tcPr>
          <w:p w14:paraId="4EBD899F" w14:textId="57918237" w:rsidR="00566725" w:rsidRPr="00781112" w:rsidRDefault="00566725" w:rsidP="00566725">
            <w:pPr>
              <w:jc w:val="center"/>
              <w:rPr>
                <w:rFonts w:cs="Arial"/>
                <w:color w:val="000000" w:themeColor="text1"/>
                <w:szCs w:val="16"/>
              </w:rPr>
            </w:pPr>
            <w:r w:rsidRPr="00781112">
              <w:rPr>
                <w:rFonts w:cs="Arial"/>
                <w:color w:val="000000" w:themeColor="text1"/>
                <w:szCs w:val="16"/>
              </w:rPr>
              <w:t>56.70%</w:t>
            </w:r>
          </w:p>
        </w:tc>
        <w:tc>
          <w:tcPr>
            <w:tcW w:w="601" w:type="pct"/>
            <w:shd w:val="clear" w:color="auto" w:fill="auto"/>
          </w:tcPr>
          <w:p w14:paraId="585589D4" w14:textId="6C3ED8A0"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tcPr>
          <w:p w14:paraId="64956786" w14:textId="4047CECE"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r>
      <w:tr w:rsidR="00566725" w:rsidRPr="00781112" w14:paraId="3EA2EA1E" w14:textId="77777777" w:rsidTr="00140972">
        <w:tc>
          <w:tcPr>
            <w:tcW w:w="221" w:type="pct"/>
            <w:shd w:val="clear" w:color="auto" w:fill="auto"/>
            <w:vAlign w:val="center"/>
          </w:tcPr>
          <w:p w14:paraId="7CB7E77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C</w:t>
            </w:r>
          </w:p>
        </w:tc>
        <w:tc>
          <w:tcPr>
            <w:tcW w:w="559" w:type="pct"/>
            <w:shd w:val="clear" w:color="auto" w:fill="auto"/>
          </w:tcPr>
          <w:p w14:paraId="260DAFBC" w14:textId="292387CD"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tcPr>
          <w:p w14:paraId="3637A0D0" w14:textId="4E467DC1" w:rsidR="00566725" w:rsidRPr="00781112" w:rsidRDefault="00566725" w:rsidP="00566725">
            <w:pPr>
              <w:jc w:val="center"/>
              <w:rPr>
                <w:rFonts w:cs="Arial"/>
                <w:color w:val="000000" w:themeColor="text1"/>
                <w:szCs w:val="16"/>
              </w:rPr>
            </w:pPr>
            <w:r w:rsidRPr="00781112">
              <w:rPr>
                <w:rFonts w:cs="Arial"/>
                <w:color w:val="000000" w:themeColor="text1"/>
                <w:szCs w:val="16"/>
              </w:rPr>
              <w:t>615</w:t>
            </w:r>
          </w:p>
        </w:tc>
        <w:tc>
          <w:tcPr>
            <w:tcW w:w="649" w:type="pct"/>
            <w:shd w:val="clear" w:color="auto" w:fill="auto"/>
          </w:tcPr>
          <w:p w14:paraId="0F212AA6" w14:textId="77E5B78D" w:rsidR="00566725" w:rsidRPr="00781112" w:rsidRDefault="00566725" w:rsidP="00566725">
            <w:pPr>
              <w:jc w:val="center"/>
              <w:rPr>
                <w:rFonts w:cs="Arial"/>
                <w:color w:val="000000" w:themeColor="text1"/>
                <w:szCs w:val="16"/>
              </w:rPr>
            </w:pPr>
            <w:r>
              <w:rPr>
                <w:rFonts w:cs="Arial"/>
                <w:color w:val="000000"/>
                <w:szCs w:val="16"/>
              </w:rPr>
              <w:t>859</w:t>
            </w:r>
          </w:p>
        </w:tc>
        <w:tc>
          <w:tcPr>
            <w:tcW w:w="541" w:type="pct"/>
            <w:shd w:val="clear" w:color="auto" w:fill="auto"/>
          </w:tcPr>
          <w:p w14:paraId="066DE90A" w14:textId="5EE6838D" w:rsidR="00566725" w:rsidRPr="00781112" w:rsidRDefault="00566725" w:rsidP="00566725">
            <w:pPr>
              <w:jc w:val="center"/>
              <w:rPr>
                <w:rFonts w:cs="Arial"/>
                <w:color w:val="000000" w:themeColor="text1"/>
                <w:szCs w:val="16"/>
              </w:rPr>
            </w:pPr>
          </w:p>
        </w:tc>
        <w:tc>
          <w:tcPr>
            <w:tcW w:w="754" w:type="pct"/>
            <w:shd w:val="clear" w:color="auto" w:fill="auto"/>
          </w:tcPr>
          <w:p w14:paraId="4191EA17" w14:textId="17F82057" w:rsidR="00566725" w:rsidRPr="00781112" w:rsidRDefault="00566725" w:rsidP="00566725">
            <w:pPr>
              <w:jc w:val="center"/>
              <w:rPr>
                <w:rFonts w:cs="Arial"/>
                <w:color w:val="000000" w:themeColor="text1"/>
                <w:szCs w:val="16"/>
              </w:rPr>
            </w:pPr>
            <w:r w:rsidRPr="00781112">
              <w:rPr>
                <w:rFonts w:cs="Arial"/>
                <w:color w:val="000000" w:themeColor="text1"/>
                <w:szCs w:val="16"/>
              </w:rPr>
              <w:t>71.59%</w:t>
            </w:r>
          </w:p>
        </w:tc>
        <w:tc>
          <w:tcPr>
            <w:tcW w:w="499" w:type="pct"/>
            <w:shd w:val="clear" w:color="auto" w:fill="auto"/>
          </w:tcPr>
          <w:p w14:paraId="15CE5CCF" w14:textId="00F68E62" w:rsidR="00566725" w:rsidRPr="00781112" w:rsidRDefault="00566725" w:rsidP="00566725">
            <w:pPr>
              <w:jc w:val="center"/>
              <w:rPr>
                <w:rFonts w:cs="Arial"/>
                <w:color w:val="000000" w:themeColor="text1"/>
                <w:szCs w:val="16"/>
              </w:rPr>
            </w:pPr>
            <w:r w:rsidRPr="00781112">
              <w:rPr>
                <w:rFonts w:cs="Arial"/>
                <w:color w:val="000000" w:themeColor="text1"/>
                <w:szCs w:val="16"/>
              </w:rPr>
              <w:t>71.59%</w:t>
            </w:r>
          </w:p>
        </w:tc>
        <w:tc>
          <w:tcPr>
            <w:tcW w:w="601" w:type="pct"/>
            <w:shd w:val="clear" w:color="auto" w:fill="auto"/>
          </w:tcPr>
          <w:p w14:paraId="28CB2C9E" w14:textId="4F0EF91A"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tcPr>
          <w:p w14:paraId="157B84D0" w14:textId="0B58E631"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r>
    </w:tbl>
    <w:p w14:paraId="493A373E" w14:textId="77777777" w:rsidR="00445640" w:rsidRPr="00781112" w:rsidRDefault="00445640" w:rsidP="000C3A20">
      <w:pPr>
        <w:rPr>
          <w:color w:val="000000" w:themeColor="text1"/>
        </w:rPr>
      </w:pPr>
    </w:p>
    <w:p w14:paraId="73E73F7F" w14:textId="379B3CB1" w:rsidR="00BD7229" w:rsidRPr="00781112" w:rsidRDefault="00F6415A" w:rsidP="004369B2">
      <w:pPr>
        <w:rPr>
          <w:b/>
          <w:color w:val="000000" w:themeColor="text1"/>
        </w:rPr>
      </w:pPr>
      <w:r w:rsidRPr="00781112">
        <w:rPr>
          <w:b/>
          <w:color w:val="000000" w:themeColor="text1"/>
        </w:rPr>
        <w:t>FFY 2020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MATHASS"/>
      </w:tblPr>
      <w:tblGrid>
        <w:gridCol w:w="696"/>
        <w:gridCol w:w="1187"/>
        <w:gridCol w:w="1245"/>
        <w:gridCol w:w="1370"/>
        <w:gridCol w:w="1139"/>
        <w:gridCol w:w="1595"/>
        <w:gridCol w:w="1050"/>
        <w:gridCol w:w="1270"/>
        <w:gridCol w:w="1238"/>
      </w:tblGrid>
      <w:tr w:rsidR="007D755C" w:rsidRPr="00781112" w14:paraId="2361B602" w14:textId="77777777" w:rsidTr="00140972">
        <w:trPr>
          <w:tblHeader/>
        </w:trPr>
        <w:tc>
          <w:tcPr>
            <w:tcW w:w="220" w:type="pct"/>
            <w:shd w:val="clear" w:color="auto" w:fill="auto"/>
            <w:vAlign w:val="bottom"/>
          </w:tcPr>
          <w:p w14:paraId="097BD4DD" w14:textId="77777777" w:rsidR="007D755C" w:rsidRPr="00781112" w:rsidRDefault="007D755C" w:rsidP="007D755C">
            <w:pPr>
              <w:jc w:val="center"/>
              <w:rPr>
                <w:b/>
                <w:color w:val="000000" w:themeColor="text1"/>
              </w:rPr>
            </w:pPr>
            <w:r w:rsidRPr="00781112">
              <w:rPr>
                <w:b/>
                <w:color w:val="000000" w:themeColor="text1"/>
              </w:rPr>
              <w:t>Group</w:t>
            </w:r>
          </w:p>
        </w:tc>
        <w:tc>
          <w:tcPr>
            <w:tcW w:w="563" w:type="pct"/>
            <w:shd w:val="clear" w:color="auto" w:fill="auto"/>
            <w:vAlign w:val="bottom"/>
          </w:tcPr>
          <w:p w14:paraId="221D62AE" w14:textId="46B1DC14" w:rsidR="007D755C" w:rsidRPr="00781112" w:rsidRDefault="007D755C" w:rsidP="007D755C">
            <w:pPr>
              <w:jc w:val="center"/>
              <w:rPr>
                <w:b/>
                <w:color w:val="000000" w:themeColor="text1"/>
              </w:rPr>
            </w:pPr>
            <w:r w:rsidRPr="00781112">
              <w:rPr>
                <w:b/>
                <w:color w:val="000000" w:themeColor="text1"/>
              </w:rPr>
              <w:t>Group Name</w:t>
            </w:r>
          </w:p>
        </w:tc>
        <w:tc>
          <w:tcPr>
            <w:tcW w:w="590" w:type="pct"/>
            <w:shd w:val="clear" w:color="auto" w:fill="auto"/>
            <w:vAlign w:val="bottom"/>
          </w:tcPr>
          <w:p w14:paraId="6EA1E126" w14:textId="66F4FC74" w:rsidR="007D755C" w:rsidRPr="00781112" w:rsidRDefault="007D755C" w:rsidP="007D755C">
            <w:pPr>
              <w:jc w:val="center"/>
              <w:rPr>
                <w:b/>
                <w:color w:val="000000" w:themeColor="text1"/>
              </w:rPr>
            </w:pPr>
            <w:r w:rsidRPr="00781112">
              <w:rPr>
                <w:b/>
                <w:color w:val="000000" w:themeColor="text1"/>
              </w:rPr>
              <w:t>Number of Children with IEPs Scoring At or Above Proficient Against Alternate Academic Achievement Standards</w:t>
            </w:r>
          </w:p>
        </w:tc>
        <w:tc>
          <w:tcPr>
            <w:tcW w:w="648" w:type="pct"/>
            <w:shd w:val="clear" w:color="auto" w:fill="auto"/>
            <w:vAlign w:val="bottom"/>
          </w:tcPr>
          <w:p w14:paraId="534757DA" w14:textId="5F85E8DF" w:rsidR="007D755C" w:rsidRPr="00781112" w:rsidRDefault="007D755C" w:rsidP="007D755C">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73023982" w14:textId="597424B8" w:rsidR="007D755C" w:rsidRPr="00781112" w:rsidRDefault="007D755C" w:rsidP="007D755C">
            <w:pPr>
              <w:jc w:val="center"/>
              <w:rPr>
                <w:b/>
                <w:color w:val="000000" w:themeColor="text1"/>
              </w:rPr>
            </w:pPr>
            <w:r w:rsidRPr="00781112">
              <w:rPr>
                <w:b/>
                <w:color w:val="000000" w:themeColor="text1"/>
              </w:rPr>
              <w:t>FFY 2019 Data</w:t>
            </w:r>
          </w:p>
        </w:tc>
        <w:tc>
          <w:tcPr>
            <w:tcW w:w="752" w:type="pct"/>
            <w:shd w:val="clear" w:color="auto" w:fill="auto"/>
            <w:vAlign w:val="bottom"/>
          </w:tcPr>
          <w:p w14:paraId="37651EF9" w14:textId="57B19F8D" w:rsidR="007D755C" w:rsidRPr="00781112" w:rsidRDefault="007D755C" w:rsidP="007D755C">
            <w:pPr>
              <w:jc w:val="center"/>
              <w:rPr>
                <w:b/>
                <w:color w:val="000000" w:themeColor="text1"/>
              </w:rPr>
            </w:pPr>
            <w:r w:rsidRPr="00781112">
              <w:rPr>
                <w:b/>
                <w:color w:val="000000" w:themeColor="text1"/>
              </w:rPr>
              <w:t>FFY 2020 Target</w:t>
            </w:r>
          </w:p>
        </w:tc>
        <w:tc>
          <w:tcPr>
            <w:tcW w:w="499" w:type="pct"/>
            <w:shd w:val="clear" w:color="auto" w:fill="auto"/>
            <w:vAlign w:val="bottom"/>
          </w:tcPr>
          <w:p w14:paraId="3D61FBEB" w14:textId="5442D5F6" w:rsidR="007D755C" w:rsidRPr="00781112" w:rsidRDefault="007D755C" w:rsidP="007D755C">
            <w:pPr>
              <w:jc w:val="center"/>
              <w:rPr>
                <w:b/>
                <w:color w:val="000000" w:themeColor="text1"/>
              </w:rPr>
            </w:pPr>
            <w:r w:rsidRPr="00781112">
              <w:rPr>
                <w:b/>
                <w:color w:val="000000" w:themeColor="text1"/>
              </w:rPr>
              <w:t>FFY 2020 Data</w:t>
            </w:r>
          </w:p>
        </w:tc>
        <w:tc>
          <w:tcPr>
            <w:tcW w:w="601" w:type="pct"/>
            <w:shd w:val="clear" w:color="auto" w:fill="auto"/>
            <w:vAlign w:val="bottom"/>
          </w:tcPr>
          <w:p w14:paraId="730A2874" w14:textId="77777777" w:rsidR="007D755C" w:rsidRPr="00781112" w:rsidRDefault="007D755C" w:rsidP="007D755C">
            <w:pPr>
              <w:jc w:val="center"/>
              <w:rPr>
                <w:b/>
                <w:color w:val="000000" w:themeColor="text1"/>
              </w:rPr>
            </w:pPr>
            <w:r w:rsidRPr="00781112">
              <w:rPr>
                <w:b/>
                <w:color w:val="000000" w:themeColor="text1"/>
              </w:rPr>
              <w:t>Status</w:t>
            </w:r>
          </w:p>
        </w:tc>
        <w:tc>
          <w:tcPr>
            <w:tcW w:w="586" w:type="pct"/>
            <w:shd w:val="clear" w:color="auto" w:fill="auto"/>
            <w:vAlign w:val="bottom"/>
          </w:tcPr>
          <w:p w14:paraId="67BEF249" w14:textId="77777777" w:rsidR="007D755C" w:rsidRPr="00781112" w:rsidRDefault="007D755C" w:rsidP="007D755C">
            <w:pPr>
              <w:jc w:val="center"/>
              <w:rPr>
                <w:b/>
                <w:color w:val="000000" w:themeColor="text1"/>
              </w:rPr>
            </w:pPr>
            <w:r w:rsidRPr="00781112">
              <w:rPr>
                <w:b/>
                <w:color w:val="000000" w:themeColor="text1"/>
              </w:rPr>
              <w:t>Slippage</w:t>
            </w:r>
          </w:p>
        </w:tc>
      </w:tr>
      <w:tr w:rsidR="00A31E8A" w:rsidRPr="00781112" w14:paraId="08D65837" w14:textId="77777777" w:rsidTr="00140972">
        <w:tc>
          <w:tcPr>
            <w:tcW w:w="220" w:type="pct"/>
            <w:shd w:val="clear" w:color="auto" w:fill="auto"/>
            <w:vAlign w:val="center"/>
          </w:tcPr>
          <w:p w14:paraId="76903C3F" w14:textId="77777777" w:rsidR="00A31E8A" w:rsidRPr="00781112" w:rsidRDefault="00A31E8A" w:rsidP="00A31E8A">
            <w:pPr>
              <w:pStyle w:val="Default"/>
              <w:jc w:val="center"/>
              <w:rPr>
                <w:b/>
                <w:color w:val="000000" w:themeColor="text1"/>
                <w:sz w:val="16"/>
                <w:szCs w:val="16"/>
              </w:rPr>
            </w:pPr>
            <w:r w:rsidRPr="00781112">
              <w:rPr>
                <w:rFonts w:eastAsiaTheme="minorHAnsi"/>
                <w:b/>
                <w:color w:val="000000" w:themeColor="text1"/>
                <w:sz w:val="16"/>
                <w:szCs w:val="16"/>
              </w:rPr>
              <w:t>A</w:t>
            </w:r>
          </w:p>
        </w:tc>
        <w:tc>
          <w:tcPr>
            <w:tcW w:w="563" w:type="pct"/>
            <w:shd w:val="clear" w:color="auto" w:fill="auto"/>
            <w:vAlign w:val="center"/>
          </w:tcPr>
          <w:p w14:paraId="02026CDE" w14:textId="2E1566AE"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vAlign w:val="center"/>
          </w:tcPr>
          <w:p w14:paraId="16642EB5" w14:textId="2F43A115" w:rsidR="00A31E8A" w:rsidRPr="00781112" w:rsidRDefault="00A31E8A" w:rsidP="00A31E8A">
            <w:pPr>
              <w:jc w:val="center"/>
              <w:rPr>
                <w:rFonts w:cs="Arial"/>
                <w:color w:val="000000" w:themeColor="text1"/>
                <w:szCs w:val="16"/>
              </w:rPr>
            </w:pPr>
            <w:r w:rsidRPr="00781112">
              <w:rPr>
                <w:rFonts w:cs="Arial"/>
                <w:color w:val="000000" w:themeColor="text1"/>
                <w:szCs w:val="16"/>
              </w:rPr>
              <w:t>275</w:t>
            </w:r>
          </w:p>
        </w:tc>
        <w:tc>
          <w:tcPr>
            <w:tcW w:w="648" w:type="pct"/>
            <w:shd w:val="clear" w:color="auto" w:fill="auto"/>
          </w:tcPr>
          <w:p w14:paraId="1C6085EF" w14:textId="508775F3" w:rsidR="00A31E8A" w:rsidRPr="00781112" w:rsidRDefault="00A31E8A" w:rsidP="00A31E8A">
            <w:pPr>
              <w:jc w:val="center"/>
              <w:rPr>
                <w:rFonts w:cs="Arial"/>
                <w:color w:val="000000" w:themeColor="text1"/>
                <w:szCs w:val="16"/>
              </w:rPr>
            </w:pPr>
            <w:r>
              <w:rPr>
                <w:rFonts w:cs="Arial"/>
                <w:color w:val="000000"/>
                <w:szCs w:val="16"/>
              </w:rPr>
              <w:t>532</w:t>
            </w:r>
          </w:p>
        </w:tc>
        <w:tc>
          <w:tcPr>
            <w:tcW w:w="541" w:type="pct"/>
            <w:shd w:val="clear" w:color="auto" w:fill="auto"/>
            <w:vAlign w:val="center"/>
          </w:tcPr>
          <w:p w14:paraId="3DFEF3CC" w14:textId="273D8D28" w:rsidR="00A31E8A" w:rsidRPr="00781112" w:rsidRDefault="00A31E8A" w:rsidP="00A31E8A">
            <w:pPr>
              <w:jc w:val="center"/>
              <w:rPr>
                <w:rFonts w:cs="Arial"/>
                <w:color w:val="000000" w:themeColor="text1"/>
                <w:szCs w:val="16"/>
              </w:rPr>
            </w:pPr>
          </w:p>
        </w:tc>
        <w:tc>
          <w:tcPr>
            <w:tcW w:w="752" w:type="pct"/>
            <w:shd w:val="clear" w:color="auto" w:fill="auto"/>
            <w:vAlign w:val="center"/>
          </w:tcPr>
          <w:p w14:paraId="78DBA801" w14:textId="0BA3B321" w:rsidR="00A31E8A" w:rsidRPr="00781112" w:rsidRDefault="00A31E8A" w:rsidP="00A31E8A">
            <w:pPr>
              <w:jc w:val="center"/>
              <w:rPr>
                <w:rFonts w:cs="Arial"/>
                <w:color w:val="000000" w:themeColor="text1"/>
                <w:szCs w:val="16"/>
              </w:rPr>
            </w:pPr>
            <w:r w:rsidRPr="00781112">
              <w:rPr>
                <w:rFonts w:cs="Arial"/>
                <w:color w:val="000000" w:themeColor="text1"/>
                <w:szCs w:val="16"/>
              </w:rPr>
              <w:t>51.69%</w:t>
            </w:r>
          </w:p>
        </w:tc>
        <w:tc>
          <w:tcPr>
            <w:tcW w:w="499" w:type="pct"/>
            <w:shd w:val="clear" w:color="auto" w:fill="auto"/>
            <w:vAlign w:val="center"/>
          </w:tcPr>
          <w:p w14:paraId="1DC938D5" w14:textId="450CB901" w:rsidR="00A31E8A" w:rsidRPr="00781112" w:rsidRDefault="00A31E8A" w:rsidP="00A31E8A">
            <w:pPr>
              <w:jc w:val="center"/>
              <w:rPr>
                <w:rFonts w:cs="Arial"/>
                <w:color w:val="000000" w:themeColor="text1"/>
                <w:szCs w:val="16"/>
              </w:rPr>
            </w:pPr>
            <w:r w:rsidRPr="00781112">
              <w:rPr>
                <w:rFonts w:cs="Arial"/>
                <w:color w:val="000000" w:themeColor="text1"/>
                <w:szCs w:val="16"/>
              </w:rPr>
              <w:t>51.69%</w:t>
            </w:r>
          </w:p>
        </w:tc>
        <w:tc>
          <w:tcPr>
            <w:tcW w:w="601" w:type="pct"/>
            <w:shd w:val="clear" w:color="auto" w:fill="auto"/>
            <w:vAlign w:val="center"/>
          </w:tcPr>
          <w:p w14:paraId="4B9610A1" w14:textId="71C9791E"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vAlign w:val="center"/>
          </w:tcPr>
          <w:p w14:paraId="5708D4BE" w14:textId="328B6097"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r>
      <w:tr w:rsidR="00A31E8A" w:rsidRPr="00781112" w14:paraId="5E0D5724" w14:textId="77777777" w:rsidTr="00140972">
        <w:tc>
          <w:tcPr>
            <w:tcW w:w="220" w:type="pct"/>
            <w:shd w:val="clear" w:color="auto" w:fill="auto"/>
            <w:vAlign w:val="center"/>
          </w:tcPr>
          <w:p w14:paraId="2202EBA2" w14:textId="77777777" w:rsidR="00A31E8A" w:rsidRPr="00781112" w:rsidRDefault="00A31E8A" w:rsidP="00A31E8A">
            <w:pPr>
              <w:pStyle w:val="Default"/>
              <w:jc w:val="center"/>
              <w:rPr>
                <w:b/>
                <w:color w:val="000000" w:themeColor="text1"/>
                <w:sz w:val="16"/>
                <w:szCs w:val="16"/>
              </w:rPr>
            </w:pPr>
            <w:r w:rsidRPr="00781112">
              <w:rPr>
                <w:b/>
                <w:color w:val="000000" w:themeColor="text1"/>
                <w:sz w:val="16"/>
                <w:szCs w:val="16"/>
              </w:rPr>
              <w:t>B</w:t>
            </w:r>
          </w:p>
        </w:tc>
        <w:tc>
          <w:tcPr>
            <w:tcW w:w="563" w:type="pct"/>
            <w:shd w:val="clear" w:color="auto" w:fill="auto"/>
            <w:vAlign w:val="center"/>
          </w:tcPr>
          <w:p w14:paraId="2BE28CC3" w14:textId="5462148F"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vAlign w:val="center"/>
          </w:tcPr>
          <w:p w14:paraId="65165B6C" w14:textId="77C4C484" w:rsidR="00A31E8A" w:rsidRPr="00781112" w:rsidRDefault="00A31E8A" w:rsidP="00A31E8A">
            <w:pPr>
              <w:jc w:val="center"/>
              <w:rPr>
                <w:rFonts w:cs="Arial"/>
                <w:color w:val="000000" w:themeColor="text1"/>
                <w:szCs w:val="16"/>
              </w:rPr>
            </w:pPr>
            <w:r w:rsidRPr="00781112">
              <w:rPr>
                <w:rFonts w:cs="Arial"/>
                <w:color w:val="000000" w:themeColor="text1"/>
                <w:szCs w:val="16"/>
              </w:rPr>
              <w:t>556</w:t>
            </w:r>
          </w:p>
        </w:tc>
        <w:tc>
          <w:tcPr>
            <w:tcW w:w="648" w:type="pct"/>
            <w:shd w:val="clear" w:color="auto" w:fill="auto"/>
          </w:tcPr>
          <w:p w14:paraId="25BE3991" w14:textId="52B3E29B" w:rsidR="00A31E8A" w:rsidRPr="00781112" w:rsidRDefault="00A31E8A" w:rsidP="00A31E8A">
            <w:pPr>
              <w:jc w:val="center"/>
              <w:rPr>
                <w:rFonts w:cs="Arial"/>
                <w:color w:val="000000" w:themeColor="text1"/>
                <w:szCs w:val="16"/>
              </w:rPr>
            </w:pPr>
            <w:r>
              <w:rPr>
                <w:rFonts w:cs="Arial"/>
                <w:color w:val="000000"/>
                <w:szCs w:val="16"/>
              </w:rPr>
              <w:t>937</w:t>
            </w:r>
          </w:p>
        </w:tc>
        <w:tc>
          <w:tcPr>
            <w:tcW w:w="541" w:type="pct"/>
            <w:shd w:val="clear" w:color="auto" w:fill="auto"/>
            <w:vAlign w:val="center"/>
          </w:tcPr>
          <w:p w14:paraId="0DB348C5" w14:textId="2F8A4588" w:rsidR="00A31E8A" w:rsidRPr="00781112" w:rsidRDefault="00A31E8A" w:rsidP="00A31E8A">
            <w:pPr>
              <w:jc w:val="center"/>
              <w:rPr>
                <w:rFonts w:cs="Arial"/>
                <w:color w:val="000000" w:themeColor="text1"/>
                <w:szCs w:val="16"/>
              </w:rPr>
            </w:pPr>
          </w:p>
        </w:tc>
        <w:tc>
          <w:tcPr>
            <w:tcW w:w="752" w:type="pct"/>
            <w:shd w:val="clear" w:color="auto" w:fill="auto"/>
            <w:vAlign w:val="center"/>
          </w:tcPr>
          <w:p w14:paraId="31FB5FEB" w14:textId="4BF20A90" w:rsidR="00A31E8A" w:rsidRPr="00781112" w:rsidRDefault="00A31E8A" w:rsidP="00A31E8A">
            <w:pPr>
              <w:jc w:val="center"/>
              <w:rPr>
                <w:rFonts w:cs="Arial"/>
                <w:color w:val="000000" w:themeColor="text1"/>
                <w:szCs w:val="16"/>
              </w:rPr>
            </w:pPr>
            <w:r w:rsidRPr="00781112">
              <w:rPr>
                <w:rFonts w:cs="Arial"/>
                <w:color w:val="000000" w:themeColor="text1"/>
                <w:szCs w:val="16"/>
              </w:rPr>
              <w:t>59.34%</w:t>
            </w:r>
          </w:p>
        </w:tc>
        <w:tc>
          <w:tcPr>
            <w:tcW w:w="499" w:type="pct"/>
            <w:shd w:val="clear" w:color="auto" w:fill="auto"/>
            <w:vAlign w:val="center"/>
          </w:tcPr>
          <w:p w14:paraId="139B969C" w14:textId="619F4507" w:rsidR="00A31E8A" w:rsidRPr="00781112" w:rsidRDefault="00A31E8A" w:rsidP="00A31E8A">
            <w:pPr>
              <w:jc w:val="center"/>
              <w:rPr>
                <w:rFonts w:cs="Arial"/>
                <w:color w:val="000000" w:themeColor="text1"/>
                <w:szCs w:val="16"/>
              </w:rPr>
            </w:pPr>
            <w:r w:rsidRPr="00781112">
              <w:rPr>
                <w:rFonts w:cs="Arial"/>
                <w:color w:val="000000" w:themeColor="text1"/>
                <w:szCs w:val="16"/>
              </w:rPr>
              <w:t>59.34%</w:t>
            </w:r>
          </w:p>
        </w:tc>
        <w:tc>
          <w:tcPr>
            <w:tcW w:w="601" w:type="pct"/>
            <w:shd w:val="clear" w:color="auto" w:fill="auto"/>
            <w:vAlign w:val="center"/>
          </w:tcPr>
          <w:p w14:paraId="52EDA926" w14:textId="7B797DBA"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vAlign w:val="center"/>
          </w:tcPr>
          <w:p w14:paraId="027F05C7" w14:textId="42C60C06"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r>
      <w:tr w:rsidR="00A31E8A" w:rsidRPr="00781112" w14:paraId="6F15E001" w14:textId="77777777" w:rsidTr="00140972">
        <w:tc>
          <w:tcPr>
            <w:tcW w:w="220" w:type="pct"/>
            <w:shd w:val="clear" w:color="auto" w:fill="auto"/>
            <w:vAlign w:val="center"/>
          </w:tcPr>
          <w:p w14:paraId="40D4F498" w14:textId="77777777" w:rsidR="00A31E8A" w:rsidRPr="00781112" w:rsidRDefault="00A31E8A" w:rsidP="00A31E8A">
            <w:pPr>
              <w:pStyle w:val="Default"/>
              <w:jc w:val="center"/>
              <w:rPr>
                <w:rFonts w:eastAsiaTheme="minorHAnsi"/>
                <w:color w:val="000000" w:themeColor="text1"/>
                <w:sz w:val="16"/>
                <w:szCs w:val="16"/>
              </w:rPr>
            </w:pPr>
            <w:r w:rsidRPr="00781112">
              <w:rPr>
                <w:b/>
                <w:color w:val="000000" w:themeColor="text1"/>
                <w:sz w:val="16"/>
                <w:szCs w:val="16"/>
              </w:rPr>
              <w:t>C</w:t>
            </w:r>
          </w:p>
        </w:tc>
        <w:tc>
          <w:tcPr>
            <w:tcW w:w="563" w:type="pct"/>
            <w:shd w:val="clear" w:color="auto" w:fill="auto"/>
            <w:vAlign w:val="center"/>
          </w:tcPr>
          <w:p w14:paraId="200262C5" w14:textId="22AC7908"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vAlign w:val="center"/>
          </w:tcPr>
          <w:p w14:paraId="44B84702" w14:textId="5A092874" w:rsidR="00A31E8A" w:rsidRPr="00781112" w:rsidRDefault="00A31E8A" w:rsidP="00A31E8A">
            <w:pPr>
              <w:jc w:val="center"/>
              <w:rPr>
                <w:rFonts w:cs="Arial"/>
                <w:color w:val="000000" w:themeColor="text1"/>
                <w:szCs w:val="16"/>
              </w:rPr>
            </w:pPr>
            <w:r w:rsidRPr="00781112">
              <w:rPr>
                <w:rFonts w:cs="Arial"/>
                <w:color w:val="000000" w:themeColor="text1"/>
                <w:szCs w:val="16"/>
              </w:rPr>
              <w:t>423</w:t>
            </w:r>
          </w:p>
        </w:tc>
        <w:tc>
          <w:tcPr>
            <w:tcW w:w="648" w:type="pct"/>
            <w:shd w:val="clear" w:color="auto" w:fill="auto"/>
          </w:tcPr>
          <w:p w14:paraId="6C88DEC2" w14:textId="2C61C34F" w:rsidR="00A31E8A" w:rsidRPr="00781112" w:rsidRDefault="00A31E8A" w:rsidP="00A31E8A">
            <w:pPr>
              <w:jc w:val="center"/>
              <w:rPr>
                <w:rFonts w:cs="Arial"/>
                <w:color w:val="000000" w:themeColor="text1"/>
                <w:szCs w:val="16"/>
              </w:rPr>
            </w:pPr>
            <w:r>
              <w:rPr>
                <w:rFonts w:cs="Arial"/>
                <w:color w:val="000000"/>
                <w:szCs w:val="16"/>
              </w:rPr>
              <w:t>852</w:t>
            </w:r>
          </w:p>
        </w:tc>
        <w:tc>
          <w:tcPr>
            <w:tcW w:w="541" w:type="pct"/>
            <w:shd w:val="clear" w:color="auto" w:fill="auto"/>
            <w:vAlign w:val="center"/>
          </w:tcPr>
          <w:p w14:paraId="59D699CF" w14:textId="460A79FA" w:rsidR="00A31E8A" w:rsidRPr="00781112" w:rsidRDefault="00A31E8A" w:rsidP="00A31E8A">
            <w:pPr>
              <w:jc w:val="center"/>
              <w:rPr>
                <w:rFonts w:cs="Arial"/>
                <w:color w:val="000000" w:themeColor="text1"/>
                <w:szCs w:val="16"/>
              </w:rPr>
            </w:pPr>
          </w:p>
        </w:tc>
        <w:tc>
          <w:tcPr>
            <w:tcW w:w="752" w:type="pct"/>
            <w:shd w:val="clear" w:color="auto" w:fill="auto"/>
            <w:vAlign w:val="center"/>
          </w:tcPr>
          <w:p w14:paraId="18D7723E" w14:textId="7A443B62" w:rsidR="00A31E8A" w:rsidRPr="00781112" w:rsidRDefault="00A31E8A" w:rsidP="00A31E8A">
            <w:pPr>
              <w:jc w:val="center"/>
              <w:rPr>
                <w:rFonts w:cs="Arial"/>
                <w:color w:val="000000" w:themeColor="text1"/>
                <w:szCs w:val="16"/>
              </w:rPr>
            </w:pPr>
            <w:r w:rsidRPr="00781112">
              <w:rPr>
                <w:rFonts w:cs="Arial"/>
                <w:color w:val="000000" w:themeColor="text1"/>
                <w:szCs w:val="16"/>
              </w:rPr>
              <w:t>49.65%</w:t>
            </w:r>
          </w:p>
        </w:tc>
        <w:tc>
          <w:tcPr>
            <w:tcW w:w="499" w:type="pct"/>
            <w:shd w:val="clear" w:color="auto" w:fill="auto"/>
            <w:vAlign w:val="center"/>
          </w:tcPr>
          <w:p w14:paraId="1C467869" w14:textId="36566B3C" w:rsidR="00A31E8A" w:rsidRPr="00781112" w:rsidRDefault="00A31E8A" w:rsidP="00A31E8A">
            <w:pPr>
              <w:jc w:val="center"/>
              <w:rPr>
                <w:rFonts w:cs="Arial"/>
                <w:color w:val="000000" w:themeColor="text1"/>
                <w:szCs w:val="16"/>
              </w:rPr>
            </w:pPr>
            <w:r w:rsidRPr="00781112">
              <w:rPr>
                <w:rFonts w:cs="Arial"/>
                <w:color w:val="000000" w:themeColor="text1"/>
                <w:szCs w:val="16"/>
              </w:rPr>
              <w:t>49.65%</w:t>
            </w:r>
          </w:p>
        </w:tc>
        <w:tc>
          <w:tcPr>
            <w:tcW w:w="601" w:type="pct"/>
            <w:shd w:val="clear" w:color="auto" w:fill="auto"/>
            <w:vAlign w:val="center"/>
          </w:tcPr>
          <w:p w14:paraId="56861D59" w14:textId="0856E80D"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vAlign w:val="center"/>
          </w:tcPr>
          <w:p w14:paraId="7220CAED" w14:textId="6484F1AC"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r>
    </w:tbl>
    <w:p w14:paraId="5EB0A206" w14:textId="77777777" w:rsidR="00445640" w:rsidRPr="00781112" w:rsidRDefault="00445640" w:rsidP="000C3A20">
      <w:pPr>
        <w:rPr>
          <w:color w:val="000000" w:themeColor="text1"/>
        </w:rPr>
      </w:pPr>
    </w:p>
    <w:p w14:paraId="4F8B3B70" w14:textId="05453045" w:rsidR="000A5A2E" w:rsidRPr="00781112" w:rsidRDefault="000A5A2E" w:rsidP="004369B2">
      <w:pPr>
        <w:rPr>
          <w:color w:val="000000" w:themeColor="text1"/>
        </w:rPr>
      </w:pPr>
      <w:r w:rsidRPr="00781112">
        <w:rPr>
          <w:b/>
          <w:color w:val="000000" w:themeColor="text1"/>
        </w:rPr>
        <w:t>Regulatory Information</w:t>
      </w:r>
    </w:p>
    <w:p w14:paraId="2B741846" w14:textId="30EBAA23" w:rsidR="000A5A2E" w:rsidRPr="00781112" w:rsidRDefault="00A14B5D" w:rsidP="00286BDF">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p>
    <w:p w14:paraId="7C3B3355" w14:textId="77777777" w:rsidR="00241BD0" w:rsidRPr="00781112" w:rsidRDefault="00241BD0" w:rsidP="004369B2">
      <w:pPr>
        <w:rPr>
          <w:color w:val="000000" w:themeColor="text1"/>
        </w:rPr>
      </w:pPr>
    </w:p>
    <w:p w14:paraId="1FD3EE14" w14:textId="6446691C" w:rsidR="000A5A2E" w:rsidRPr="00781112" w:rsidRDefault="000A5A2E" w:rsidP="004369B2">
      <w:pPr>
        <w:rPr>
          <w:color w:val="000000" w:themeColor="text1"/>
        </w:rPr>
      </w:pPr>
      <w:r w:rsidRPr="00781112">
        <w:rPr>
          <w:b/>
          <w:color w:val="000000" w:themeColor="text1"/>
        </w:rPr>
        <w:t>Public Reporting Information</w:t>
      </w:r>
    </w:p>
    <w:p w14:paraId="20613508" w14:textId="77777777" w:rsidR="000A5A2E" w:rsidRPr="00781112" w:rsidRDefault="000A5A2E" w:rsidP="000A5A2E">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F0C4C7F" w14:textId="52384A95" w:rsidR="00A869E9" w:rsidRPr="00781112" w:rsidRDefault="00DD3719" w:rsidP="009C613A">
      <w:pPr>
        <w:rPr>
          <w:rFonts w:cs="Arial"/>
          <w:color w:val="000000" w:themeColor="text1"/>
          <w:szCs w:val="16"/>
        </w:rPr>
      </w:pPr>
      <w:r w:rsidRPr="00781112">
        <w:rPr>
          <w:rFonts w:cs="Arial"/>
          <w:color w:val="000000" w:themeColor="text1"/>
          <w:szCs w:val="16"/>
          <w:shd w:val="clear" w:color="auto" w:fill="FFFFFF"/>
        </w:rPr>
        <w:t xml:space="preserve">The "Regular and Alternate Test Summary" publicly reports participation and performance results for children with disabilities on regular assessments - with or without accommodations - and alternate assessments. </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For Spring 2021 results, use the following link:</w:t>
      </w:r>
      <w:r w:rsidRPr="00781112">
        <w:rPr>
          <w:rFonts w:cs="Arial"/>
          <w:color w:val="000000" w:themeColor="text1"/>
          <w:szCs w:val="16"/>
          <w:shd w:val="clear" w:color="auto" w:fill="FFFFFF"/>
        </w:rPr>
        <w:br/>
        <w:t xml:space="preserve">https://www.louisianabelieves.com/docs/default-source/academics/regular-and-alternate-test-summary-2021.xlsx?sfvrsn=7cc26518_2. </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 xml:space="preserve">For past assessment results, use the link below. The results are available under the Special Education Data section. </w:t>
      </w:r>
      <w:r w:rsidRPr="00781112">
        <w:rPr>
          <w:rFonts w:cs="Arial"/>
          <w:color w:val="000000" w:themeColor="text1"/>
          <w:szCs w:val="16"/>
          <w:shd w:val="clear" w:color="auto" w:fill="FFFFFF"/>
        </w:rPr>
        <w:br/>
        <w:t>https://louisianabelieves.com/resources/library/special-education-reporting-and-funding</w:t>
      </w:r>
    </w:p>
    <w:p w14:paraId="32BCE51B" w14:textId="77777777" w:rsidR="00796DC0" w:rsidRPr="00781112" w:rsidRDefault="00796DC0" w:rsidP="004369B2">
      <w:pPr>
        <w:rPr>
          <w:b/>
          <w:color w:val="000000" w:themeColor="text1"/>
        </w:rPr>
      </w:pPr>
      <w:r w:rsidRPr="00781112">
        <w:rPr>
          <w:b/>
          <w:color w:val="000000" w:themeColor="text1"/>
        </w:rPr>
        <w:t>Provide additional information about this indicator (optional)</w:t>
      </w:r>
    </w:p>
    <w:p w14:paraId="19728EE3" w14:textId="7FE6C853" w:rsidR="00A869E9" w:rsidRPr="00781112" w:rsidRDefault="002B7490" w:rsidP="000E33D0">
      <w:pPr>
        <w:rPr>
          <w:rFonts w:cs="Arial"/>
          <w:color w:val="000000" w:themeColor="text1"/>
          <w:szCs w:val="16"/>
        </w:rPr>
      </w:pPr>
      <w:r w:rsidRPr="00781112">
        <w:rPr>
          <w:rFonts w:cs="Arial"/>
          <w:color w:val="000000" w:themeColor="text1"/>
          <w:szCs w:val="16"/>
          <w:shd w:val="clear" w:color="auto" w:fill="FFFFFF"/>
        </w:rPr>
        <w:t>FFY 2020 is the first year reporting this target and reporting ELA and math proficiency by grades 4, 8 and HS. Additionally, the State's alternate assessment has new achievement levels, where proficiency is defined as Near Goal or above. This is also our first set of statewide assessment data post-pandemic.</w:t>
      </w:r>
    </w:p>
    <w:p w14:paraId="1C326C48" w14:textId="1B3ADE94" w:rsidR="000A2C83" w:rsidRPr="00781112" w:rsidRDefault="00573F6C" w:rsidP="008645AD">
      <w:pPr>
        <w:pStyle w:val="Heading2"/>
      </w:pPr>
      <w:r w:rsidRPr="00781112">
        <w:t>3C</w:t>
      </w:r>
      <w:r w:rsidR="00BB4FD7" w:rsidRPr="00781112">
        <w:t xml:space="preserve"> </w:t>
      </w:r>
      <w:r w:rsidRPr="00781112">
        <w:t xml:space="preserve">- </w:t>
      </w:r>
      <w:r w:rsidR="000A2C83" w:rsidRPr="00781112">
        <w:t>Prior FFY Required Actions</w:t>
      </w:r>
    </w:p>
    <w:p w14:paraId="5570C94B" w14:textId="51EF4ED4" w:rsidR="000A2C83" w:rsidRPr="00781112" w:rsidRDefault="002B7490" w:rsidP="000A2C83">
      <w:pPr>
        <w:rPr>
          <w:rFonts w:cs="Arial"/>
          <w:color w:val="000000" w:themeColor="text1"/>
          <w:szCs w:val="16"/>
        </w:rPr>
      </w:pPr>
      <w:r w:rsidRPr="00781112">
        <w:rPr>
          <w:rFonts w:cs="Arial"/>
          <w:color w:val="000000" w:themeColor="text1"/>
          <w:szCs w:val="16"/>
        </w:rPr>
        <w:t>None</w:t>
      </w:r>
    </w:p>
    <w:p w14:paraId="0EFAA7F7" w14:textId="77777777" w:rsidR="00247959" w:rsidRPr="00781112" w:rsidRDefault="00247959" w:rsidP="000A2C83">
      <w:pPr>
        <w:rPr>
          <w:rFonts w:cs="Arial"/>
          <w:color w:val="000000" w:themeColor="text1"/>
          <w:szCs w:val="16"/>
        </w:rPr>
      </w:pPr>
    </w:p>
    <w:p w14:paraId="1E98E6A2" w14:textId="3C798D76" w:rsidR="00796DC0" w:rsidRPr="00781112" w:rsidRDefault="00573F6C" w:rsidP="008645AD">
      <w:pPr>
        <w:pStyle w:val="Heading2"/>
      </w:pPr>
      <w:r w:rsidRPr="00781112">
        <w:t>3C - OSEP Response</w:t>
      </w:r>
    </w:p>
    <w:p w14:paraId="742F0548" w14:textId="6CBFA0D3" w:rsidR="00A869E9" w:rsidRPr="00781112" w:rsidRDefault="003D7F56" w:rsidP="001F692C">
      <w:pPr>
        <w:rPr>
          <w:rFonts w:cs="Arial"/>
          <w:color w:val="000000" w:themeColor="text1"/>
          <w:szCs w:val="16"/>
          <w:shd w:val="clear" w:color="auto" w:fill="FFFFFF"/>
        </w:rPr>
      </w:pPr>
      <w:r w:rsidRPr="00781112">
        <w:rPr>
          <w:rFonts w:cs="Arial"/>
          <w:color w:val="000000" w:themeColor="text1"/>
          <w:szCs w:val="16"/>
          <w:shd w:val="clear" w:color="auto" w:fill="FFFFFF"/>
        </w:rPr>
        <w:t>The State has revised the baseline for this indicator, using data from FFY 2020, and OSEP accepts that revision.</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The State provided targets for FFYs 2020 through 2025 for this indicator, and OSEP accepts those targets.</w:t>
      </w:r>
    </w:p>
    <w:p w14:paraId="0774F476" w14:textId="1E34BC77" w:rsidR="00796DC0" w:rsidRPr="00781112" w:rsidRDefault="00573F6C" w:rsidP="008645AD">
      <w:pPr>
        <w:pStyle w:val="Heading2"/>
      </w:pPr>
      <w:r w:rsidRPr="00781112">
        <w:t>3C - Required Actions</w:t>
      </w:r>
    </w:p>
    <w:p w14:paraId="5E46A453" w14:textId="5260AC47" w:rsidR="00A869E9" w:rsidRPr="00781112" w:rsidRDefault="00A869E9" w:rsidP="001F692C">
      <w:pPr>
        <w:rPr>
          <w:rFonts w:cs="Arial"/>
          <w:color w:val="000000" w:themeColor="text1"/>
          <w:szCs w:val="16"/>
          <w:shd w:val="clear" w:color="auto" w:fill="FFFFFF"/>
        </w:rPr>
      </w:pPr>
    </w:p>
    <w:p w14:paraId="5933CC1B" w14:textId="40F9F685" w:rsidR="00A63347" w:rsidRPr="00781112" w:rsidRDefault="00A63347">
      <w:pPr>
        <w:spacing w:before="0" w:after="200" w:line="276" w:lineRule="auto"/>
        <w:rPr>
          <w:rFonts w:cs="Arial"/>
          <w:color w:val="000000" w:themeColor="text1"/>
          <w:szCs w:val="16"/>
          <w:shd w:val="clear" w:color="auto" w:fill="FFFFFF"/>
        </w:rPr>
      </w:pPr>
      <w:r w:rsidRPr="00781112">
        <w:rPr>
          <w:rFonts w:cs="Arial"/>
          <w:color w:val="000000" w:themeColor="text1"/>
          <w:szCs w:val="16"/>
          <w:shd w:val="clear" w:color="auto" w:fill="FFFFFF"/>
        </w:rPr>
        <w:lastRenderedPageBreak/>
        <w:br w:type="page"/>
      </w:r>
    </w:p>
    <w:p w14:paraId="04EE5889" w14:textId="73DDCB24" w:rsidR="00764DDE" w:rsidRPr="00781112" w:rsidRDefault="00764DDE" w:rsidP="00764DDE">
      <w:pPr>
        <w:pStyle w:val="Heading1"/>
        <w:rPr>
          <w:color w:val="000000" w:themeColor="text1"/>
          <w:sz w:val="22"/>
        </w:rPr>
      </w:pPr>
      <w:r w:rsidRPr="00781112">
        <w:rPr>
          <w:color w:val="000000" w:themeColor="text1"/>
          <w:sz w:val="22"/>
        </w:rPr>
        <w:lastRenderedPageBreak/>
        <w:t>Indicator 3D: Gap in Proficiency Rates (Grade Level Academic Achievement Standards)</w:t>
      </w:r>
    </w:p>
    <w:p w14:paraId="46C730FF" w14:textId="77777777" w:rsidR="00764DDE" w:rsidRPr="00781112" w:rsidRDefault="00764DDE" w:rsidP="00764DDE">
      <w:pPr>
        <w:rPr>
          <w:color w:val="000000" w:themeColor="text1"/>
          <w:szCs w:val="20"/>
        </w:rPr>
      </w:pPr>
      <w:r w:rsidRPr="00781112">
        <w:rPr>
          <w:b/>
          <w:color w:val="000000" w:themeColor="text1"/>
          <w:sz w:val="20"/>
          <w:szCs w:val="20"/>
        </w:rPr>
        <w:t>Instructions and Measurement</w:t>
      </w:r>
    </w:p>
    <w:p w14:paraId="62AF8D70" w14:textId="77777777" w:rsidR="00764DDE" w:rsidRPr="00781112" w:rsidRDefault="00764DDE" w:rsidP="00764DDE">
      <w:pPr>
        <w:rPr>
          <w:color w:val="000000" w:themeColor="text1"/>
        </w:rPr>
      </w:pPr>
      <w:r w:rsidRPr="00781112">
        <w:rPr>
          <w:b/>
          <w:color w:val="000000" w:themeColor="text1"/>
        </w:rPr>
        <w:t>Monitoring Priority:</w:t>
      </w:r>
      <w:r w:rsidRPr="00781112">
        <w:rPr>
          <w:color w:val="000000" w:themeColor="text1"/>
        </w:rPr>
        <w:t xml:space="preserve"> FAPE in the LRE</w:t>
      </w:r>
    </w:p>
    <w:p w14:paraId="03D1E39F" w14:textId="77777777" w:rsidR="00764DDE" w:rsidRPr="00781112" w:rsidRDefault="00764DDE" w:rsidP="00764DDE">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39C0DF3F"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A. Participation rate for children with IEPs.</w:t>
      </w:r>
    </w:p>
    <w:p w14:paraId="37414902"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5E9A9263"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6AEED6CC"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67B35375" w14:textId="77777777" w:rsidR="00876D2A" w:rsidRPr="00781112" w:rsidRDefault="00876D2A" w:rsidP="00876D2A">
      <w:pPr>
        <w:rPr>
          <w:rFonts w:cs="Arial"/>
          <w:color w:val="000000" w:themeColor="text1"/>
          <w:szCs w:val="16"/>
        </w:rPr>
      </w:pPr>
      <w:r w:rsidRPr="00781112">
        <w:rPr>
          <w:rFonts w:cs="Arial"/>
          <w:color w:val="000000" w:themeColor="text1"/>
          <w:szCs w:val="16"/>
        </w:rPr>
        <w:t>(20 U.S.C. 1416 (a)(3)(A))</w:t>
      </w:r>
    </w:p>
    <w:p w14:paraId="0BC18EE2" w14:textId="77777777" w:rsidR="00764DDE" w:rsidRPr="00781112" w:rsidRDefault="00764DDE" w:rsidP="00764DDE">
      <w:pPr>
        <w:rPr>
          <w:color w:val="000000" w:themeColor="text1"/>
        </w:rPr>
      </w:pPr>
      <w:r w:rsidRPr="00781112">
        <w:rPr>
          <w:b/>
          <w:color w:val="000000" w:themeColor="text1"/>
        </w:rPr>
        <w:t>Data Source</w:t>
      </w:r>
    </w:p>
    <w:p w14:paraId="3AB8B5B6" w14:textId="77777777" w:rsidR="00876D2A" w:rsidRPr="00781112" w:rsidRDefault="00876D2A" w:rsidP="00876D2A">
      <w:pPr>
        <w:rPr>
          <w:rFonts w:cs="Arial"/>
          <w:szCs w:val="16"/>
        </w:rPr>
      </w:pPr>
      <w:r w:rsidRPr="00781112">
        <w:rPr>
          <w:rFonts w:cs="Arial"/>
          <w:szCs w:val="16"/>
        </w:rPr>
        <w:t>3D. Same data as used for reporting to the Department under Title I of the ESEA, using EDFacts file specifications FS175 and 178.</w:t>
      </w:r>
    </w:p>
    <w:p w14:paraId="7A02CC2C" w14:textId="77777777" w:rsidR="00764DDE" w:rsidRPr="00781112" w:rsidRDefault="00764DDE" w:rsidP="00764DDE">
      <w:pPr>
        <w:rPr>
          <w:color w:val="000000" w:themeColor="text1"/>
        </w:rPr>
      </w:pPr>
      <w:r w:rsidRPr="00781112">
        <w:rPr>
          <w:b/>
          <w:color w:val="000000" w:themeColor="text1"/>
        </w:rPr>
        <w:t>Measurement</w:t>
      </w:r>
    </w:p>
    <w:p w14:paraId="4FEF37F2" w14:textId="77777777" w:rsidR="00876D2A" w:rsidRPr="00781112" w:rsidRDefault="00876D2A" w:rsidP="00876D2A">
      <w:pPr>
        <w:rPr>
          <w:rFonts w:cs="Arial"/>
          <w:szCs w:val="16"/>
        </w:rPr>
      </w:pPr>
      <w:r w:rsidRPr="00781112">
        <w:rPr>
          <w:rFonts w:cs="Arial"/>
          <w:szCs w:val="16"/>
        </w:rPr>
        <w:t>D. Proficiency rate gap = [(proficiency rate for children with IEPs scoring at or above proficient against grade level academic achievement standards for the 2020-2021 school year) subtracted from the (proficiency rate for all students scoring at or above proficient against grade level academic achievement standards for the 2020-2021 school year)]. Calculate separately for reading and math. Calculate separately for grades 4, 8, and high school. The proficiency rate includes all children enrolled for a full academic year and those not enrolled for a full academic year.</w:t>
      </w:r>
    </w:p>
    <w:p w14:paraId="69B5F103" w14:textId="77777777" w:rsidR="00764DDE" w:rsidRPr="00781112" w:rsidRDefault="00764DDE" w:rsidP="00764DDE">
      <w:pPr>
        <w:rPr>
          <w:color w:val="000000" w:themeColor="text1"/>
        </w:rPr>
      </w:pPr>
      <w:r w:rsidRPr="00781112">
        <w:rPr>
          <w:b/>
          <w:color w:val="000000" w:themeColor="text1"/>
        </w:rPr>
        <w:t>Instructions</w:t>
      </w:r>
    </w:p>
    <w:p w14:paraId="06ED299B" w14:textId="77777777" w:rsidR="00876D2A" w:rsidRPr="00781112" w:rsidRDefault="00876D2A" w:rsidP="00876D2A">
      <w:pPr>
        <w:pStyle w:val="Subhed"/>
        <w:rPr>
          <w:b w:val="0"/>
          <w:bCs/>
        </w:rPr>
      </w:pPr>
      <w:r w:rsidRPr="00781112">
        <w:rPr>
          <w:b w:val="0"/>
          <w:bCs/>
        </w:rPr>
        <w:t>Describe the results of the calculations and compare the results to the targets.  Provide the actual numbers used in the calculation.</w:t>
      </w:r>
    </w:p>
    <w:p w14:paraId="5361E418" w14:textId="77777777" w:rsidR="00876D2A" w:rsidRPr="00781112" w:rsidRDefault="00876D2A" w:rsidP="00876D2A">
      <w:pPr>
        <w:pStyle w:val="Subhed"/>
        <w:rPr>
          <w:b w:val="0"/>
          <w:bCs/>
        </w:rPr>
      </w:pPr>
      <w:r w:rsidRPr="00781112">
        <w:rPr>
          <w:b w:val="0"/>
          <w:bCs/>
        </w:rPr>
        <w:t xml:space="preserve">Include information regarding where to find public reports of assessment participation and performance results, as required by 34 CFR §300.160(f), </w:t>
      </w:r>
      <w:r w:rsidRPr="00781112">
        <w:rPr>
          <w:b w:val="0"/>
          <w:bCs/>
          <w:i/>
        </w:rPr>
        <w:t>i.e.</w:t>
      </w:r>
      <w:r w:rsidRPr="00781112">
        <w:rPr>
          <w:b w:val="0"/>
          <w:bCs/>
        </w:rPr>
        <w:t>, a link to the Web site where these data are reported.</w:t>
      </w:r>
    </w:p>
    <w:p w14:paraId="6D783CD1" w14:textId="77777777" w:rsidR="00876D2A" w:rsidRPr="00781112" w:rsidRDefault="00876D2A" w:rsidP="00876D2A">
      <w:pPr>
        <w:pStyle w:val="Subhed"/>
      </w:pPr>
      <w:r w:rsidRPr="00781112">
        <w:rPr>
          <w:b w:val="0"/>
          <w:bCs/>
        </w:rPr>
        <w:t>Indicator 3D: Gap calculations in this SPP/APR must result in the proficiency rate for children with IEPs were proficient against grade level academic achievement standards for the 2020-2021 school year compared to the proficiency rate for all students who were proficient against grade level academic achievement standards for the 2020-2021 school year. Calculate separately for reading/language arts and math in each of the following grades: 4, 8, and high school, including both children enrolled for a full academic year and those not enrolled for a full academic year. Only include children with disabilities who had an IEP at the time of testing.</w:t>
      </w:r>
    </w:p>
    <w:p w14:paraId="272DFFEC" w14:textId="493A26BE" w:rsidR="00764DDE" w:rsidRPr="00781112" w:rsidRDefault="00764DDE" w:rsidP="00764DDE">
      <w:pPr>
        <w:pStyle w:val="Heading2"/>
      </w:pPr>
      <w:r w:rsidRPr="00781112">
        <w:t>3D - Indicator Data</w:t>
      </w:r>
    </w:p>
    <w:p w14:paraId="7CC64996" w14:textId="77777777" w:rsidR="00DD5B7A" w:rsidRPr="00781112" w:rsidRDefault="00DD5B7A" w:rsidP="00DD5B7A"/>
    <w:p w14:paraId="5E01F354" w14:textId="77777777" w:rsidR="00DD5B7A" w:rsidRPr="00781112" w:rsidRDefault="00DD5B7A" w:rsidP="00DD5B7A">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HISTDATA"/>
      </w:tblPr>
      <w:tblGrid>
        <w:gridCol w:w="1588"/>
        <w:gridCol w:w="1588"/>
        <w:gridCol w:w="2538"/>
        <w:gridCol w:w="2538"/>
        <w:gridCol w:w="2538"/>
      </w:tblGrid>
      <w:tr w:rsidR="00DD5B7A" w:rsidRPr="00781112" w14:paraId="65AC4D07" w14:textId="77777777" w:rsidTr="009725F4">
        <w:trPr>
          <w:trHeight w:val="368"/>
          <w:tblHeader/>
        </w:trPr>
        <w:tc>
          <w:tcPr>
            <w:tcW w:w="736" w:type="pct"/>
            <w:tcBorders>
              <w:top w:val="single" w:sz="4" w:space="0" w:color="auto"/>
            </w:tcBorders>
            <w:vAlign w:val="center"/>
          </w:tcPr>
          <w:p w14:paraId="0BE0D6D4"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4B9E396A"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100D6C6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6E047D89"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D50F3F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Baseline Data</w:t>
            </w:r>
          </w:p>
        </w:tc>
      </w:tr>
      <w:tr w:rsidR="00DD5B7A" w:rsidRPr="00781112" w14:paraId="70B05A32" w14:textId="77777777" w:rsidTr="00360DD6">
        <w:trPr>
          <w:trHeight w:val="368"/>
        </w:trPr>
        <w:tc>
          <w:tcPr>
            <w:tcW w:w="736" w:type="pct"/>
            <w:vAlign w:val="center"/>
          </w:tcPr>
          <w:p w14:paraId="1E1400E1"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726A78"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06B2FF2" w14:textId="0257EDF0" w:rsidR="00DD5B7A" w:rsidRPr="00781112" w:rsidRDefault="00DD5B7A"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6B1B3326" w14:textId="475D3617"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D86351D" w14:textId="7DD98963" w:rsidR="00DD5B7A" w:rsidRPr="00781112" w:rsidRDefault="00DD5B7A" w:rsidP="00827FF4">
            <w:pPr>
              <w:spacing w:before="0" w:after="0"/>
              <w:jc w:val="center"/>
              <w:rPr>
                <w:color w:val="000000" w:themeColor="text1"/>
              </w:rPr>
            </w:pPr>
            <w:r w:rsidRPr="00781112">
              <w:rPr>
                <w:rFonts w:cs="Arial"/>
                <w:color w:val="000000" w:themeColor="text1"/>
                <w:szCs w:val="16"/>
              </w:rPr>
              <w:t>25.28</w:t>
            </w:r>
          </w:p>
        </w:tc>
      </w:tr>
      <w:tr w:rsidR="00DD5B7A" w:rsidRPr="00781112" w14:paraId="7DB1C775" w14:textId="77777777" w:rsidTr="00360DD6">
        <w:trPr>
          <w:trHeight w:val="368"/>
        </w:trPr>
        <w:tc>
          <w:tcPr>
            <w:tcW w:w="736" w:type="pct"/>
            <w:vAlign w:val="center"/>
          </w:tcPr>
          <w:p w14:paraId="38812700"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DC20823"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7BEF817" w14:textId="375B6CFE"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644047DF" w14:textId="126BB3C2"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111214B9" w14:textId="3291E6F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34.71</w:t>
            </w:r>
          </w:p>
        </w:tc>
      </w:tr>
      <w:tr w:rsidR="00DD5B7A" w:rsidRPr="00781112" w14:paraId="468C5707" w14:textId="77777777" w:rsidTr="00360DD6">
        <w:trPr>
          <w:trHeight w:val="368"/>
        </w:trPr>
        <w:tc>
          <w:tcPr>
            <w:tcW w:w="736" w:type="pct"/>
            <w:vAlign w:val="center"/>
          </w:tcPr>
          <w:p w14:paraId="283DD3EF"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66F83830"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5B906466" w14:textId="7AB9DEC7" w:rsidR="00DD5B7A" w:rsidRPr="00781112" w:rsidRDefault="00DD5B7A"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4D688A86" w14:textId="0A70602B"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E971EFB" w14:textId="111D0794"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33.50</w:t>
            </w:r>
          </w:p>
        </w:tc>
      </w:tr>
      <w:tr w:rsidR="00DD5B7A" w:rsidRPr="00781112" w14:paraId="40BEF17A" w14:textId="77777777" w:rsidTr="00360DD6">
        <w:trPr>
          <w:trHeight w:val="368"/>
        </w:trPr>
        <w:tc>
          <w:tcPr>
            <w:tcW w:w="736" w:type="pct"/>
            <w:vAlign w:val="center"/>
          </w:tcPr>
          <w:p w14:paraId="10F38B33"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A2FED54"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BB0AC7F" w14:textId="3CC5AB81"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D65D13" w14:textId="770510BC"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1BD930B" w14:textId="329DAC52"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19.60</w:t>
            </w:r>
          </w:p>
        </w:tc>
      </w:tr>
      <w:tr w:rsidR="00DD5B7A" w:rsidRPr="00781112" w14:paraId="58025947" w14:textId="77777777" w:rsidTr="00360DD6">
        <w:trPr>
          <w:trHeight w:val="368"/>
        </w:trPr>
        <w:tc>
          <w:tcPr>
            <w:tcW w:w="736" w:type="pct"/>
            <w:vAlign w:val="center"/>
          </w:tcPr>
          <w:p w14:paraId="78429F0C"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EDC855F"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CF56AA5" w14:textId="0CC49FE5" w:rsidR="00DD5B7A" w:rsidRPr="00781112" w:rsidRDefault="00DD5B7A"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E0933AD" w14:textId="4526CD59"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21057BA" w14:textId="390B5FB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22.20</w:t>
            </w:r>
          </w:p>
        </w:tc>
      </w:tr>
      <w:tr w:rsidR="00DD5B7A" w:rsidRPr="00781112" w14:paraId="760D00F1" w14:textId="77777777" w:rsidTr="00360DD6">
        <w:trPr>
          <w:trHeight w:val="368"/>
        </w:trPr>
        <w:tc>
          <w:tcPr>
            <w:tcW w:w="736" w:type="pct"/>
            <w:vAlign w:val="center"/>
          </w:tcPr>
          <w:p w14:paraId="6D27E968"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F323B3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351646FB" w14:textId="156B4E70"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32ADE626" w14:textId="141B037F"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46306E9" w14:textId="2609FDFB"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26.47</w:t>
            </w:r>
          </w:p>
        </w:tc>
      </w:tr>
    </w:tbl>
    <w:p w14:paraId="6BEA17C2" w14:textId="77777777" w:rsidR="00DD5B7A" w:rsidRPr="00781112" w:rsidRDefault="00DD5B7A" w:rsidP="00DD5B7A">
      <w:pPr>
        <w:spacing w:before="0" w:after="200" w:line="276" w:lineRule="auto"/>
        <w:rPr>
          <w:b/>
          <w:color w:val="000000" w:themeColor="text1"/>
        </w:rPr>
      </w:pPr>
    </w:p>
    <w:p w14:paraId="0E9E5136" w14:textId="77777777" w:rsidR="00DD5B7A" w:rsidRPr="00781112" w:rsidRDefault="00DD5B7A" w:rsidP="00DD5B7A">
      <w:pPr>
        <w:rPr>
          <w:b/>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TARGETS"/>
      </w:tblPr>
      <w:tblGrid>
        <w:gridCol w:w="895"/>
        <w:gridCol w:w="721"/>
        <w:gridCol w:w="1170"/>
        <w:gridCol w:w="1334"/>
        <w:gridCol w:w="1334"/>
        <w:gridCol w:w="1334"/>
        <w:gridCol w:w="1334"/>
        <w:gridCol w:w="1334"/>
        <w:gridCol w:w="1334"/>
      </w:tblGrid>
      <w:tr w:rsidR="00DD5B7A" w:rsidRPr="00781112" w14:paraId="32AE1F59" w14:textId="77777777" w:rsidTr="00E95FBF">
        <w:tc>
          <w:tcPr>
            <w:tcW w:w="415" w:type="pct"/>
            <w:tcBorders>
              <w:bottom w:val="single" w:sz="4" w:space="0" w:color="auto"/>
            </w:tcBorders>
            <w:shd w:val="clear" w:color="auto" w:fill="auto"/>
            <w:vAlign w:val="center"/>
          </w:tcPr>
          <w:p w14:paraId="6A9E2F19" w14:textId="77777777" w:rsidR="00DD5B7A" w:rsidRPr="00781112" w:rsidRDefault="00DD5B7A" w:rsidP="00827FF4">
            <w:pPr>
              <w:jc w:val="center"/>
              <w:rPr>
                <w:b/>
                <w:color w:val="000000" w:themeColor="text1"/>
              </w:rPr>
            </w:pPr>
            <w:r w:rsidRPr="00781112">
              <w:rPr>
                <w:b/>
                <w:color w:val="000000" w:themeColor="text1"/>
              </w:rPr>
              <w:t>Subject</w:t>
            </w:r>
          </w:p>
        </w:tc>
        <w:tc>
          <w:tcPr>
            <w:tcW w:w="334" w:type="pct"/>
            <w:tcBorders>
              <w:bottom w:val="single" w:sz="4" w:space="0" w:color="auto"/>
            </w:tcBorders>
            <w:shd w:val="clear" w:color="auto" w:fill="auto"/>
            <w:vAlign w:val="center"/>
          </w:tcPr>
          <w:p w14:paraId="5181D1E9" w14:textId="77777777" w:rsidR="00DD5B7A" w:rsidRPr="00781112" w:rsidRDefault="00DD5B7A" w:rsidP="00827FF4">
            <w:pPr>
              <w:jc w:val="center"/>
              <w:rPr>
                <w:b/>
                <w:color w:val="000000" w:themeColor="text1"/>
              </w:rPr>
            </w:pPr>
            <w:r w:rsidRPr="00781112">
              <w:rPr>
                <w:b/>
                <w:color w:val="000000" w:themeColor="text1"/>
              </w:rPr>
              <w:t>Group</w:t>
            </w:r>
          </w:p>
        </w:tc>
        <w:tc>
          <w:tcPr>
            <w:tcW w:w="542" w:type="pct"/>
            <w:shd w:val="clear" w:color="auto" w:fill="auto"/>
            <w:vAlign w:val="center"/>
          </w:tcPr>
          <w:p w14:paraId="7C5EACD6" w14:textId="77777777" w:rsidR="00DD5B7A" w:rsidRPr="00781112" w:rsidDel="008E7B87" w:rsidRDefault="00DD5B7A" w:rsidP="00827FF4">
            <w:pPr>
              <w:jc w:val="center"/>
              <w:rPr>
                <w:b/>
                <w:color w:val="000000" w:themeColor="text1"/>
              </w:rPr>
            </w:pPr>
            <w:r w:rsidRPr="00781112">
              <w:rPr>
                <w:b/>
                <w:color w:val="000000" w:themeColor="text1"/>
              </w:rPr>
              <w:t>Group Name</w:t>
            </w:r>
          </w:p>
        </w:tc>
        <w:tc>
          <w:tcPr>
            <w:tcW w:w="618" w:type="pct"/>
            <w:shd w:val="clear" w:color="auto" w:fill="auto"/>
            <w:vAlign w:val="center"/>
          </w:tcPr>
          <w:p w14:paraId="57197BBC" w14:textId="77777777" w:rsidR="00DD5B7A" w:rsidRPr="00781112" w:rsidRDefault="00DD5B7A" w:rsidP="00827FF4">
            <w:pPr>
              <w:jc w:val="center"/>
              <w:rPr>
                <w:b/>
                <w:color w:val="000000" w:themeColor="text1"/>
              </w:rPr>
            </w:pPr>
            <w:r w:rsidRPr="00781112">
              <w:rPr>
                <w:b/>
                <w:color w:val="000000" w:themeColor="text1"/>
              </w:rPr>
              <w:t>2020</w:t>
            </w:r>
          </w:p>
        </w:tc>
        <w:tc>
          <w:tcPr>
            <w:tcW w:w="618" w:type="pct"/>
            <w:vAlign w:val="center"/>
          </w:tcPr>
          <w:p w14:paraId="07ACCE04" w14:textId="77777777" w:rsidR="00DD5B7A" w:rsidRPr="00781112" w:rsidRDefault="00DD5B7A" w:rsidP="00827FF4">
            <w:pPr>
              <w:jc w:val="center"/>
              <w:rPr>
                <w:b/>
                <w:color w:val="000000" w:themeColor="text1"/>
              </w:rPr>
            </w:pPr>
            <w:r w:rsidRPr="00781112">
              <w:rPr>
                <w:rFonts w:cs="Arial"/>
                <w:b/>
                <w:color w:val="000000" w:themeColor="text1"/>
                <w:szCs w:val="16"/>
              </w:rPr>
              <w:t>2021</w:t>
            </w:r>
          </w:p>
        </w:tc>
        <w:tc>
          <w:tcPr>
            <w:tcW w:w="618" w:type="pct"/>
            <w:vAlign w:val="center"/>
          </w:tcPr>
          <w:p w14:paraId="0B682674" w14:textId="77777777" w:rsidR="00DD5B7A" w:rsidRPr="00781112" w:rsidRDefault="00DD5B7A" w:rsidP="00827FF4">
            <w:pPr>
              <w:jc w:val="center"/>
              <w:rPr>
                <w:b/>
                <w:color w:val="000000" w:themeColor="text1"/>
              </w:rPr>
            </w:pPr>
            <w:r w:rsidRPr="00781112">
              <w:rPr>
                <w:rFonts w:cs="Arial"/>
                <w:b/>
                <w:color w:val="000000" w:themeColor="text1"/>
                <w:szCs w:val="16"/>
              </w:rPr>
              <w:t>2022</w:t>
            </w:r>
          </w:p>
        </w:tc>
        <w:tc>
          <w:tcPr>
            <w:tcW w:w="618" w:type="pct"/>
            <w:vAlign w:val="center"/>
          </w:tcPr>
          <w:p w14:paraId="3597F00E" w14:textId="77777777" w:rsidR="00DD5B7A" w:rsidRPr="00781112" w:rsidRDefault="00DD5B7A" w:rsidP="00827FF4">
            <w:pPr>
              <w:jc w:val="center"/>
              <w:rPr>
                <w:b/>
                <w:color w:val="000000" w:themeColor="text1"/>
              </w:rPr>
            </w:pPr>
            <w:r w:rsidRPr="00781112">
              <w:rPr>
                <w:rFonts w:cs="Arial"/>
                <w:b/>
                <w:color w:val="000000" w:themeColor="text1"/>
                <w:szCs w:val="16"/>
              </w:rPr>
              <w:t>2023</w:t>
            </w:r>
          </w:p>
        </w:tc>
        <w:tc>
          <w:tcPr>
            <w:tcW w:w="618" w:type="pct"/>
            <w:vAlign w:val="center"/>
          </w:tcPr>
          <w:p w14:paraId="20E1209B" w14:textId="77777777" w:rsidR="00DD5B7A" w:rsidRPr="00781112" w:rsidRDefault="00DD5B7A" w:rsidP="00827FF4">
            <w:pPr>
              <w:jc w:val="center"/>
              <w:rPr>
                <w:b/>
                <w:color w:val="000000" w:themeColor="text1"/>
              </w:rPr>
            </w:pPr>
            <w:r w:rsidRPr="00781112">
              <w:rPr>
                <w:rFonts w:cs="Arial"/>
                <w:b/>
                <w:color w:val="000000" w:themeColor="text1"/>
                <w:szCs w:val="16"/>
              </w:rPr>
              <w:t>2024</w:t>
            </w:r>
          </w:p>
        </w:tc>
        <w:tc>
          <w:tcPr>
            <w:tcW w:w="618" w:type="pct"/>
            <w:vAlign w:val="center"/>
          </w:tcPr>
          <w:p w14:paraId="77AC93C7" w14:textId="77777777" w:rsidR="00DD5B7A" w:rsidRPr="00781112" w:rsidRDefault="00DD5B7A" w:rsidP="00827FF4">
            <w:pPr>
              <w:jc w:val="center"/>
              <w:rPr>
                <w:b/>
                <w:color w:val="000000" w:themeColor="text1"/>
              </w:rPr>
            </w:pPr>
            <w:r w:rsidRPr="00781112">
              <w:rPr>
                <w:rFonts w:cs="Arial"/>
                <w:b/>
                <w:color w:val="000000" w:themeColor="text1"/>
                <w:szCs w:val="16"/>
              </w:rPr>
              <w:t>2025</w:t>
            </w:r>
          </w:p>
        </w:tc>
      </w:tr>
      <w:tr w:rsidR="00DD5B7A" w:rsidRPr="00781112" w14:paraId="506F660C" w14:textId="77777777" w:rsidTr="00E95FBF">
        <w:tc>
          <w:tcPr>
            <w:tcW w:w="415" w:type="pct"/>
            <w:shd w:val="clear" w:color="auto" w:fill="auto"/>
            <w:vAlign w:val="center"/>
          </w:tcPr>
          <w:p w14:paraId="5CF55C17"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4BDAD87D"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 &lt;=</w:t>
            </w:r>
          </w:p>
        </w:tc>
        <w:tc>
          <w:tcPr>
            <w:tcW w:w="542" w:type="pct"/>
            <w:shd w:val="clear" w:color="auto" w:fill="auto"/>
            <w:vAlign w:val="center"/>
          </w:tcPr>
          <w:p w14:paraId="25B01019" w14:textId="68614C3D"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4</w:t>
            </w:r>
          </w:p>
        </w:tc>
        <w:tc>
          <w:tcPr>
            <w:tcW w:w="618" w:type="pct"/>
            <w:shd w:val="clear" w:color="auto" w:fill="auto"/>
            <w:vAlign w:val="center"/>
          </w:tcPr>
          <w:p w14:paraId="6E665D01" w14:textId="380A2C73" w:rsidR="00DD5B7A" w:rsidRPr="00781112" w:rsidRDefault="00DD5B7A" w:rsidP="00827FF4">
            <w:pPr>
              <w:jc w:val="center"/>
              <w:rPr>
                <w:rFonts w:cs="Arial"/>
                <w:color w:val="000000" w:themeColor="text1"/>
                <w:szCs w:val="16"/>
              </w:rPr>
            </w:pPr>
            <w:r w:rsidRPr="00781112">
              <w:rPr>
                <w:rFonts w:cs="Arial"/>
                <w:color w:val="000000" w:themeColor="text1"/>
                <w:szCs w:val="16"/>
              </w:rPr>
              <w:t>25.25</w:t>
            </w:r>
          </w:p>
        </w:tc>
        <w:tc>
          <w:tcPr>
            <w:tcW w:w="618" w:type="pct"/>
            <w:vAlign w:val="center"/>
          </w:tcPr>
          <w:p w14:paraId="680AEBF8" w14:textId="435AE40D" w:rsidR="00DD5B7A" w:rsidRPr="00781112" w:rsidRDefault="00DD5B7A" w:rsidP="00827FF4">
            <w:pPr>
              <w:jc w:val="center"/>
              <w:rPr>
                <w:rFonts w:cs="Arial"/>
                <w:color w:val="000000" w:themeColor="text1"/>
                <w:szCs w:val="16"/>
              </w:rPr>
            </w:pPr>
            <w:r w:rsidRPr="00781112">
              <w:rPr>
                <w:rFonts w:cs="Arial"/>
                <w:color w:val="000000" w:themeColor="text1"/>
                <w:szCs w:val="16"/>
              </w:rPr>
              <w:t>25.00</w:t>
            </w:r>
            <w:r w:rsidRPr="00781112">
              <w:t xml:space="preserve"> </w:t>
            </w:r>
          </w:p>
        </w:tc>
        <w:tc>
          <w:tcPr>
            <w:tcW w:w="618" w:type="pct"/>
            <w:vAlign w:val="center"/>
          </w:tcPr>
          <w:p w14:paraId="060B65A2" w14:textId="3C5E7042" w:rsidR="00DD5B7A" w:rsidRPr="00781112" w:rsidRDefault="00DD5B7A" w:rsidP="00827FF4">
            <w:pPr>
              <w:jc w:val="center"/>
              <w:rPr>
                <w:rFonts w:cs="Arial"/>
                <w:color w:val="000000" w:themeColor="text1"/>
                <w:szCs w:val="16"/>
              </w:rPr>
            </w:pPr>
            <w:r w:rsidRPr="00781112">
              <w:rPr>
                <w:rFonts w:cs="Arial"/>
                <w:color w:val="000000" w:themeColor="text1"/>
                <w:szCs w:val="16"/>
              </w:rPr>
              <w:t>24.00</w:t>
            </w:r>
          </w:p>
        </w:tc>
        <w:tc>
          <w:tcPr>
            <w:tcW w:w="618" w:type="pct"/>
            <w:vAlign w:val="center"/>
          </w:tcPr>
          <w:p w14:paraId="7E46B7D6" w14:textId="00FC807B" w:rsidR="00DD5B7A" w:rsidRPr="00781112" w:rsidRDefault="00DD5B7A" w:rsidP="00827FF4">
            <w:pPr>
              <w:jc w:val="center"/>
              <w:rPr>
                <w:rFonts w:cs="Arial"/>
                <w:color w:val="000000" w:themeColor="text1"/>
                <w:szCs w:val="16"/>
              </w:rPr>
            </w:pPr>
            <w:r w:rsidRPr="00781112">
              <w:rPr>
                <w:rFonts w:cs="Arial"/>
                <w:color w:val="000000" w:themeColor="text1"/>
                <w:szCs w:val="16"/>
              </w:rPr>
              <w:t>23.00</w:t>
            </w:r>
          </w:p>
        </w:tc>
        <w:tc>
          <w:tcPr>
            <w:tcW w:w="618" w:type="pct"/>
            <w:vAlign w:val="center"/>
          </w:tcPr>
          <w:p w14:paraId="7A079196" w14:textId="4665429A" w:rsidR="00DD5B7A" w:rsidRPr="00781112" w:rsidRDefault="00DD5B7A" w:rsidP="00827FF4">
            <w:pPr>
              <w:jc w:val="center"/>
              <w:rPr>
                <w:rFonts w:cs="Arial"/>
                <w:color w:val="000000" w:themeColor="text1"/>
                <w:szCs w:val="16"/>
              </w:rPr>
            </w:pPr>
            <w:r w:rsidRPr="00781112">
              <w:rPr>
                <w:rFonts w:cs="Arial"/>
                <w:color w:val="000000" w:themeColor="text1"/>
                <w:szCs w:val="16"/>
              </w:rPr>
              <w:t>22.00</w:t>
            </w:r>
          </w:p>
        </w:tc>
        <w:tc>
          <w:tcPr>
            <w:tcW w:w="618" w:type="pct"/>
            <w:vAlign w:val="center"/>
          </w:tcPr>
          <w:p w14:paraId="0F6929A5" w14:textId="0FD4F063" w:rsidR="00DD5B7A" w:rsidRPr="00781112" w:rsidRDefault="00DD5B7A" w:rsidP="00827FF4">
            <w:pPr>
              <w:jc w:val="center"/>
              <w:rPr>
                <w:rFonts w:cs="Arial"/>
                <w:color w:val="000000" w:themeColor="text1"/>
                <w:szCs w:val="16"/>
              </w:rPr>
            </w:pPr>
            <w:r w:rsidRPr="00781112">
              <w:rPr>
                <w:rFonts w:cs="Arial"/>
                <w:color w:val="000000" w:themeColor="text1"/>
                <w:szCs w:val="16"/>
              </w:rPr>
              <w:t>21.00</w:t>
            </w:r>
          </w:p>
        </w:tc>
      </w:tr>
      <w:tr w:rsidR="00DD5B7A" w:rsidRPr="00781112" w14:paraId="109FA148" w14:textId="77777777" w:rsidTr="00E95FBF">
        <w:tc>
          <w:tcPr>
            <w:tcW w:w="415" w:type="pct"/>
            <w:shd w:val="clear" w:color="auto" w:fill="auto"/>
            <w:vAlign w:val="center"/>
          </w:tcPr>
          <w:p w14:paraId="5CAAC2A8"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1DFAA13E"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 &lt;=</w:t>
            </w:r>
          </w:p>
        </w:tc>
        <w:tc>
          <w:tcPr>
            <w:tcW w:w="542" w:type="pct"/>
            <w:shd w:val="clear" w:color="auto" w:fill="auto"/>
            <w:vAlign w:val="center"/>
          </w:tcPr>
          <w:p w14:paraId="330884D1" w14:textId="3ED7AA15"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8</w:t>
            </w:r>
          </w:p>
        </w:tc>
        <w:tc>
          <w:tcPr>
            <w:tcW w:w="618" w:type="pct"/>
            <w:shd w:val="clear" w:color="auto" w:fill="auto"/>
            <w:vAlign w:val="center"/>
          </w:tcPr>
          <w:p w14:paraId="68DC0FBA" w14:textId="3776550F" w:rsidR="00DD5B7A" w:rsidRPr="00781112" w:rsidRDefault="00DD5B7A" w:rsidP="00827FF4">
            <w:pPr>
              <w:jc w:val="center"/>
              <w:rPr>
                <w:rFonts w:cs="Arial"/>
                <w:color w:val="000000" w:themeColor="text1"/>
                <w:szCs w:val="16"/>
              </w:rPr>
            </w:pPr>
            <w:r w:rsidRPr="00781112">
              <w:rPr>
                <w:rFonts w:cs="Arial"/>
                <w:color w:val="000000" w:themeColor="text1"/>
                <w:szCs w:val="16"/>
              </w:rPr>
              <w:t>34.71</w:t>
            </w:r>
          </w:p>
        </w:tc>
        <w:tc>
          <w:tcPr>
            <w:tcW w:w="618" w:type="pct"/>
            <w:vAlign w:val="center"/>
          </w:tcPr>
          <w:p w14:paraId="5D544F8D" w14:textId="7D5BE3EF" w:rsidR="00DD5B7A" w:rsidRPr="00781112" w:rsidRDefault="00DD5B7A" w:rsidP="00827FF4">
            <w:pPr>
              <w:jc w:val="center"/>
              <w:rPr>
                <w:rFonts w:cs="Arial"/>
                <w:color w:val="000000" w:themeColor="text1"/>
                <w:szCs w:val="16"/>
              </w:rPr>
            </w:pPr>
            <w:r w:rsidRPr="00781112">
              <w:rPr>
                <w:rFonts w:cs="Arial"/>
                <w:color w:val="000000" w:themeColor="text1"/>
                <w:szCs w:val="16"/>
              </w:rPr>
              <w:t>34.00</w:t>
            </w:r>
          </w:p>
        </w:tc>
        <w:tc>
          <w:tcPr>
            <w:tcW w:w="618" w:type="pct"/>
            <w:vAlign w:val="center"/>
          </w:tcPr>
          <w:p w14:paraId="067CAD2B" w14:textId="5DA2AE3C" w:rsidR="00DD5B7A" w:rsidRPr="00781112" w:rsidRDefault="00DD5B7A" w:rsidP="00827FF4">
            <w:pPr>
              <w:jc w:val="center"/>
              <w:rPr>
                <w:rFonts w:cs="Arial"/>
                <w:color w:val="000000" w:themeColor="text1"/>
                <w:szCs w:val="16"/>
              </w:rPr>
            </w:pPr>
            <w:r w:rsidRPr="00781112">
              <w:rPr>
                <w:rFonts w:cs="Arial"/>
                <w:color w:val="000000" w:themeColor="text1"/>
                <w:szCs w:val="16"/>
              </w:rPr>
              <w:t>33.00</w:t>
            </w:r>
          </w:p>
        </w:tc>
        <w:tc>
          <w:tcPr>
            <w:tcW w:w="618" w:type="pct"/>
            <w:vAlign w:val="center"/>
          </w:tcPr>
          <w:p w14:paraId="780BEF08" w14:textId="2245CB58" w:rsidR="00DD5B7A" w:rsidRPr="00781112" w:rsidRDefault="00DD5B7A" w:rsidP="00827FF4">
            <w:pPr>
              <w:jc w:val="center"/>
              <w:rPr>
                <w:rFonts w:cs="Arial"/>
                <w:color w:val="000000" w:themeColor="text1"/>
                <w:szCs w:val="16"/>
              </w:rPr>
            </w:pPr>
            <w:r w:rsidRPr="00781112">
              <w:rPr>
                <w:rFonts w:cs="Arial"/>
                <w:color w:val="000000" w:themeColor="text1"/>
                <w:szCs w:val="16"/>
              </w:rPr>
              <w:t>32.00</w:t>
            </w:r>
          </w:p>
        </w:tc>
        <w:tc>
          <w:tcPr>
            <w:tcW w:w="618" w:type="pct"/>
            <w:vAlign w:val="center"/>
          </w:tcPr>
          <w:p w14:paraId="7CDE10BF" w14:textId="33273B74" w:rsidR="00DD5B7A" w:rsidRPr="00781112" w:rsidRDefault="00DD5B7A" w:rsidP="00827FF4">
            <w:pPr>
              <w:jc w:val="center"/>
              <w:rPr>
                <w:rFonts w:cs="Arial"/>
                <w:color w:val="000000" w:themeColor="text1"/>
                <w:szCs w:val="16"/>
              </w:rPr>
            </w:pPr>
            <w:r w:rsidRPr="00781112">
              <w:rPr>
                <w:rFonts w:cs="Arial"/>
                <w:color w:val="000000" w:themeColor="text1"/>
                <w:szCs w:val="16"/>
              </w:rPr>
              <w:t>31.00</w:t>
            </w:r>
          </w:p>
        </w:tc>
        <w:tc>
          <w:tcPr>
            <w:tcW w:w="618" w:type="pct"/>
            <w:vAlign w:val="center"/>
          </w:tcPr>
          <w:p w14:paraId="6E355F8D" w14:textId="15BCA2D6" w:rsidR="00DD5B7A" w:rsidRPr="00781112" w:rsidRDefault="00DD5B7A" w:rsidP="00827FF4">
            <w:pPr>
              <w:jc w:val="center"/>
              <w:rPr>
                <w:rFonts w:cs="Arial"/>
                <w:color w:val="000000" w:themeColor="text1"/>
                <w:szCs w:val="16"/>
              </w:rPr>
            </w:pPr>
            <w:r w:rsidRPr="00781112">
              <w:rPr>
                <w:rFonts w:cs="Arial"/>
                <w:color w:val="000000" w:themeColor="text1"/>
                <w:szCs w:val="16"/>
              </w:rPr>
              <w:t>30.00</w:t>
            </w:r>
          </w:p>
        </w:tc>
      </w:tr>
      <w:tr w:rsidR="00DD5B7A" w:rsidRPr="00781112" w14:paraId="736D24EA" w14:textId="77777777" w:rsidTr="00E95FBF">
        <w:tc>
          <w:tcPr>
            <w:tcW w:w="415" w:type="pct"/>
            <w:shd w:val="clear" w:color="auto" w:fill="auto"/>
            <w:vAlign w:val="center"/>
          </w:tcPr>
          <w:p w14:paraId="56FB00C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76599FEA"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 &lt;=</w:t>
            </w:r>
          </w:p>
        </w:tc>
        <w:tc>
          <w:tcPr>
            <w:tcW w:w="542" w:type="pct"/>
            <w:shd w:val="clear" w:color="auto" w:fill="auto"/>
            <w:vAlign w:val="center"/>
          </w:tcPr>
          <w:p w14:paraId="6758DB1A" w14:textId="51D63552"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HS</w:t>
            </w:r>
          </w:p>
        </w:tc>
        <w:tc>
          <w:tcPr>
            <w:tcW w:w="618" w:type="pct"/>
            <w:shd w:val="clear" w:color="auto" w:fill="auto"/>
            <w:vAlign w:val="center"/>
          </w:tcPr>
          <w:p w14:paraId="56DA6177" w14:textId="20AF4748" w:rsidR="00DD5B7A" w:rsidRPr="00781112" w:rsidRDefault="00DD5B7A" w:rsidP="00827FF4">
            <w:pPr>
              <w:jc w:val="center"/>
              <w:rPr>
                <w:rFonts w:cs="Arial"/>
                <w:color w:val="000000" w:themeColor="text1"/>
                <w:szCs w:val="16"/>
              </w:rPr>
            </w:pPr>
            <w:r w:rsidRPr="00781112">
              <w:rPr>
                <w:rFonts w:cs="Arial"/>
                <w:color w:val="000000" w:themeColor="text1"/>
                <w:szCs w:val="16"/>
              </w:rPr>
              <w:t>33.50</w:t>
            </w:r>
          </w:p>
        </w:tc>
        <w:tc>
          <w:tcPr>
            <w:tcW w:w="618" w:type="pct"/>
            <w:vAlign w:val="center"/>
          </w:tcPr>
          <w:p w14:paraId="12D9F716" w14:textId="7A56543C" w:rsidR="00DD5B7A" w:rsidRPr="00781112" w:rsidRDefault="00DD5B7A" w:rsidP="00827FF4">
            <w:pPr>
              <w:jc w:val="center"/>
              <w:rPr>
                <w:rFonts w:cs="Arial"/>
                <w:color w:val="000000" w:themeColor="text1"/>
                <w:szCs w:val="16"/>
              </w:rPr>
            </w:pPr>
            <w:r w:rsidRPr="00781112">
              <w:rPr>
                <w:rFonts w:cs="Arial"/>
                <w:color w:val="000000" w:themeColor="text1"/>
                <w:szCs w:val="16"/>
              </w:rPr>
              <w:t>33.00</w:t>
            </w:r>
          </w:p>
        </w:tc>
        <w:tc>
          <w:tcPr>
            <w:tcW w:w="618" w:type="pct"/>
            <w:vAlign w:val="center"/>
          </w:tcPr>
          <w:p w14:paraId="4EE8CD33" w14:textId="2A4DD9F9" w:rsidR="00DD5B7A" w:rsidRPr="00781112" w:rsidRDefault="00DD5B7A" w:rsidP="00827FF4">
            <w:pPr>
              <w:jc w:val="center"/>
              <w:rPr>
                <w:rFonts w:cs="Arial"/>
                <w:color w:val="000000" w:themeColor="text1"/>
                <w:szCs w:val="16"/>
              </w:rPr>
            </w:pPr>
            <w:r w:rsidRPr="00781112">
              <w:rPr>
                <w:rFonts w:cs="Arial"/>
                <w:color w:val="000000" w:themeColor="text1"/>
                <w:szCs w:val="16"/>
              </w:rPr>
              <w:t>32.00</w:t>
            </w:r>
          </w:p>
        </w:tc>
        <w:tc>
          <w:tcPr>
            <w:tcW w:w="618" w:type="pct"/>
            <w:vAlign w:val="center"/>
          </w:tcPr>
          <w:p w14:paraId="5414FEEF" w14:textId="05CDB931" w:rsidR="00DD5B7A" w:rsidRPr="00781112" w:rsidRDefault="00DD5B7A" w:rsidP="00827FF4">
            <w:pPr>
              <w:jc w:val="center"/>
              <w:rPr>
                <w:rFonts w:cs="Arial"/>
                <w:color w:val="000000" w:themeColor="text1"/>
                <w:szCs w:val="16"/>
              </w:rPr>
            </w:pPr>
            <w:r w:rsidRPr="00781112">
              <w:rPr>
                <w:rFonts w:cs="Arial"/>
                <w:color w:val="000000" w:themeColor="text1"/>
                <w:szCs w:val="16"/>
              </w:rPr>
              <w:t>31.00</w:t>
            </w:r>
          </w:p>
        </w:tc>
        <w:tc>
          <w:tcPr>
            <w:tcW w:w="618" w:type="pct"/>
            <w:vAlign w:val="center"/>
          </w:tcPr>
          <w:p w14:paraId="4484F5C2" w14:textId="609E66AA" w:rsidR="00DD5B7A" w:rsidRPr="00781112" w:rsidRDefault="00DD5B7A" w:rsidP="00827FF4">
            <w:pPr>
              <w:jc w:val="center"/>
              <w:rPr>
                <w:rFonts w:cs="Arial"/>
                <w:color w:val="000000" w:themeColor="text1"/>
                <w:szCs w:val="16"/>
              </w:rPr>
            </w:pPr>
            <w:r w:rsidRPr="00781112">
              <w:rPr>
                <w:rFonts w:cs="Arial"/>
                <w:color w:val="000000" w:themeColor="text1"/>
                <w:szCs w:val="16"/>
              </w:rPr>
              <w:t>30.00</w:t>
            </w:r>
          </w:p>
        </w:tc>
        <w:tc>
          <w:tcPr>
            <w:tcW w:w="618" w:type="pct"/>
            <w:vAlign w:val="center"/>
          </w:tcPr>
          <w:p w14:paraId="3BD4F2A3" w14:textId="11A34A06" w:rsidR="00DD5B7A" w:rsidRPr="00781112" w:rsidRDefault="00DD5B7A" w:rsidP="00827FF4">
            <w:pPr>
              <w:jc w:val="center"/>
              <w:rPr>
                <w:rFonts w:cs="Arial"/>
                <w:color w:val="000000" w:themeColor="text1"/>
                <w:szCs w:val="16"/>
              </w:rPr>
            </w:pPr>
            <w:r w:rsidRPr="00781112">
              <w:rPr>
                <w:rFonts w:cs="Arial"/>
                <w:color w:val="000000" w:themeColor="text1"/>
                <w:szCs w:val="16"/>
              </w:rPr>
              <w:t>29.00</w:t>
            </w:r>
          </w:p>
        </w:tc>
      </w:tr>
      <w:tr w:rsidR="00DD5B7A" w:rsidRPr="00781112" w14:paraId="311AB0DD" w14:textId="77777777" w:rsidTr="00E95FBF">
        <w:tc>
          <w:tcPr>
            <w:tcW w:w="415" w:type="pct"/>
            <w:shd w:val="clear" w:color="auto" w:fill="auto"/>
            <w:vAlign w:val="center"/>
          </w:tcPr>
          <w:p w14:paraId="3D2E0CB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2AAA6495"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 &lt;=</w:t>
            </w:r>
          </w:p>
        </w:tc>
        <w:tc>
          <w:tcPr>
            <w:tcW w:w="542" w:type="pct"/>
            <w:shd w:val="clear" w:color="auto" w:fill="auto"/>
            <w:vAlign w:val="center"/>
          </w:tcPr>
          <w:p w14:paraId="65E16006" w14:textId="0FBAD82F"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4</w:t>
            </w:r>
          </w:p>
        </w:tc>
        <w:tc>
          <w:tcPr>
            <w:tcW w:w="618" w:type="pct"/>
            <w:shd w:val="clear" w:color="auto" w:fill="auto"/>
            <w:vAlign w:val="center"/>
          </w:tcPr>
          <w:p w14:paraId="122DB35A" w14:textId="50E48575" w:rsidR="00DD5B7A" w:rsidRPr="00781112" w:rsidRDefault="00DD5B7A" w:rsidP="00827FF4">
            <w:pPr>
              <w:jc w:val="center"/>
              <w:rPr>
                <w:rFonts w:cs="Arial"/>
                <w:color w:val="000000" w:themeColor="text1"/>
                <w:szCs w:val="16"/>
              </w:rPr>
            </w:pPr>
            <w:r w:rsidRPr="00781112">
              <w:rPr>
                <w:rFonts w:cs="Arial"/>
                <w:color w:val="000000" w:themeColor="text1"/>
                <w:szCs w:val="16"/>
              </w:rPr>
              <w:t>19.50</w:t>
            </w:r>
          </w:p>
        </w:tc>
        <w:tc>
          <w:tcPr>
            <w:tcW w:w="618" w:type="pct"/>
            <w:vAlign w:val="center"/>
          </w:tcPr>
          <w:p w14:paraId="7E46501E" w14:textId="6CB1A41D" w:rsidR="00DD5B7A" w:rsidRPr="00781112" w:rsidRDefault="00DD5B7A" w:rsidP="00827FF4">
            <w:pPr>
              <w:jc w:val="center"/>
              <w:rPr>
                <w:rFonts w:cs="Arial"/>
                <w:color w:val="000000" w:themeColor="text1"/>
                <w:szCs w:val="16"/>
              </w:rPr>
            </w:pPr>
            <w:r w:rsidRPr="00781112">
              <w:rPr>
                <w:rFonts w:cs="Arial"/>
                <w:color w:val="000000" w:themeColor="text1"/>
                <w:szCs w:val="16"/>
              </w:rPr>
              <w:t>19.00</w:t>
            </w:r>
          </w:p>
        </w:tc>
        <w:tc>
          <w:tcPr>
            <w:tcW w:w="618" w:type="pct"/>
            <w:vAlign w:val="center"/>
          </w:tcPr>
          <w:p w14:paraId="6A7C9997" w14:textId="58A4736A" w:rsidR="00DD5B7A" w:rsidRPr="00781112" w:rsidRDefault="00DD5B7A" w:rsidP="00827FF4">
            <w:pPr>
              <w:jc w:val="center"/>
              <w:rPr>
                <w:rFonts w:cs="Arial"/>
                <w:color w:val="000000" w:themeColor="text1"/>
                <w:szCs w:val="16"/>
              </w:rPr>
            </w:pPr>
            <w:r w:rsidRPr="00781112">
              <w:rPr>
                <w:rFonts w:cs="Arial"/>
                <w:color w:val="000000" w:themeColor="text1"/>
                <w:szCs w:val="16"/>
              </w:rPr>
              <w:t>18.00</w:t>
            </w:r>
          </w:p>
        </w:tc>
        <w:tc>
          <w:tcPr>
            <w:tcW w:w="618" w:type="pct"/>
            <w:vAlign w:val="center"/>
          </w:tcPr>
          <w:p w14:paraId="491D1816" w14:textId="09E4A313" w:rsidR="00DD5B7A" w:rsidRPr="00781112" w:rsidRDefault="00DD5B7A" w:rsidP="00827FF4">
            <w:pPr>
              <w:jc w:val="center"/>
              <w:rPr>
                <w:rFonts w:cs="Arial"/>
                <w:color w:val="000000" w:themeColor="text1"/>
                <w:szCs w:val="16"/>
              </w:rPr>
            </w:pPr>
            <w:r w:rsidRPr="00781112">
              <w:rPr>
                <w:rFonts w:cs="Arial"/>
                <w:color w:val="000000" w:themeColor="text1"/>
                <w:szCs w:val="16"/>
              </w:rPr>
              <w:t>17.00</w:t>
            </w:r>
          </w:p>
        </w:tc>
        <w:tc>
          <w:tcPr>
            <w:tcW w:w="618" w:type="pct"/>
            <w:vAlign w:val="center"/>
          </w:tcPr>
          <w:p w14:paraId="7C31E2D9" w14:textId="6B280022" w:rsidR="00DD5B7A" w:rsidRPr="00781112" w:rsidRDefault="00DD5B7A" w:rsidP="00827FF4">
            <w:pPr>
              <w:jc w:val="center"/>
              <w:rPr>
                <w:rFonts w:cs="Arial"/>
                <w:color w:val="000000" w:themeColor="text1"/>
                <w:szCs w:val="16"/>
              </w:rPr>
            </w:pPr>
            <w:r w:rsidRPr="00781112">
              <w:rPr>
                <w:rFonts w:cs="Arial"/>
                <w:color w:val="000000" w:themeColor="text1"/>
                <w:szCs w:val="16"/>
              </w:rPr>
              <w:t>16.00</w:t>
            </w:r>
          </w:p>
        </w:tc>
        <w:tc>
          <w:tcPr>
            <w:tcW w:w="618" w:type="pct"/>
            <w:vAlign w:val="center"/>
          </w:tcPr>
          <w:p w14:paraId="20D89D63" w14:textId="498D5E44" w:rsidR="00DD5B7A" w:rsidRPr="00781112" w:rsidRDefault="00DD5B7A" w:rsidP="00827FF4">
            <w:pPr>
              <w:jc w:val="center"/>
              <w:rPr>
                <w:rFonts w:cs="Arial"/>
                <w:color w:val="000000" w:themeColor="text1"/>
                <w:szCs w:val="16"/>
              </w:rPr>
            </w:pPr>
            <w:r w:rsidRPr="00781112">
              <w:rPr>
                <w:rFonts w:cs="Arial"/>
                <w:color w:val="000000" w:themeColor="text1"/>
                <w:szCs w:val="16"/>
              </w:rPr>
              <w:t>15.00</w:t>
            </w:r>
          </w:p>
        </w:tc>
      </w:tr>
      <w:tr w:rsidR="00DD5B7A" w:rsidRPr="00781112" w14:paraId="1F14A6A0" w14:textId="77777777" w:rsidTr="00E95FBF">
        <w:tc>
          <w:tcPr>
            <w:tcW w:w="415" w:type="pct"/>
            <w:shd w:val="clear" w:color="auto" w:fill="auto"/>
            <w:vAlign w:val="center"/>
          </w:tcPr>
          <w:p w14:paraId="67FFD637"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5CC9E434"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 &lt;=</w:t>
            </w:r>
          </w:p>
        </w:tc>
        <w:tc>
          <w:tcPr>
            <w:tcW w:w="542" w:type="pct"/>
            <w:shd w:val="clear" w:color="auto" w:fill="auto"/>
            <w:vAlign w:val="center"/>
          </w:tcPr>
          <w:p w14:paraId="48449221" w14:textId="1DE29BDC"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8</w:t>
            </w:r>
          </w:p>
        </w:tc>
        <w:tc>
          <w:tcPr>
            <w:tcW w:w="618" w:type="pct"/>
            <w:shd w:val="clear" w:color="auto" w:fill="auto"/>
            <w:vAlign w:val="center"/>
          </w:tcPr>
          <w:p w14:paraId="09A6E3C5" w14:textId="2E8BFD65" w:rsidR="00DD5B7A" w:rsidRPr="00781112" w:rsidRDefault="00DD5B7A" w:rsidP="00827FF4">
            <w:pPr>
              <w:jc w:val="center"/>
              <w:rPr>
                <w:rFonts w:cs="Arial"/>
                <w:color w:val="000000" w:themeColor="text1"/>
                <w:szCs w:val="16"/>
              </w:rPr>
            </w:pPr>
            <w:r w:rsidRPr="00781112">
              <w:rPr>
                <w:rFonts w:cs="Arial"/>
                <w:color w:val="000000" w:themeColor="text1"/>
                <w:szCs w:val="16"/>
              </w:rPr>
              <w:t>22.00</w:t>
            </w:r>
          </w:p>
        </w:tc>
        <w:tc>
          <w:tcPr>
            <w:tcW w:w="618" w:type="pct"/>
            <w:vAlign w:val="center"/>
          </w:tcPr>
          <w:p w14:paraId="627C9FA2" w14:textId="428379CE" w:rsidR="00DD5B7A" w:rsidRPr="00781112" w:rsidRDefault="00DD5B7A" w:rsidP="00827FF4">
            <w:pPr>
              <w:jc w:val="center"/>
              <w:rPr>
                <w:rFonts w:cs="Arial"/>
                <w:color w:val="000000" w:themeColor="text1"/>
                <w:szCs w:val="16"/>
              </w:rPr>
            </w:pPr>
            <w:r w:rsidRPr="00781112">
              <w:rPr>
                <w:rFonts w:cs="Arial"/>
                <w:color w:val="000000" w:themeColor="text1"/>
                <w:szCs w:val="16"/>
              </w:rPr>
              <w:t>21.00</w:t>
            </w:r>
          </w:p>
        </w:tc>
        <w:tc>
          <w:tcPr>
            <w:tcW w:w="618" w:type="pct"/>
            <w:vAlign w:val="center"/>
          </w:tcPr>
          <w:p w14:paraId="6204E3FD" w14:textId="081B5532" w:rsidR="00DD5B7A" w:rsidRPr="00781112" w:rsidRDefault="00DD5B7A" w:rsidP="00827FF4">
            <w:pPr>
              <w:jc w:val="center"/>
              <w:rPr>
                <w:rFonts w:cs="Arial"/>
                <w:color w:val="000000" w:themeColor="text1"/>
                <w:szCs w:val="16"/>
              </w:rPr>
            </w:pPr>
            <w:r w:rsidRPr="00781112">
              <w:rPr>
                <w:rFonts w:cs="Arial"/>
                <w:color w:val="000000" w:themeColor="text1"/>
                <w:szCs w:val="16"/>
              </w:rPr>
              <w:t>20.00</w:t>
            </w:r>
          </w:p>
        </w:tc>
        <w:tc>
          <w:tcPr>
            <w:tcW w:w="618" w:type="pct"/>
            <w:vAlign w:val="center"/>
          </w:tcPr>
          <w:p w14:paraId="70AB4E74" w14:textId="67486BA0" w:rsidR="00DD5B7A" w:rsidRPr="00781112" w:rsidRDefault="00DD5B7A" w:rsidP="00827FF4">
            <w:pPr>
              <w:jc w:val="center"/>
              <w:rPr>
                <w:rFonts w:cs="Arial"/>
                <w:color w:val="000000" w:themeColor="text1"/>
                <w:szCs w:val="16"/>
              </w:rPr>
            </w:pPr>
            <w:r w:rsidRPr="00781112">
              <w:rPr>
                <w:rFonts w:cs="Arial"/>
                <w:color w:val="000000" w:themeColor="text1"/>
                <w:szCs w:val="16"/>
              </w:rPr>
              <w:t>19.00</w:t>
            </w:r>
          </w:p>
        </w:tc>
        <w:tc>
          <w:tcPr>
            <w:tcW w:w="618" w:type="pct"/>
            <w:vAlign w:val="center"/>
          </w:tcPr>
          <w:p w14:paraId="76EDA768" w14:textId="58627E7B" w:rsidR="00DD5B7A" w:rsidRPr="00781112" w:rsidRDefault="00DD5B7A" w:rsidP="00827FF4">
            <w:pPr>
              <w:jc w:val="center"/>
              <w:rPr>
                <w:rFonts w:cs="Arial"/>
                <w:color w:val="000000" w:themeColor="text1"/>
                <w:szCs w:val="16"/>
              </w:rPr>
            </w:pPr>
            <w:r w:rsidRPr="00781112">
              <w:rPr>
                <w:rFonts w:cs="Arial"/>
                <w:color w:val="000000" w:themeColor="text1"/>
                <w:szCs w:val="16"/>
              </w:rPr>
              <w:t>18.00</w:t>
            </w:r>
          </w:p>
        </w:tc>
        <w:tc>
          <w:tcPr>
            <w:tcW w:w="618" w:type="pct"/>
            <w:vAlign w:val="center"/>
          </w:tcPr>
          <w:p w14:paraId="163C36F2" w14:textId="38E4F837" w:rsidR="00DD5B7A" w:rsidRPr="00781112" w:rsidRDefault="00DD5B7A" w:rsidP="00827FF4">
            <w:pPr>
              <w:jc w:val="center"/>
              <w:rPr>
                <w:rFonts w:cs="Arial"/>
                <w:color w:val="000000" w:themeColor="text1"/>
                <w:szCs w:val="16"/>
              </w:rPr>
            </w:pPr>
            <w:r w:rsidRPr="00781112">
              <w:rPr>
                <w:rFonts w:cs="Arial"/>
                <w:color w:val="000000" w:themeColor="text1"/>
                <w:szCs w:val="16"/>
              </w:rPr>
              <w:t>17.00</w:t>
            </w:r>
          </w:p>
        </w:tc>
      </w:tr>
      <w:tr w:rsidR="00DD5B7A" w:rsidRPr="00781112" w14:paraId="60CD7006" w14:textId="77777777" w:rsidTr="00E95FBF">
        <w:tc>
          <w:tcPr>
            <w:tcW w:w="415" w:type="pct"/>
            <w:shd w:val="clear" w:color="auto" w:fill="auto"/>
            <w:vAlign w:val="center"/>
          </w:tcPr>
          <w:p w14:paraId="76491141"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6C27CF3D"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 &lt;=</w:t>
            </w:r>
          </w:p>
        </w:tc>
        <w:tc>
          <w:tcPr>
            <w:tcW w:w="542" w:type="pct"/>
            <w:shd w:val="clear" w:color="auto" w:fill="auto"/>
            <w:vAlign w:val="center"/>
          </w:tcPr>
          <w:p w14:paraId="4E465544" w14:textId="4F893AB5"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HS</w:t>
            </w:r>
          </w:p>
        </w:tc>
        <w:tc>
          <w:tcPr>
            <w:tcW w:w="618" w:type="pct"/>
            <w:shd w:val="clear" w:color="auto" w:fill="auto"/>
            <w:vAlign w:val="center"/>
          </w:tcPr>
          <w:p w14:paraId="7B41E026" w14:textId="6E6F2C10" w:rsidR="00DD5B7A" w:rsidRPr="00781112" w:rsidRDefault="00DD5B7A" w:rsidP="00827FF4">
            <w:pPr>
              <w:jc w:val="center"/>
              <w:rPr>
                <w:rFonts w:cs="Arial"/>
                <w:color w:val="000000" w:themeColor="text1"/>
                <w:szCs w:val="16"/>
              </w:rPr>
            </w:pPr>
            <w:r w:rsidRPr="00781112">
              <w:rPr>
                <w:rFonts w:cs="Arial"/>
                <w:color w:val="000000" w:themeColor="text1"/>
                <w:szCs w:val="16"/>
              </w:rPr>
              <w:t>26.25</w:t>
            </w:r>
          </w:p>
        </w:tc>
        <w:tc>
          <w:tcPr>
            <w:tcW w:w="618" w:type="pct"/>
            <w:vAlign w:val="center"/>
          </w:tcPr>
          <w:p w14:paraId="294118D4" w14:textId="54195603" w:rsidR="00DD5B7A" w:rsidRPr="00781112" w:rsidRDefault="00DD5B7A" w:rsidP="00827FF4">
            <w:pPr>
              <w:jc w:val="center"/>
              <w:rPr>
                <w:rFonts w:cs="Arial"/>
                <w:color w:val="000000" w:themeColor="text1"/>
                <w:szCs w:val="16"/>
              </w:rPr>
            </w:pPr>
            <w:r w:rsidRPr="00781112">
              <w:rPr>
                <w:rFonts w:cs="Arial"/>
                <w:color w:val="000000" w:themeColor="text1"/>
                <w:szCs w:val="16"/>
              </w:rPr>
              <w:t>26.00</w:t>
            </w:r>
          </w:p>
        </w:tc>
        <w:tc>
          <w:tcPr>
            <w:tcW w:w="618" w:type="pct"/>
            <w:vAlign w:val="center"/>
          </w:tcPr>
          <w:p w14:paraId="41623CC8" w14:textId="4F75F535" w:rsidR="00DD5B7A" w:rsidRPr="00781112" w:rsidRDefault="00DD5B7A" w:rsidP="00827FF4">
            <w:pPr>
              <w:jc w:val="center"/>
              <w:rPr>
                <w:rFonts w:cs="Arial"/>
                <w:color w:val="000000" w:themeColor="text1"/>
                <w:szCs w:val="16"/>
              </w:rPr>
            </w:pPr>
            <w:r w:rsidRPr="00781112">
              <w:rPr>
                <w:rFonts w:cs="Arial"/>
                <w:color w:val="000000" w:themeColor="text1"/>
                <w:szCs w:val="16"/>
              </w:rPr>
              <w:t>25.00</w:t>
            </w:r>
          </w:p>
        </w:tc>
        <w:tc>
          <w:tcPr>
            <w:tcW w:w="618" w:type="pct"/>
            <w:vAlign w:val="center"/>
          </w:tcPr>
          <w:p w14:paraId="70C28E3C" w14:textId="4F91601C" w:rsidR="00DD5B7A" w:rsidRPr="00781112" w:rsidRDefault="00DD5B7A" w:rsidP="00827FF4">
            <w:pPr>
              <w:jc w:val="center"/>
              <w:rPr>
                <w:rFonts w:cs="Arial"/>
                <w:color w:val="000000" w:themeColor="text1"/>
                <w:szCs w:val="16"/>
              </w:rPr>
            </w:pPr>
            <w:r w:rsidRPr="00781112">
              <w:rPr>
                <w:rFonts w:cs="Arial"/>
                <w:color w:val="000000" w:themeColor="text1"/>
                <w:szCs w:val="16"/>
              </w:rPr>
              <w:t>24.00</w:t>
            </w:r>
          </w:p>
        </w:tc>
        <w:tc>
          <w:tcPr>
            <w:tcW w:w="618" w:type="pct"/>
            <w:vAlign w:val="center"/>
          </w:tcPr>
          <w:p w14:paraId="72D77BDF" w14:textId="662A73D4" w:rsidR="00DD5B7A" w:rsidRPr="00781112" w:rsidRDefault="00DD5B7A" w:rsidP="00827FF4">
            <w:pPr>
              <w:jc w:val="center"/>
              <w:rPr>
                <w:rFonts w:cs="Arial"/>
                <w:color w:val="000000" w:themeColor="text1"/>
                <w:szCs w:val="16"/>
              </w:rPr>
            </w:pPr>
            <w:r w:rsidRPr="00781112">
              <w:rPr>
                <w:rFonts w:cs="Arial"/>
                <w:color w:val="000000" w:themeColor="text1"/>
                <w:szCs w:val="16"/>
              </w:rPr>
              <w:t>23.00</w:t>
            </w:r>
          </w:p>
        </w:tc>
        <w:tc>
          <w:tcPr>
            <w:tcW w:w="618" w:type="pct"/>
            <w:vAlign w:val="center"/>
          </w:tcPr>
          <w:p w14:paraId="4FB7FF64" w14:textId="767C83EF" w:rsidR="00DD5B7A" w:rsidRPr="00781112" w:rsidRDefault="00DD5B7A" w:rsidP="00827FF4">
            <w:pPr>
              <w:jc w:val="center"/>
              <w:rPr>
                <w:rFonts w:cs="Arial"/>
                <w:color w:val="000000" w:themeColor="text1"/>
                <w:szCs w:val="16"/>
              </w:rPr>
            </w:pPr>
            <w:r w:rsidRPr="00781112">
              <w:rPr>
                <w:rFonts w:cs="Arial"/>
                <w:color w:val="000000" w:themeColor="text1"/>
                <w:szCs w:val="16"/>
              </w:rPr>
              <w:t>22.00</w:t>
            </w:r>
          </w:p>
        </w:tc>
      </w:tr>
    </w:tbl>
    <w:p w14:paraId="05E796DD" w14:textId="77777777" w:rsidR="00DD5B7A" w:rsidRPr="00781112" w:rsidRDefault="00DD5B7A" w:rsidP="00DD5B7A">
      <w:pPr>
        <w:rPr>
          <w:b/>
          <w:color w:val="000000" w:themeColor="text1"/>
        </w:rPr>
      </w:pPr>
    </w:p>
    <w:p w14:paraId="209349EB" w14:textId="77777777" w:rsidR="00DD5B7A" w:rsidRPr="00781112" w:rsidRDefault="00DD5B7A" w:rsidP="00DD5B7A">
      <w:pPr>
        <w:rPr>
          <w:b/>
          <w:color w:val="000000" w:themeColor="text1"/>
        </w:rPr>
      </w:pPr>
      <w:r w:rsidRPr="00781112">
        <w:rPr>
          <w:b/>
          <w:color w:val="000000" w:themeColor="text1"/>
        </w:rPr>
        <w:t xml:space="preserve">Targets: Description of Stakeholder Input </w:t>
      </w:r>
    </w:p>
    <w:p w14:paraId="6369E081" w14:textId="77777777" w:rsidR="00DD5B7A" w:rsidRPr="00781112" w:rsidRDefault="00DD5B7A" w:rsidP="00DD5B7A">
      <w:pPr>
        <w:rPr>
          <w:rFonts w:cs="Arial"/>
          <w:color w:val="000000" w:themeColor="text1"/>
          <w:szCs w:val="16"/>
        </w:rPr>
      </w:pPr>
      <w:r w:rsidRPr="00781112">
        <w:rPr>
          <w:rFonts w:cs="Arial"/>
          <w:color w:val="000000" w:themeColor="text1"/>
          <w:szCs w:val="16"/>
        </w:rPr>
        <w:t>Louisiana has developed a comprehensive vision for the future of education in our state—Louisiana Believes. The driving force of this vision is that every one of Louisiana’s children should be on track to a college degree or a professional career. This inclusive vision and Louisiana’s values were apparent in the development of the SPP as we solicited and received broad stakeholder input to inform the target setting process for FFY 2020 - FFY 2025. The LDOE used three phases to develop the SPP targets for FFY 2020 - FFY 2025: 1) internal review, 2) external stakeholder feedback, and 3) Special Education Advisory Panel (SEAP) integration.</w:t>
      </w:r>
      <w:r w:rsidRPr="00781112">
        <w:rPr>
          <w:rFonts w:cs="Arial"/>
          <w:color w:val="000000" w:themeColor="text1"/>
          <w:szCs w:val="16"/>
        </w:rPr>
        <w:br/>
      </w:r>
      <w:r w:rsidRPr="00781112">
        <w:rPr>
          <w:rFonts w:cs="Arial"/>
          <w:color w:val="000000" w:themeColor="text1"/>
          <w:szCs w:val="16"/>
        </w:rPr>
        <w:br/>
        <w:t xml:space="preserve">Internal Review </w:t>
      </w:r>
      <w:r w:rsidRPr="00781112">
        <w:rPr>
          <w:rFonts w:cs="Arial"/>
          <w:color w:val="000000" w:themeColor="text1"/>
          <w:szCs w:val="16"/>
        </w:rPr>
        <w:br/>
      </w:r>
      <w:r w:rsidRPr="00781112">
        <w:rPr>
          <w:rFonts w:cs="Arial"/>
          <w:color w:val="000000" w:themeColor="text1"/>
          <w:szCs w:val="16"/>
        </w:rPr>
        <w:lastRenderedPageBreak/>
        <w:t xml:space="preserve">The LDOE's Division for Diverse Learners reviewed historical data and LDOE policies, procedures, and practices; and collaborated with internal teams to develop targets that were rigorous and attainable. </w:t>
      </w:r>
      <w:r w:rsidRPr="00781112">
        <w:rPr>
          <w:rFonts w:cs="Arial"/>
          <w:color w:val="000000" w:themeColor="text1"/>
          <w:szCs w:val="16"/>
        </w:rPr>
        <w:br/>
      </w:r>
      <w:r w:rsidRPr="00781112">
        <w:rPr>
          <w:rFonts w:cs="Arial"/>
          <w:color w:val="000000" w:themeColor="text1"/>
          <w:szCs w:val="16"/>
        </w:rPr>
        <w:br/>
        <w:t>External Stakeholder Feedback</w:t>
      </w:r>
      <w:r w:rsidRPr="00781112">
        <w:rPr>
          <w:rFonts w:cs="Arial"/>
          <w:color w:val="000000" w:themeColor="text1"/>
          <w:szCs w:val="16"/>
        </w:rPr>
        <w:br/>
        <w:t xml:space="preserve">The Division for Diverse Learners developed and executed an SPP/APR target setting engagement strategy to solicit broad stakeholder feedback on the FFY 2020 - FFY 2025 targets. The LDOE developed a State Performance Plan / Annual Performance Report Target Setting webpage on the Louisiana Believes website. The webpage contains an overview document with an explanation of each indicator, historical data for each indicator, and tables to clearly identify whether or not the State met targets for each indicator. After review of the overview document, a target setting survey was available for stakeholders to provide input on targets. </w:t>
      </w:r>
      <w:r w:rsidRPr="00781112">
        <w:rPr>
          <w:rFonts w:cs="Arial"/>
          <w:color w:val="000000" w:themeColor="text1"/>
          <w:szCs w:val="16"/>
        </w:rPr>
        <w:br/>
      </w:r>
      <w:r w:rsidRPr="00781112">
        <w:rPr>
          <w:rFonts w:cs="Arial"/>
          <w:color w:val="000000" w:themeColor="text1"/>
          <w:szCs w:val="16"/>
        </w:rPr>
        <w:br/>
        <w:t>SEAP Integration</w:t>
      </w:r>
      <w:r w:rsidRPr="00781112">
        <w:rPr>
          <w:rFonts w:cs="Arial"/>
          <w:color w:val="000000" w:themeColor="text1"/>
          <w:szCs w:val="16"/>
        </w:rPr>
        <w:br/>
        <w:t>The LDOE informed the SEAP on the target setting process at two separate meetings. LDOE provided an overview of each indicator along with historical data to SEAP members who provided input. SEAP's structure also allows for public comments, which were exercised at the meetings, providing external stakeholder feedback.</w:t>
      </w:r>
      <w:r w:rsidRPr="00781112">
        <w:rPr>
          <w:rFonts w:cs="Arial"/>
          <w:color w:val="000000" w:themeColor="text1"/>
          <w:szCs w:val="16"/>
        </w:rPr>
        <w:br/>
      </w:r>
      <w:r w:rsidRPr="00781112">
        <w:rPr>
          <w:rFonts w:cs="Arial"/>
          <w:color w:val="000000" w:themeColor="text1"/>
          <w:szCs w:val="16"/>
        </w:rPr>
        <w:br/>
        <w:t>The LDOE set targets based on feedback, historical data, and whether previous targets set were met. LDOE will continue to monitor data, targets, and changes to Indicator methodology, and may revise targets in the future, as necessary. Any revisions will incorporate stakeholder feedback, including, but not limited to, SEAP.</w:t>
      </w:r>
    </w:p>
    <w:p w14:paraId="1A8E431E" w14:textId="45368C9A" w:rsidR="00DD5B7A" w:rsidRPr="00781112" w:rsidRDefault="00DD5B7A" w:rsidP="00DD5B7A">
      <w:pPr>
        <w:rPr>
          <w:rFonts w:cs="Arial"/>
          <w:color w:val="000000" w:themeColor="text1"/>
          <w:szCs w:val="16"/>
        </w:rPr>
      </w:pPr>
    </w:p>
    <w:p w14:paraId="5EB19DE7" w14:textId="77777777" w:rsidR="00DD5B7A" w:rsidRPr="00781112" w:rsidRDefault="00DD5B7A" w:rsidP="00DD5B7A">
      <w:pPr>
        <w:spacing w:before="0" w:after="200" w:line="276" w:lineRule="auto"/>
        <w:rPr>
          <w:b/>
          <w:color w:val="000000" w:themeColor="text1"/>
        </w:rPr>
      </w:pPr>
    </w:p>
    <w:p w14:paraId="5F03961C" w14:textId="77777777" w:rsidR="00DD5B7A" w:rsidRPr="00781112" w:rsidRDefault="00DD5B7A" w:rsidP="00DD5B7A">
      <w:pPr>
        <w:rPr>
          <w:b/>
          <w:color w:val="000000" w:themeColor="text1"/>
        </w:rPr>
      </w:pPr>
      <w:r w:rsidRPr="00781112">
        <w:rPr>
          <w:b/>
          <w:color w:val="000000" w:themeColor="text1"/>
        </w:rPr>
        <w:t>FFY 2020 Data Disaggregation from EDFacts</w:t>
      </w:r>
    </w:p>
    <w:p w14:paraId="27A29F4B"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24C5C209" w14:textId="7C8C8769" w:rsidR="00DD5B7A" w:rsidRPr="00781112" w:rsidRDefault="00DD5B7A" w:rsidP="00DD5B7A">
      <w:pPr>
        <w:rPr>
          <w:rFonts w:cs="Arial"/>
          <w:color w:val="000000" w:themeColor="text1"/>
          <w:szCs w:val="16"/>
        </w:rPr>
      </w:pPr>
      <w:r w:rsidRPr="00781112">
        <w:rPr>
          <w:rFonts w:cs="Arial"/>
          <w:color w:val="000000" w:themeColor="text1"/>
          <w:szCs w:val="16"/>
        </w:rPr>
        <w:t>SY 2020-21 Assessment Data Groups - Reading (EDFacts file spec FS178; Data Group: 584)</w:t>
      </w:r>
    </w:p>
    <w:p w14:paraId="51B1992D"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54E3F3F" w14:textId="7BE38E1B" w:rsidR="00DD5B7A" w:rsidRPr="00781112" w:rsidRDefault="00DD5B7A" w:rsidP="00DD5B7A">
      <w:pPr>
        <w:rPr>
          <w:rFonts w:cs="Arial"/>
          <w:color w:val="000000" w:themeColor="text1"/>
          <w:szCs w:val="16"/>
        </w:rPr>
      </w:pPr>
      <w:r w:rsidRPr="00781112">
        <w:rPr>
          <w:rFonts w:cs="Arial"/>
          <w:color w:val="000000" w:themeColor="text1"/>
          <w:szCs w:val="16"/>
        </w:rPr>
        <w:t>03/03/2022</w:t>
      </w:r>
    </w:p>
    <w:p w14:paraId="45DD1CF1" w14:textId="21DE530C" w:rsidR="00DD5B7A" w:rsidRPr="00781112" w:rsidRDefault="00DD5B7A" w:rsidP="00DD5B7A">
      <w:pPr>
        <w:rPr>
          <w:b/>
          <w:color w:val="000000" w:themeColor="text1"/>
        </w:rPr>
      </w:pPr>
      <w:r w:rsidRPr="00781112">
        <w:rPr>
          <w:b/>
          <w:color w:val="000000" w:themeColor="text1"/>
        </w:rPr>
        <w:t>Reading Assessment Proficiency Data by Grade</w:t>
      </w:r>
    </w:p>
    <w:tbl>
      <w:tblPr>
        <w:tblStyle w:val="TableGrid"/>
        <w:tblW w:w="5000" w:type="pct"/>
        <w:tblLayout w:type="fixed"/>
        <w:tblLook w:val="04A0" w:firstRow="1" w:lastRow="0" w:firstColumn="1" w:lastColumn="0" w:noHBand="0" w:noVBand="1"/>
        <w:tblCaption w:val="B03DSSPARTDATABYGRDRLA"/>
      </w:tblPr>
      <w:tblGrid>
        <w:gridCol w:w="3775"/>
        <w:gridCol w:w="2337"/>
        <w:gridCol w:w="2339"/>
        <w:gridCol w:w="2339"/>
      </w:tblGrid>
      <w:tr w:rsidR="00847776" w:rsidRPr="00781112" w14:paraId="6DA55728" w14:textId="77777777" w:rsidTr="00E95FBF">
        <w:tc>
          <w:tcPr>
            <w:tcW w:w="1749" w:type="pct"/>
            <w:shd w:val="clear" w:color="auto" w:fill="auto"/>
          </w:tcPr>
          <w:p w14:paraId="4EAC2736" w14:textId="6924CA80"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691E68" w14:textId="255E6CD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4" w:type="pct"/>
            <w:shd w:val="clear" w:color="auto" w:fill="auto"/>
            <w:vAlign w:val="center"/>
          </w:tcPr>
          <w:p w14:paraId="04C042D1" w14:textId="5F31110D"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5ED006E5" w14:textId="47B87CA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2D3EE6" w:rsidRPr="00781112" w14:paraId="37D772D8" w14:textId="77777777" w:rsidTr="00E95FBF">
        <w:tc>
          <w:tcPr>
            <w:tcW w:w="1749" w:type="pct"/>
            <w:shd w:val="clear" w:color="auto" w:fill="auto"/>
          </w:tcPr>
          <w:p w14:paraId="7B0D7CCF" w14:textId="33D6DF72" w:rsidR="002D3EE6" w:rsidRPr="00781112" w:rsidRDefault="002D3EE6" w:rsidP="002D3EE6">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4F7A04F6" w14:textId="19D267DA" w:rsidR="002D3EE6" w:rsidRPr="00781112" w:rsidRDefault="002D3EE6" w:rsidP="002D3EE6">
            <w:pPr>
              <w:jc w:val="center"/>
              <w:rPr>
                <w:rFonts w:cs="Arial"/>
                <w:color w:val="000000" w:themeColor="text1"/>
                <w:szCs w:val="16"/>
              </w:rPr>
            </w:pPr>
            <w:r w:rsidRPr="00781112">
              <w:rPr>
                <w:rFonts w:cs="Arial"/>
                <w:color w:val="000000" w:themeColor="text1"/>
                <w:szCs w:val="16"/>
              </w:rPr>
              <w:t>48,690</w:t>
            </w:r>
          </w:p>
        </w:tc>
        <w:tc>
          <w:tcPr>
            <w:tcW w:w="1084" w:type="pct"/>
            <w:shd w:val="clear" w:color="auto" w:fill="auto"/>
            <w:vAlign w:val="center"/>
          </w:tcPr>
          <w:p w14:paraId="171D43A3" w14:textId="2BAB5EF8" w:rsidR="002D3EE6" w:rsidRPr="00781112" w:rsidRDefault="002D3EE6" w:rsidP="002D3EE6">
            <w:pPr>
              <w:jc w:val="center"/>
              <w:rPr>
                <w:rFonts w:cs="Arial"/>
                <w:color w:val="000000" w:themeColor="text1"/>
                <w:szCs w:val="16"/>
              </w:rPr>
            </w:pPr>
            <w:r w:rsidRPr="00781112">
              <w:rPr>
                <w:rFonts w:cs="Arial"/>
                <w:color w:val="000000" w:themeColor="text1"/>
                <w:szCs w:val="16"/>
              </w:rPr>
              <w:t>51,031</w:t>
            </w:r>
          </w:p>
        </w:tc>
        <w:tc>
          <w:tcPr>
            <w:tcW w:w="1084" w:type="pct"/>
            <w:shd w:val="clear" w:color="auto" w:fill="auto"/>
            <w:vAlign w:val="center"/>
          </w:tcPr>
          <w:p w14:paraId="58B877C4" w14:textId="55D5291F" w:rsidR="002D3EE6" w:rsidRPr="00781112" w:rsidRDefault="002D3EE6" w:rsidP="002D3EE6">
            <w:pPr>
              <w:jc w:val="center"/>
              <w:rPr>
                <w:rFonts w:cs="Arial"/>
                <w:color w:val="000000" w:themeColor="text1"/>
                <w:szCs w:val="16"/>
              </w:rPr>
            </w:pPr>
            <w:r w:rsidRPr="00781112">
              <w:rPr>
                <w:rFonts w:cs="Arial"/>
                <w:color w:val="000000" w:themeColor="text1"/>
                <w:szCs w:val="16"/>
              </w:rPr>
              <w:t>49,935</w:t>
            </w:r>
          </w:p>
        </w:tc>
      </w:tr>
      <w:tr w:rsidR="002D3EE6" w:rsidRPr="00781112" w14:paraId="6D2048AF" w14:textId="77777777" w:rsidTr="00E95FBF">
        <w:tc>
          <w:tcPr>
            <w:tcW w:w="1749" w:type="pct"/>
            <w:shd w:val="clear" w:color="auto" w:fill="auto"/>
          </w:tcPr>
          <w:p w14:paraId="5F5D9DBC" w14:textId="3AB6D57C" w:rsidR="002D3EE6" w:rsidRPr="00781112" w:rsidRDefault="002D3EE6" w:rsidP="002D3EE6">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25792A43" w14:textId="636F508C" w:rsidR="002D3EE6" w:rsidRPr="00781112" w:rsidRDefault="002D3EE6" w:rsidP="002D3EE6">
            <w:pPr>
              <w:jc w:val="center"/>
              <w:rPr>
                <w:rFonts w:cs="Arial"/>
                <w:color w:val="000000" w:themeColor="text1"/>
                <w:szCs w:val="16"/>
              </w:rPr>
            </w:pPr>
            <w:r w:rsidRPr="00781112">
              <w:rPr>
                <w:rFonts w:cs="Arial"/>
                <w:color w:val="000000" w:themeColor="text1"/>
                <w:szCs w:val="16"/>
              </w:rPr>
              <w:t>6,100</w:t>
            </w:r>
          </w:p>
        </w:tc>
        <w:tc>
          <w:tcPr>
            <w:tcW w:w="1084" w:type="pct"/>
            <w:shd w:val="clear" w:color="auto" w:fill="auto"/>
            <w:vAlign w:val="center"/>
          </w:tcPr>
          <w:p w14:paraId="34571492" w14:textId="6F3F5797" w:rsidR="002D3EE6" w:rsidRPr="00781112" w:rsidRDefault="002D3EE6" w:rsidP="002D3EE6">
            <w:pPr>
              <w:jc w:val="center"/>
              <w:rPr>
                <w:rFonts w:cs="Arial"/>
                <w:color w:val="000000" w:themeColor="text1"/>
                <w:szCs w:val="16"/>
              </w:rPr>
            </w:pPr>
            <w:r w:rsidRPr="00781112">
              <w:rPr>
                <w:rFonts w:cs="Arial"/>
                <w:color w:val="000000" w:themeColor="text1"/>
                <w:szCs w:val="16"/>
              </w:rPr>
              <w:t>5,164</w:t>
            </w:r>
          </w:p>
        </w:tc>
        <w:tc>
          <w:tcPr>
            <w:tcW w:w="1084" w:type="pct"/>
            <w:shd w:val="clear" w:color="auto" w:fill="auto"/>
            <w:vAlign w:val="center"/>
          </w:tcPr>
          <w:p w14:paraId="0BBD02C7" w14:textId="42EBBF14" w:rsidR="002D3EE6" w:rsidRPr="00781112" w:rsidRDefault="002D3EE6" w:rsidP="002D3EE6">
            <w:pPr>
              <w:jc w:val="center"/>
              <w:rPr>
                <w:rFonts w:cs="Arial"/>
                <w:color w:val="000000" w:themeColor="text1"/>
                <w:szCs w:val="16"/>
              </w:rPr>
            </w:pPr>
            <w:r w:rsidRPr="00781112">
              <w:rPr>
                <w:rFonts w:cs="Arial"/>
                <w:color w:val="000000" w:themeColor="text1"/>
                <w:szCs w:val="16"/>
              </w:rPr>
              <w:t>4,591</w:t>
            </w:r>
          </w:p>
        </w:tc>
      </w:tr>
      <w:tr w:rsidR="002D3EE6" w:rsidRPr="00781112" w14:paraId="62D84F5E" w14:textId="77777777" w:rsidTr="00E95FBF">
        <w:tc>
          <w:tcPr>
            <w:tcW w:w="1749" w:type="pct"/>
            <w:shd w:val="clear" w:color="auto" w:fill="auto"/>
          </w:tcPr>
          <w:p w14:paraId="51DEDF27" w14:textId="69ADBF80" w:rsidR="002D3EE6" w:rsidRPr="00181070" w:rsidRDefault="002D3EE6" w:rsidP="002D3EE6">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6E23C4D0" w14:textId="690E483E" w:rsidR="002D3EE6" w:rsidRPr="00781112" w:rsidRDefault="002D3EE6" w:rsidP="002D3EE6">
            <w:pPr>
              <w:jc w:val="center"/>
              <w:rPr>
                <w:rFonts w:cs="Arial"/>
                <w:color w:val="000000" w:themeColor="text1"/>
                <w:szCs w:val="16"/>
              </w:rPr>
            </w:pPr>
            <w:r w:rsidRPr="00781112">
              <w:rPr>
                <w:rFonts w:cs="Arial"/>
                <w:color w:val="000000" w:themeColor="text1"/>
                <w:szCs w:val="16"/>
              </w:rPr>
              <w:t>18,730</w:t>
            </w:r>
          </w:p>
        </w:tc>
        <w:tc>
          <w:tcPr>
            <w:tcW w:w="1084" w:type="pct"/>
            <w:shd w:val="clear" w:color="auto" w:fill="auto"/>
            <w:vAlign w:val="center"/>
          </w:tcPr>
          <w:p w14:paraId="6D42641C" w14:textId="63F65487" w:rsidR="002D3EE6" w:rsidRPr="00781112" w:rsidRDefault="002D3EE6" w:rsidP="002D3EE6">
            <w:pPr>
              <w:jc w:val="center"/>
              <w:rPr>
                <w:rFonts w:cs="Arial"/>
                <w:color w:val="000000" w:themeColor="text1"/>
                <w:szCs w:val="16"/>
              </w:rPr>
            </w:pPr>
            <w:r w:rsidRPr="00781112">
              <w:rPr>
                <w:rFonts w:cs="Arial"/>
                <w:color w:val="000000" w:themeColor="text1"/>
                <w:szCs w:val="16"/>
              </w:rPr>
              <w:t>20,956</w:t>
            </w:r>
          </w:p>
        </w:tc>
        <w:tc>
          <w:tcPr>
            <w:tcW w:w="1084" w:type="pct"/>
            <w:shd w:val="clear" w:color="auto" w:fill="auto"/>
            <w:vAlign w:val="center"/>
          </w:tcPr>
          <w:p w14:paraId="27076C73" w14:textId="7C15AF5B" w:rsidR="002D3EE6" w:rsidRPr="00781112" w:rsidRDefault="002D3EE6" w:rsidP="002D3EE6">
            <w:pPr>
              <w:jc w:val="center"/>
              <w:rPr>
                <w:rFonts w:cs="Arial"/>
                <w:color w:val="000000" w:themeColor="text1"/>
                <w:szCs w:val="16"/>
              </w:rPr>
            </w:pPr>
            <w:r w:rsidRPr="00781112">
              <w:rPr>
                <w:rFonts w:cs="Arial"/>
                <w:color w:val="000000" w:themeColor="text1"/>
                <w:szCs w:val="16"/>
              </w:rPr>
              <w:t>19,347</w:t>
            </w:r>
          </w:p>
        </w:tc>
      </w:tr>
      <w:tr w:rsidR="002D3EE6" w:rsidRPr="00781112" w14:paraId="058A4E65" w14:textId="77777777" w:rsidTr="00E95FBF">
        <w:tc>
          <w:tcPr>
            <w:tcW w:w="1749" w:type="pct"/>
            <w:shd w:val="clear" w:color="auto" w:fill="auto"/>
          </w:tcPr>
          <w:p w14:paraId="439EF49E" w14:textId="1EC71838" w:rsidR="002D3EE6" w:rsidRPr="00181070" w:rsidRDefault="002D3EE6" w:rsidP="002D3EE6">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441B205F" w14:textId="66F540F9" w:rsidR="002D3EE6" w:rsidRPr="00781112" w:rsidRDefault="002D3EE6" w:rsidP="002D3EE6">
            <w:pPr>
              <w:jc w:val="center"/>
              <w:rPr>
                <w:rFonts w:cs="Arial"/>
                <w:color w:val="000000" w:themeColor="text1"/>
                <w:szCs w:val="16"/>
              </w:rPr>
            </w:pPr>
            <w:r w:rsidRPr="00781112">
              <w:rPr>
                <w:rFonts w:cs="Arial"/>
                <w:color w:val="000000" w:themeColor="text1"/>
                <w:szCs w:val="16"/>
              </w:rPr>
              <w:t>1,611</w:t>
            </w:r>
          </w:p>
        </w:tc>
        <w:tc>
          <w:tcPr>
            <w:tcW w:w="1084" w:type="pct"/>
            <w:shd w:val="clear" w:color="auto" w:fill="auto"/>
            <w:vAlign w:val="center"/>
          </w:tcPr>
          <w:p w14:paraId="5FB5C795" w14:textId="69CA87AA" w:rsidR="002D3EE6" w:rsidRPr="00781112" w:rsidRDefault="002D3EE6" w:rsidP="002D3EE6">
            <w:pPr>
              <w:jc w:val="center"/>
              <w:rPr>
                <w:rFonts w:cs="Arial"/>
                <w:color w:val="000000" w:themeColor="text1"/>
                <w:szCs w:val="16"/>
              </w:rPr>
            </w:pPr>
            <w:r w:rsidRPr="00781112">
              <w:rPr>
                <w:rFonts w:cs="Arial"/>
                <w:color w:val="000000" w:themeColor="text1"/>
                <w:szCs w:val="16"/>
              </w:rPr>
              <w:t>1,552</w:t>
            </w:r>
          </w:p>
        </w:tc>
        <w:tc>
          <w:tcPr>
            <w:tcW w:w="1084" w:type="pct"/>
            <w:shd w:val="clear" w:color="auto" w:fill="auto"/>
            <w:vAlign w:val="center"/>
          </w:tcPr>
          <w:p w14:paraId="5BB68E9F" w14:textId="19C38497" w:rsidR="002D3EE6" w:rsidRPr="00781112" w:rsidRDefault="002D3EE6" w:rsidP="002D3EE6">
            <w:pPr>
              <w:jc w:val="center"/>
              <w:rPr>
                <w:rFonts w:cs="Arial"/>
                <w:color w:val="000000" w:themeColor="text1"/>
                <w:szCs w:val="16"/>
              </w:rPr>
            </w:pPr>
            <w:r w:rsidRPr="00781112">
              <w:rPr>
                <w:rFonts w:cs="Arial"/>
                <w:color w:val="000000" w:themeColor="text1"/>
                <w:szCs w:val="16"/>
              </w:rPr>
              <w:t>1,222</w:t>
            </w:r>
          </w:p>
        </w:tc>
      </w:tr>
      <w:tr w:rsidR="002D3EE6" w:rsidRPr="00781112" w14:paraId="1AC72B75" w14:textId="77777777" w:rsidTr="00E95FBF">
        <w:tc>
          <w:tcPr>
            <w:tcW w:w="1749" w:type="pct"/>
            <w:shd w:val="clear" w:color="auto" w:fill="auto"/>
          </w:tcPr>
          <w:p w14:paraId="0A914ADA" w14:textId="357C6FCD" w:rsidR="002D3EE6" w:rsidRPr="00781112" w:rsidRDefault="002D3EE6" w:rsidP="002D3EE6">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02F1489E" w14:textId="43AB7E92" w:rsidR="002D3EE6" w:rsidRPr="00781112" w:rsidRDefault="002D3EE6" w:rsidP="002D3EE6">
            <w:pPr>
              <w:jc w:val="center"/>
              <w:rPr>
                <w:rFonts w:cs="Arial"/>
                <w:color w:val="000000" w:themeColor="text1"/>
                <w:szCs w:val="16"/>
              </w:rPr>
            </w:pPr>
            <w:r w:rsidRPr="00781112">
              <w:rPr>
                <w:rFonts w:cs="Arial"/>
                <w:color w:val="000000" w:themeColor="text1"/>
                <w:szCs w:val="16"/>
              </w:rPr>
              <w:t>489</w:t>
            </w:r>
          </w:p>
        </w:tc>
        <w:tc>
          <w:tcPr>
            <w:tcW w:w="1084" w:type="pct"/>
            <w:shd w:val="clear" w:color="auto" w:fill="auto"/>
            <w:vAlign w:val="center"/>
          </w:tcPr>
          <w:p w14:paraId="7D7B8A72" w14:textId="5C0EA0B0" w:rsidR="002D3EE6" w:rsidRPr="00781112" w:rsidRDefault="002D3EE6" w:rsidP="002D3EE6">
            <w:pPr>
              <w:jc w:val="center"/>
              <w:rPr>
                <w:rFonts w:cs="Arial"/>
                <w:color w:val="000000" w:themeColor="text1"/>
                <w:szCs w:val="16"/>
              </w:rPr>
            </w:pPr>
            <w:r w:rsidRPr="00781112">
              <w:rPr>
                <w:rFonts w:cs="Arial"/>
                <w:color w:val="000000" w:themeColor="text1"/>
                <w:szCs w:val="16"/>
              </w:rPr>
              <w:t>85</w:t>
            </w:r>
          </w:p>
        </w:tc>
        <w:tc>
          <w:tcPr>
            <w:tcW w:w="1084" w:type="pct"/>
            <w:shd w:val="clear" w:color="auto" w:fill="auto"/>
            <w:vAlign w:val="center"/>
          </w:tcPr>
          <w:p w14:paraId="077B2856" w14:textId="4059237F" w:rsidR="002D3EE6" w:rsidRPr="00781112" w:rsidRDefault="002D3EE6" w:rsidP="002D3EE6">
            <w:pPr>
              <w:jc w:val="center"/>
              <w:rPr>
                <w:rFonts w:cs="Arial"/>
                <w:color w:val="000000" w:themeColor="text1"/>
                <w:szCs w:val="16"/>
              </w:rPr>
            </w:pPr>
            <w:r w:rsidRPr="00781112">
              <w:rPr>
                <w:rFonts w:cs="Arial"/>
                <w:color w:val="000000" w:themeColor="text1"/>
                <w:szCs w:val="16"/>
              </w:rPr>
              <w:t>52</w:t>
            </w:r>
          </w:p>
        </w:tc>
      </w:tr>
      <w:tr w:rsidR="002D3EE6" w:rsidRPr="00781112" w14:paraId="0F3AF372" w14:textId="77777777" w:rsidTr="00E95FBF">
        <w:tc>
          <w:tcPr>
            <w:tcW w:w="1749" w:type="pct"/>
            <w:shd w:val="clear" w:color="auto" w:fill="auto"/>
          </w:tcPr>
          <w:p w14:paraId="65DAF487" w14:textId="01D9D6A1" w:rsidR="002D3EE6" w:rsidRPr="00781112" w:rsidRDefault="002D3EE6" w:rsidP="002D3EE6">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1BE3D4C2" w14:textId="5B4F526A" w:rsidR="002D3EE6" w:rsidRPr="00781112" w:rsidRDefault="002D3EE6" w:rsidP="002D3EE6">
            <w:pPr>
              <w:jc w:val="center"/>
              <w:rPr>
                <w:rFonts w:cs="Arial"/>
                <w:color w:val="000000" w:themeColor="text1"/>
                <w:szCs w:val="16"/>
              </w:rPr>
            </w:pPr>
            <w:r w:rsidRPr="00781112">
              <w:rPr>
                <w:rFonts w:cs="Arial"/>
                <w:color w:val="000000" w:themeColor="text1"/>
                <w:szCs w:val="16"/>
              </w:rPr>
              <w:t>517</w:t>
            </w:r>
          </w:p>
        </w:tc>
        <w:tc>
          <w:tcPr>
            <w:tcW w:w="1084" w:type="pct"/>
            <w:shd w:val="clear" w:color="auto" w:fill="auto"/>
            <w:vAlign w:val="center"/>
          </w:tcPr>
          <w:p w14:paraId="0E65D7AB" w14:textId="79D914F6" w:rsidR="002D3EE6" w:rsidRPr="00781112" w:rsidRDefault="002D3EE6" w:rsidP="002D3EE6">
            <w:pPr>
              <w:jc w:val="center"/>
              <w:rPr>
                <w:rFonts w:cs="Arial"/>
                <w:color w:val="000000" w:themeColor="text1"/>
                <w:szCs w:val="16"/>
              </w:rPr>
            </w:pPr>
            <w:r w:rsidRPr="00781112">
              <w:rPr>
                <w:rFonts w:cs="Arial"/>
                <w:color w:val="000000" w:themeColor="text1"/>
                <w:szCs w:val="16"/>
              </w:rPr>
              <w:t>400</w:t>
            </w:r>
          </w:p>
        </w:tc>
        <w:tc>
          <w:tcPr>
            <w:tcW w:w="1084" w:type="pct"/>
            <w:shd w:val="clear" w:color="auto" w:fill="auto"/>
            <w:vAlign w:val="center"/>
          </w:tcPr>
          <w:p w14:paraId="740F6FA5" w14:textId="70059958" w:rsidR="002D3EE6" w:rsidRPr="00781112" w:rsidRDefault="002D3EE6" w:rsidP="002D3EE6">
            <w:pPr>
              <w:jc w:val="center"/>
              <w:rPr>
                <w:rFonts w:cs="Arial"/>
                <w:color w:val="000000" w:themeColor="text1"/>
                <w:szCs w:val="16"/>
              </w:rPr>
            </w:pPr>
            <w:r w:rsidRPr="00781112">
              <w:rPr>
                <w:rFonts w:cs="Arial"/>
                <w:color w:val="000000" w:themeColor="text1"/>
                <w:szCs w:val="16"/>
              </w:rPr>
              <w:t>301</w:t>
            </w:r>
          </w:p>
        </w:tc>
      </w:tr>
    </w:tbl>
    <w:p w14:paraId="639A2278" w14:textId="77777777" w:rsidR="00DD5B7A" w:rsidRPr="00781112" w:rsidRDefault="00DD5B7A" w:rsidP="00DD5B7A">
      <w:pPr>
        <w:rPr>
          <w:b/>
          <w:color w:val="000000" w:themeColor="text1"/>
        </w:rPr>
      </w:pPr>
    </w:p>
    <w:p w14:paraId="2B294F6E"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6AD8EFC6" w14:textId="22529744" w:rsidR="00DD5B7A" w:rsidRPr="00781112" w:rsidRDefault="00DD5B7A" w:rsidP="00DD5B7A">
      <w:pPr>
        <w:rPr>
          <w:rFonts w:cs="Arial"/>
          <w:color w:val="000000" w:themeColor="text1"/>
          <w:szCs w:val="16"/>
        </w:rPr>
      </w:pPr>
      <w:r w:rsidRPr="00781112">
        <w:rPr>
          <w:rFonts w:cs="Arial"/>
          <w:color w:val="000000" w:themeColor="text1"/>
          <w:szCs w:val="16"/>
        </w:rPr>
        <w:t>SY 2020-21 Assessment Data Groups - Math (EDFacts file spec FS175; Data Group: 583)</w:t>
      </w:r>
    </w:p>
    <w:p w14:paraId="1F735D57"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7D0A75A" w14:textId="6D901961" w:rsidR="00DD5B7A" w:rsidRPr="00781112" w:rsidRDefault="00DD5B7A" w:rsidP="00DD5B7A">
      <w:pPr>
        <w:rPr>
          <w:rFonts w:cs="Arial"/>
          <w:color w:val="000000" w:themeColor="text1"/>
          <w:szCs w:val="16"/>
        </w:rPr>
      </w:pPr>
      <w:r w:rsidRPr="00781112">
        <w:rPr>
          <w:rFonts w:cs="Arial"/>
          <w:color w:val="000000" w:themeColor="text1"/>
          <w:szCs w:val="16"/>
        </w:rPr>
        <w:t>03/03/2022</w:t>
      </w:r>
    </w:p>
    <w:p w14:paraId="0AB0EBE2" w14:textId="23F7C8D8" w:rsidR="00DD5B7A" w:rsidRPr="00781112" w:rsidRDefault="00DD5B7A" w:rsidP="00DD5B7A">
      <w:pPr>
        <w:rPr>
          <w:b/>
          <w:color w:val="000000" w:themeColor="text1"/>
        </w:rPr>
      </w:pPr>
      <w:r w:rsidRPr="00781112">
        <w:rPr>
          <w:b/>
          <w:color w:val="000000" w:themeColor="text1"/>
        </w:rPr>
        <w:t>Math Assessment Proficiency Data by Grade</w:t>
      </w:r>
    </w:p>
    <w:tbl>
      <w:tblPr>
        <w:tblStyle w:val="TableGrid"/>
        <w:tblW w:w="5000" w:type="pct"/>
        <w:tblLayout w:type="fixed"/>
        <w:tblLook w:val="04A0" w:firstRow="1" w:lastRow="0" w:firstColumn="1" w:lastColumn="0" w:noHBand="0" w:noVBand="1"/>
        <w:tblCaption w:val="B03DSSPARTDATABYGRDMATH"/>
      </w:tblPr>
      <w:tblGrid>
        <w:gridCol w:w="3775"/>
        <w:gridCol w:w="2338"/>
        <w:gridCol w:w="2338"/>
        <w:gridCol w:w="2339"/>
      </w:tblGrid>
      <w:tr w:rsidR="00DD5B7A" w:rsidRPr="00781112" w14:paraId="590774E0" w14:textId="77777777" w:rsidTr="00E95FBF">
        <w:tc>
          <w:tcPr>
            <w:tcW w:w="1749" w:type="pct"/>
            <w:shd w:val="clear" w:color="auto" w:fill="auto"/>
          </w:tcPr>
          <w:p w14:paraId="4055FBD1" w14:textId="73E0C6E7"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AA5C0A" w14:textId="35B1C50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3" w:type="pct"/>
            <w:shd w:val="clear" w:color="auto" w:fill="auto"/>
            <w:vAlign w:val="center"/>
          </w:tcPr>
          <w:p w14:paraId="4B99C0AD" w14:textId="75D46FFE"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64818CE7" w14:textId="3A3D62E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39534D" w:rsidRPr="00781112" w14:paraId="5B127C40" w14:textId="77777777" w:rsidTr="00E95FBF">
        <w:tc>
          <w:tcPr>
            <w:tcW w:w="1749" w:type="pct"/>
            <w:shd w:val="clear" w:color="auto" w:fill="auto"/>
          </w:tcPr>
          <w:p w14:paraId="0E1B91FD" w14:textId="7C7FA98F" w:rsidR="0039534D" w:rsidRPr="00781112" w:rsidRDefault="0039534D" w:rsidP="0039534D">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52BC5DDE" w14:textId="144A7826" w:rsidR="0039534D" w:rsidRPr="00781112" w:rsidRDefault="0039534D" w:rsidP="0039534D">
            <w:pPr>
              <w:jc w:val="center"/>
              <w:rPr>
                <w:rFonts w:cs="Arial"/>
                <w:color w:val="000000" w:themeColor="text1"/>
                <w:szCs w:val="16"/>
              </w:rPr>
            </w:pPr>
            <w:r w:rsidRPr="00781112">
              <w:rPr>
                <w:rFonts w:cs="Arial"/>
                <w:color w:val="000000" w:themeColor="text1"/>
                <w:szCs w:val="16"/>
              </w:rPr>
              <w:t>48,685</w:t>
            </w:r>
          </w:p>
        </w:tc>
        <w:tc>
          <w:tcPr>
            <w:tcW w:w="1083" w:type="pct"/>
            <w:shd w:val="clear" w:color="auto" w:fill="auto"/>
            <w:vAlign w:val="center"/>
          </w:tcPr>
          <w:p w14:paraId="1F69E804" w14:textId="1CF42368" w:rsidR="0039534D" w:rsidRPr="00781112" w:rsidRDefault="0039534D" w:rsidP="0039534D">
            <w:pPr>
              <w:jc w:val="center"/>
              <w:rPr>
                <w:rFonts w:cs="Arial"/>
                <w:color w:val="000000" w:themeColor="text1"/>
                <w:szCs w:val="16"/>
              </w:rPr>
            </w:pPr>
            <w:r w:rsidRPr="00781112">
              <w:rPr>
                <w:rFonts w:cs="Arial"/>
                <w:color w:val="000000" w:themeColor="text1"/>
                <w:szCs w:val="16"/>
              </w:rPr>
              <w:t>51,062</w:t>
            </w:r>
          </w:p>
        </w:tc>
        <w:tc>
          <w:tcPr>
            <w:tcW w:w="1084" w:type="pct"/>
            <w:shd w:val="clear" w:color="auto" w:fill="auto"/>
            <w:vAlign w:val="center"/>
          </w:tcPr>
          <w:p w14:paraId="3CF6972D" w14:textId="425CE03D" w:rsidR="0039534D" w:rsidRPr="00781112" w:rsidRDefault="0039534D" w:rsidP="0039534D">
            <w:pPr>
              <w:jc w:val="center"/>
              <w:rPr>
                <w:rFonts w:cs="Arial"/>
                <w:color w:val="000000" w:themeColor="text1"/>
                <w:szCs w:val="16"/>
              </w:rPr>
            </w:pPr>
            <w:r w:rsidRPr="00781112">
              <w:rPr>
                <w:rFonts w:cs="Arial"/>
                <w:color w:val="000000" w:themeColor="text1"/>
                <w:szCs w:val="16"/>
              </w:rPr>
              <w:t>50,982</w:t>
            </w:r>
          </w:p>
        </w:tc>
      </w:tr>
      <w:tr w:rsidR="0039534D" w:rsidRPr="00781112" w14:paraId="498D2BC6" w14:textId="77777777" w:rsidTr="00E95FBF">
        <w:tc>
          <w:tcPr>
            <w:tcW w:w="1749" w:type="pct"/>
            <w:shd w:val="clear" w:color="auto" w:fill="auto"/>
          </w:tcPr>
          <w:p w14:paraId="6F359A75" w14:textId="3CC63A02" w:rsidR="0039534D" w:rsidRPr="00781112" w:rsidRDefault="0039534D" w:rsidP="0039534D">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76737A54" w14:textId="7FDF30A1" w:rsidR="0039534D" w:rsidRPr="00781112" w:rsidRDefault="0039534D" w:rsidP="0039534D">
            <w:pPr>
              <w:jc w:val="center"/>
              <w:rPr>
                <w:rFonts w:cs="Arial"/>
                <w:color w:val="000000" w:themeColor="text1"/>
                <w:szCs w:val="16"/>
              </w:rPr>
            </w:pPr>
            <w:r w:rsidRPr="00781112">
              <w:rPr>
                <w:rFonts w:cs="Arial"/>
                <w:color w:val="000000" w:themeColor="text1"/>
                <w:szCs w:val="16"/>
              </w:rPr>
              <w:t>6,098</w:t>
            </w:r>
          </w:p>
        </w:tc>
        <w:tc>
          <w:tcPr>
            <w:tcW w:w="1083" w:type="pct"/>
            <w:shd w:val="clear" w:color="auto" w:fill="auto"/>
            <w:vAlign w:val="center"/>
          </w:tcPr>
          <w:p w14:paraId="4728E439" w14:textId="7575A840" w:rsidR="0039534D" w:rsidRPr="00781112" w:rsidRDefault="0039534D" w:rsidP="0039534D">
            <w:pPr>
              <w:jc w:val="center"/>
              <w:rPr>
                <w:rFonts w:cs="Arial"/>
                <w:color w:val="000000" w:themeColor="text1"/>
                <w:szCs w:val="16"/>
              </w:rPr>
            </w:pPr>
            <w:r w:rsidRPr="00781112">
              <w:rPr>
                <w:rFonts w:cs="Arial"/>
                <w:color w:val="000000" w:themeColor="text1"/>
                <w:szCs w:val="16"/>
              </w:rPr>
              <w:t>5,162</w:t>
            </w:r>
          </w:p>
        </w:tc>
        <w:tc>
          <w:tcPr>
            <w:tcW w:w="1084" w:type="pct"/>
            <w:shd w:val="clear" w:color="auto" w:fill="auto"/>
            <w:vAlign w:val="center"/>
          </w:tcPr>
          <w:p w14:paraId="06C8345B" w14:textId="39D5A618" w:rsidR="0039534D" w:rsidRPr="00781112" w:rsidRDefault="0039534D" w:rsidP="0039534D">
            <w:pPr>
              <w:jc w:val="center"/>
              <w:rPr>
                <w:rFonts w:cs="Arial"/>
                <w:color w:val="000000" w:themeColor="text1"/>
                <w:szCs w:val="16"/>
              </w:rPr>
            </w:pPr>
            <w:r w:rsidRPr="00781112">
              <w:rPr>
                <w:rFonts w:cs="Arial"/>
                <w:color w:val="000000" w:themeColor="text1"/>
                <w:szCs w:val="16"/>
              </w:rPr>
              <w:t>4,702</w:t>
            </w:r>
          </w:p>
        </w:tc>
      </w:tr>
      <w:tr w:rsidR="0039534D" w:rsidRPr="00781112" w14:paraId="3DF51785" w14:textId="77777777" w:rsidTr="00E95FBF">
        <w:tc>
          <w:tcPr>
            <w:tcW w:w="1749" w:type="pct"/>
            <w:shd w:val="clear" w:color="auto" w:fill="auto"/>
          </w:tcPr>
          <w:p w14:paraId="4795E661" w14:textId="39A6BCFA" w:rsidR="0039534D" w:rsidRPr="00781112" w:rsidRDefault="0039534D" w:rsidP="0039534D">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5CB3E7A3" w14:textId="5EDF24EC" w:rsidR="0039534D" w:rsidRPr="00781112" w:rsidRDefault="0039534D" w:rsidP="0039534D">
            <w:pPr>
              <w:jc w:val="center"/>
              <w:rPr>
                <w:rFonts w:cs="Arial"/>
                <w:color w:val="000000" w:themeColor="text1"/>
                <w:szCs w:val="16"/>
              </w:rPr>
            </w:pPr>
            <w:r w:rsidRPr="00781112">
              <w:rPr>
                <w:rFonts w:cs="Arial"/>
                <w:color w:val="000000" w:themeColor="text1"/>
                <w:szCs w:val="16"/>
              </w:rPr>
              <w:t>14,346</w:t>
            </w:r>
          </w:p>
        </w:tc>
        <w:tc>
          <w:tcPr>
            <w:tcW w:w="1083" w:type="pct"/>
            <w:shd w:val="clear" w:color="auto" w:fill="auto"/>
            <w:vAlign w:val="center"/>
          </w:tcPr>
          <w:p w14:paraId="7CCA2E3B" w14:textId="3CD9DE15" w:rsidR="0039534D" w:rsidRPr="00781112" w:rsidRDefault="0039534D" w:rsidP="0039534D">
            <w:pPr>
              <w:jc w:val="center"/>
              <w:rPr>
                <w:rFonts w:cs="Arial"/>
                <w:color w:val="000000" w:themeColor="text1"/>
                <w:szCs w:val="16"/>
              </w:rPr>
            </w:pPr>
            <w:r w:rsidRPr="00781112">
              <w:rPr>
                <w:rFonts w:cs="Arial"/>
                <w:color w:val="000000" w:themeColor="text1"/>
                <w:szCs w:val="16"/>
              </w:rPr>
              <w:t>12,969</w:t>
            </w:r>
          </w:p>
        </w:tc>
        <w:tc>
          <w:tcPr>
            <w:tcW w:w="1084" w:type="pct"/>
            <w:shd w:val="clear" w:color="auto" w:fill="auto"/>
            <w:vAlign w:val="center"/>
          </w:tcPr>
          <w:p w14:paraId="735C7B5A" w14:textId="1C3B3FE1" w:rsidR="0039534D" w:rsidRPr="00781112" w:rsidRDefault="0039534D" w:rsidP="0039534D">
            <w:pPr>
              <w:jc w:val="center"/>
              <w:rPr>
                <w:rFonts w:cs="Arial"/>
                <w:color w:val="000000" w:themeColor="text1"/>
                <w:szCs w:val="16"/>
              </w:rPr>
            </w:pPr>
            <w:r w:rsidRPr="00781112">
              <w:rPr>
                <w:rFonts w:cs="Arial"/>
                <w:color w:val="000000" w:themeColor="text1"/>
                <w:szCs w:val="16"/>
              </w:rPr>
              <w:t>15,398</w:t>
            </w:r>
          </w:p>
        </w:tc>
      </w:tr>
      <w:tr w:rsidR="0039534D" w:rsidRPr="00781112" w14:paraId="07844546" w14:textId="77777777" w:rsidTr="00E95FBF">
        <w:tc>
          <w:tcPr>
            <w:tcW w:w="1749" w:type="pct"/>
            <w:shd w:val="clear" w:color="auto" w:fill="auto"/>
          </w:tcPr>
          <w:p w14:paraId="47D524EB" w14:textId="56F8E4CC" w:rsidR="0039534D" w:rsidRPr="00781112" w:rsidRDefault="0039534D" w:rsidP="0039534D">
            <w:pPr>
              <w:rPr>
                <w:rFonts w:cs="Arial"/>
                <w:color w:val="000000" w:themeColor="text1"/>
                <w:szCs w:val="16"/>
              </w:rPr>
            </w:pPr>
            <w:r w:rsidRPr="0075451F">
              <w:rPr>
                <w:rFonts w:cs="Arial"/>
                <w:szCs w:val="16"/>
                <w:shd w:val="clear" w:color="auto" w:fill="FFFFFF"/>
              </w:rPr>
              <w:lastRenderedPageBreak/>
              <w:t>d. All students in regular assessment with accommodations scored at or above proficient against grade level</w:t>
            </w:r>
          </w:p>
        </w:tc>
        <w:tc>
          <w:tcPr>
            <w:tcW w:w="1083" w:type="pct"/>
            <w:shd w:val="clear" w:color="auto" w:fill="auto"/>
            <w:vAlign w:val="center"/>
          </w:tcPr>
          <w:p w14:paraId="56F62AFB" w14:textId="4BC3B8A6" w:rsidR="0039534D" w:rsidRPr="00781112" w:rsidRDefault="0039534D" w:rsidP="0039534D">
            <w:pPr>
              <w:jc w:val="center"/>
              <w:rPr>
                <w:rFonts w:cs="Arial"/>
                <w:color w:val="000000" w:themeColor="text1"/>
                <w:szCs w:val="16"/>
              </w:rPr>
            </w:pPr>
            <w:r w:rsidRPr="00781112">
              <w:rPr>
                <w:rFonts w:cs="Arial"/>
                <w:color w:val="000000" w:themeColor="text1"/>
                <w:szCs w:val="16"/>
              </w:rPr>
              <w:t>1,234</w:t>
            </w:r>
          </w:p>
        </w:tc>
        <w:tc>
          <w:tcPr>
            <w:tcW w:w="1083" w:type="pct"/>
            <w:shd w:val="clear" w:color="auto" w:fill="auto"/>
            <w:vAlign w:val="center"/>
          </w:tcPr>
          <w:p w14:paraId="3CDBB055" w14:textId="52A1C13C" w:rsidR="0039534D" w:rsidRPr="00781112" w:rsidRDefault="0039534D" w:rsidP="0039534D">
            <w:pPr>
              <w:jc w:val="center"/>
              <w:rPr>
                <w:rFonts w:cs="Arial"/>
                <w:color w:val="000000" w:themeColor="text1"/>
                <w:szCs w:val="16"/>
              </w:rPr>
            </w:pPr>
            <w:r w:rsidRPr="00781112">
              <w:rPr>
                <w:rFonts w:cs="Arial"/>
                <w:color w:val="000000" w:themeColor="text1"/>
                <w:szCs w:val="16"/>
              </w:rPr>
              <w:t>859</w:t>
            </w:r>
          </w:p>
        </w:tc>
        <w:tc>
          <w:tcPr>
            <w:tcW w:w="1084" w:type="pct"/>
            <w:shd w:val="clear" w:color="auto" w:fill="auto"/>
            <w:vAlign w:val="center"/>
          </w:tcPr>
          <w:p w14:paraId="53087BDA" w14:textId="7F6FB55C" w:rsidR="0039534D" w:rsidRPr="00781112" w:rsidRDefault="0039534D" w:rsidP="0039534D">
            <w:pPr>
              <w:jc w:val="center"/>
              <w:rPr>
                <w:rFonts w:cs="Arial"/>
                <w:color w:val="000000" w:themeColor="text1"/>
                <w:szCs w:val="16"/>
              </w:rPr>
            </w:pPr>
            <w:r w:rsidRPr="00781112">
              <w:rPr>
                <w:rFonts w:cs="Arial"/>
                <w:color w:val="000000" w:themeColor="text1"/>
                <w:szCs w:val="16"/>
              </w:rPr>
              <w:t>950</w:t>
            </w:r>
          </w:p>
        </w:tc>
      </w:tr>
      <w:tr w:rsidR="0039534D" w:rsidRPr="00781112" w14:paraId="0A3B43B6" w14:textId="77777777" w:rsidTr="00E95FBF">
        <w:tc>
          <w:tcPr>
            <w:tcW w:w="1749" w:type="pct"/>
            <w:shd w:val="clear" w:color="auto" w:fill="auto"/>
          </w:tcPr>
          <w:p w14:paraId="78623131" w14:textId="1D0B9916" w:rsidR="0039534D" w:rsidRPr="00781112" w:rsidRDefault="0039534D" w:rsidP="0039534D">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6A062FCA" w14:textId="010EA23D" w:rsidR="0039534D" w:rsidRPr="00781112" w:rsidRDefault="0039534D" w:rsidP="0039534D">
            <w:pPr>
              <w:jc w:val="center"/>
              <w:rPr>
                <w:rFonts w:cs="Arial"/>
                <w:color w:val="000000" w:themeColor="text1"/>
                <w:szCs w:val="16"/>
              </w:rPr>
            </w:pPr>
            <w:r w:rsidRPr="00781112">
              <w:rPr>
                <w:rFonts w:cs="Arial"/>
                <w:color w:val="000000" w:themeColor="text1"/>
                <w:szCs w:val="16"/>
              </w:rPr>
              <w:t>407</w:t>
            </w:r>
          </w:p>
        </w:tc>
        <w:tc>
          <w:tcPr>
            <w:tcW w:w="1083" w:type="pct"/>
            <w:shd w:val="clear" w:color="auto" w:fill="auto"/>
            <w:vAlign w:val="center"/>
          </w:tcPr>
          <w:p w14:paraId="0A64567E" w14:textId="2D3B6CBD" w:rsidR="0039534D" w:rsidRPr="00781112" w:rsidRDefault="0039534D" w:rsidP="0039534D">
            <w:pPr>
              <w:jc w:val="center"/>
              <w:rPr>
                <w:rFonts w:cs="Arial"/>
                <w:color w:val="000000" w:themeColor="text1"/>
                <w:szCs w:val="16"/>
              </w:rPr>
            </w:pPr>
            <w:r w:rsidRPr="00781112">
              <w:rPr>
                <w:rFonts w:cs="Arial"/>
                <w:color w:val="000000" w:themeColor="text1"/>
                <w:szCs w:val="16"/>
              </w:rPr>
              <w:t>64</w:t>
            </w:r>
          </w:p>
        </w:tc>
        <w:tc>
          <w:tcPr>
            <w:tcW w:w="1084" w:type="pct"/>
            <w:shd w:val="clear" w:color="auto" w:fill="auto"/>
            <w:vAlign w:val="center"/>
          </w:tcPr>
          <w:p w14:paraId="4656C7C9" w14:textId="098CB46F" w:rsidR="0039534D" w:rsidRPr="00781112" w:rsidRDefault="0039534D" w:rsidP="0039534D">
            <w:pPr>
              <w:jc w:val="center"/>
              <w:rPr>
                <w:rFonts w:cs="Arial"/>
                <w:color w:val="000000" w:themeColor="text1"/>
                <w:szCs w:val="16"/>
              </w:rPr>
            </w:pPr>
            <w:r w:rsidRPr="00781112">
              <w:rPr>
                <w:rFonts w:cs="Arial"/>
                <w:color w:val="000000" w:themeColor="text1"/>
                <w:szCs w:val="16"/>
              </w:rPr>
              <w:t>39</w:t>
            </w:r>
          </w:p>
        </w:tc>
      </w:tr>
      <w:tr w:rsidR="0039534D" w:rsidRPr="00781112" w14:paraId="7854C881" w14:textId="77777777" w:rsidTr="00E95FBF">
        <w:tc>
          <w:tcPr>
            <w:tcW w:w="1749" w:type="pct"/>
            <w:shd w:val="clear" w:color="auto" w:fill="auto"/>
          </w:tcPr>
          <w:p w14:paraId="11893D61" w14:textId="60FC961E" w:rsidR="0039534D" w:rsidRPr="00781112" w:rsidRDefault="0039534D" w:rsidP="0039534D">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59046EB4" w14:textId="7B9261DB" w:rsidR="0039534D" w:rsidRPr="00781112" w:rsidRDefault="0039534D" w:rsidP="0039534D">
            <w:pPr>
              <w:jc w:val="center"/>
              <w:rPr>
                <w:rFonts w:cs="Arial"/>
                <w:color w:val="000000" w:themeColor="text1"/>
                <w:szCs w:val="16"/>
              </w:rPr>
            </w:pPr>
            <w:r w:rsidRPr="00781112">
              <w:rPr>
                <w:rFonts w:cs="Arial"/>
                <w:color w:val="000000" w:themeColor="text1"/>
                <w:szCs w:val="16"/>
              </w:rPr>
              <w:t>349</w:t>
            </w:r>
          </w:p>
        </w:tc>
        <w:tc>
          <w:tcPr>
            <w:tcW w:w="1083" w:type="pct"/>
            <w:shd w:val="clear" w:color="auto" w:fill="auto"/>
            <w:vAlign w:val="center"/>
          </w:tcPr>
          <w:p w14:paraId="1A17DFA3" w14:textId="3FCA504B" w:rsidR="0039534D" w:rsidRPr="00781112" w:rsidRDefault="0039534D" w:rsidP="0039534D">
            <w:pPr>
              <w:jc w:val="center"/>
              <w:rPr>
                <w:rFonts w:cs="Arial"/>
                <w:color w:val="000000" w:themeColor="text1"/>
                <w:szCs w:val="16"/>
              </w:rPr>
            </w:pPr>
            <w:r w:rsidRPr="00781112">
              <w:rPr>
                <w:rFonts w:cs="Arial"/>
                <w:color w:val="000000" w:themeColor="text1"/>
                <w:szCs w:val="16"/>
              </w:rPr>
              <w:t>188</w:t>
            </w:r>
          </w:p>
        </w:tc>
        <w:tc>
          <w:tcPr>
            <w:tcW w:w="1084" w:type="pct"/>
            <w:shd w:val="clear" w:color="auto" w:fill="auto"/>
            <w:vAlign w:val="center"/>
          </w:tcPr>
          <w:p w14:paraId="20EB2770" w14:textId="2709C0DA" w:rsidR="0039534D" w:rsidRPr="00781112" w:rsidRDefault="0039534D" w:rsidP="0039534D">
            <w:pPr>
              <w:jc w:val="center"/>
              <w:rPr>
                <w:rFonts w:cs="Arial"/>
                <w:color w:val="000000" w:themeColor="text1"/>
                <w:szCs w:val="16"/>
              </w:rPr>
            </w:pPr>
            <w:r w:rsidRPr="00781112">
              <w:rPr>
                <w:rFonts w:cs="Arial"/>
                <w:color w:val="000000" w:themeColor="text1"/>
                <w:szCs w:val="16"/>
              </w:rPr>
              <w:t>224</w:t>
            </w:r>
          </w:p>
        </w:tc>
      </w:tr>
    </w:tbl>
    <w:p w14:paraId="1EA160DB" w14:textId="77777777" w:rsidR="00DD5B7A" w:rsidRPr="00781112" w:rsidRDefault="00DD5B7A" w:rsidP="00DD5B7A">
      <w:pPr>
        <w:rPr>
          <w:color w:val="000000" w:themeColor="text1"/>
        </w:rPr>
      </w:pPr>
    </w:p>
    <w:p w14:paraId="300D6CD4" w14:textId="77777777" w:rsidR="00DD5B7A" w:rsidRPr="00781112" w:rsidRDefault="00DD5B7A" w:rsidP="00DD5B7A">
      <w:pPr>
        <w:rPr>
          <w:b/>
          <w:color w:val="000000" w:themeColor="text1"/>
        </w:rPr>
      </w:pPr>
      <w:r w:rsidRPr="00781112">
        <w:rPr>
          <w:b/>
          <w:color w:val="000000" w:themeColor="text1"/>
        </w:rPr>
        <w:t>FFY 2020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RDATARLA"/>
      </w:tblPr>
      <w:tblGrid>
        <w:gridCol w:w="715"/>
        <w:gridCol w:w="995"/>
        <w:gridCol w:w="1752"/>
        <w:gridCol w:w="1752"/>
        <w:gridCol w:w="1114"/>
        <w:gridCol w:w="1116"/>
        <w:gridCol w:w="1116"/>
        <w:gridCol w:w="1116"/>
        <w:gridCol w:w="1114"/>
      </w:tblGrid>
      <w:tr w:rsidR="00C95D2E" w:rsidRPr="00781112" w14:paraId="2F7F1DE8" w14:textId="77777777" w:rsidTr="00360DD6">
        <w:trPr>
          <w:tblHeader/>
        </w:trPr>
        <w:tc>
          <w:tcPr>
            <w:tcW w:w="331" w:type="pct"/>
            <w:shd w:val="clear" w:color="auto" w:fill="auto"/>
            <w:vAlign w:val="bottom"/>
          </w:tcPr>
          <w:p w14:paraId="0E14CE7F" w14:textId="77777777" w:rsidR="00C95D2E" w:rsidRPr="00781112" w:rsidRDefault="00C95D2E" w:rsidP="00C95D2E">
            <w:pPr>
              <w:jc w:val="center"/>
              <w:rPr>
                <w:b/>
                <w:color w:val="000000" w:themeColor="text1"/>
              </w:rPr>
            </w:pPr>
            <w:r w:rsidRPr="00781112">
              <w:rPr>
                <w:b/>
                <w:color w:val="000000" w:themeColor="text1"/>
              </w:rPr>
              <w:t>Group</w:t>
            </w:r>
          </w:p>
        </w:tc>
        <w:tc>
          <w:tcPr>
            <w:tcW w:w="461" w:type="pct"/>
            <w:shd w:val="clear" w:color="auto" w:fill="auto"/>
            <w:vAlign w:val="bottom"/>
          </w:tcPr>
          <w:p w14:paraId="4F428A92" w14:textId="77777777" w:rsidR="00C95D2E" w:rsidRPr="00781112" w:rsidRDefault="00C95D2E" w:rsidP="00C95D2E">
            <w:pPr>
              <w:jc w:val="center"/>
              <w:rPr>
                <w:b/>
                <w:color w:val="000000" w:themeColor="text1"/>
              </w:rPr>
            </w:pPr>
            <w:r w:rsidRPr="00781112">
              <w:rPr>
                <w:b/>
                <w:color w:val="000000" w:themeColor="text1"/>
              </w:rPr>
              <w:t>Group Name</w:t>
            </w:r>
          </w:p>
        </w:tc>
        <w:tc>
          <w:tcPr>
            <w:tcW w:w="812" w:type="pct"/>
            <w:shd w:val="clear" w:color="auto" w:fill="auto"/>
          </w:tcPr>
          <w:p w14:paraId="46CAD1DD" w14:textId="7A73217C" w:rsidR="00C95D2E" w:rsidRPr="00781112" w:rsidRDefault="00C95D2E" w:rsidP="00C95D2E">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12" w:type="pct"/>
            <w:shd w:val="clear" w:color="auto" w:fill="auto"/>
          </w:tcPr>
          <w:p w14:paraId="6DE1E86B" w14:textId="68DF8E07" w:rsidR="00C95D2E" w:rsidRPr="00781112" w:rsidRDefault="00C95D2E" w:rsidP="00C95D2E">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16" w:type="pct"/>
            <w:shd w:val="clear" w:color="auto" w:fill="auto"/>
            <w:vAlign w:val="bottom"/>
          </w:tcPr>
          <w:p w14:paraId="0E9E489C" w14:textId="77777777" w:rsidR="00C95D2E" w:rsidRPr="00781112" w:rsidRDefault="00C95D2E" w:rsidP="00C95D2E">
            <w:pPr>
              <w:jc w:val="center"/>
              <w:rPr>
                <w:b/>
                <w:color w:val="000000" w:themeColor="text1"/>
              </w:rPr>
            </w:pPr>
            <w:r w:rsidRPr="00781112">
              <w:rPr>
                <w:b/>
                <w:color w:val="000000" w:themeColor="text1"/>
              </w:rPr>
              <w:t>FFY 2019 Data</w:t>
            </w:r>
          </w:p>
        </w:tc>
        <w:tc>
          <w:tcPr>
            <w:tcW w:w="517" w:type="pct"/>
            <w:shd w:val="clear" w:color="auto" w:fill="auto"/>
            <w:vAlign w:val="bottom"/>
          </w:tcPr>
          <w:p w14:paraId="69544656" w14:textId="77777777" w:rsidR="00C95D2E" w:rsidRPr="00781112" w:rsidRDefault="00C95D2E" w:rsidP="00C95D2E">
            <w:pPr>
              <w:jc w:val="center"/>
              <w:rPr>
                <w:b/>
                <w:color w:val="000000" w:themeColor="text1"/>
              </w:rPr>
            </w:pPr>
            <w:r w:rsidRPr="00781112">
              <w:rPr>
                <w:b/>
                <w:color w:val="000000" w:themeColor="text1"/>
              </w:rPr>
              <w:t>FFY 2020 Target</w:t>
            </w:r>
          </w:p>
        </w:tc>
        <w:tc>
          <w:tcPr>
            <w:tcW w:w="517" w:type="pct"/>
            <w:shd w:val="clear" w:color="auto" w:fill="auto"/>
            <w:vAlign w:val="bottom"/>
          </w:tcPr>
          <w:p w14:paraId="611B3DE3" w14:textId="77777777" w:rsidR="00C95D2E" w:rsidRPr="00781112" w:rsidRDefault="00C95D2E" w:rsidP="00C95D2E">
            <w:pPr>
              <w:jc w:val="center"/>
              <w:rPr>
                <w:b/>
                <w:color w:val="000000" w:themeColor="text1"/>
              </w:rPr>
            </w:pPr>
            <w:r w:rsidRPr="00781112">
              <w:rPr>
                <w:b/>
                <w:color w:val="000000" w:themeColor="text1"/>
              </w:rPr>
              <w:t>FFY 2020 Data</w:t>
            </w:r>
          </w:p>
        </w:tc>
        <w:tc>
          <w:tcPr>
            <w:tcW w:w="517" w:type="pct"/>
            <w:shd w:val="clear" w:color="auto" w:fill="auto"/>
            <w:vAlign w:val="bottom"/>
          </w:tcPr>
          <w:p w14:paraId="6D2215D6" w14:textId="77777777" w:rsidR="00C95D2E" w:rsidRPr="00781112" w:rsidRDefault="00C95D2E" w:rsidP="00C95D2E">
            <w:pPr>
              <w:jc w:val="center"/>
              <w:rPr>
                <w:b/>
                <w:color w:val="000000" w:themeColor="text1"/>
              </w:rPr>
            </w:pPr>
            <w:r w:rsidRPr="00781112">
              <w:rPr>
                <w:b/>
                <w:color w:val="000000" w:themeColor="text1"/>
              </w:rPr>
              <w:t>Status</w:t>
            </w:r>
          </w:p>
        </w:tc>
        <w:tc>
          <w:tcPr>
            <w:tcW w:w="516" w:type="pct"/>
            <w:shd w:val="clear" w:color="auto" w:fill="auto"/>
            <w:vAlign w:val="bottom"/>
          </w:tcPr>
          <w:p w14:paraId="4FACB3EB" w14:textId="77777777" w:rsidR="00C95D2E" w:rsidRPr="00781112" w:rsidRDefault="00C95D2E" w:rsidP="00C95D2E">
            <w:pPr>
              <w:jc w:val="center"/>
              <w:rPr>
                <w:b/>
                <w:color w:val="000000" w:themeColor="text1"/>
              </w:rPr>
            </w:pPr>
            <w:r w:rsidRPr="00781112">
              <w:rPr>
                <w:b/>
                <w:color w:val="000000" w:themeColor="text1"/>
              </w:rPr>
              <w:t>Slippage</w:t>
            </w:r>
          </w:p>
        </w:tc>
      </w:tr>
      <w:tr w:rsidR="00E22739" w:rsidRPr="00781112" w14:paraId="190DF2EB" w14:textId="77777777" w:rsidTr="00360DD6">
        <w:tc>
          <w:tcPr>
            <w:tcW w:w="331" w:type="pct"/>
            <w:shd w:val="clear" w:color="auto" w:fill="auto"/>
            <w:vAlign w:val="center"/>
          </w:tcPr>
          <w:p w14:paraId="3AAB1776"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50AFDCF6" w14:textId="41D78AC3"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4</w:t>
            </w:r>
          </w:p>
        </w:tc>
        <w:tc>
          <w:tcPr>
            <w:tcW w:w="812" w:type="pct"/>
            <w:shd w:val="clear" w:color="auto" w:fill="auto"/>
          </w:tcPr>
          <w:p w14:paraId="05BCB412" w14:textId="0263BB70" w:rsidR="00E22739" w:rsidRPr="00781112" w:rsidRDefault="00E22739" w:rsidP="00E22739">
            <w:pPr>
              <w:jc w:val="center"/>
              <w:rPr>
                <w:rFonts w:cs="Arial"/>
                <w:color w:val="000000" w:themeColor="text1"/>
                <w:szCs w:val="16"/>
              </w:rPr>
            </w:pPr>
            <w:r w:rsidRPr="00781112">
              <w:rPr>
                <w:rFonts w:cs="Arial"/>
                <w:color w:val="000000"/>
                <w:szCs w:val="16"/>
              </w:rPr>
              <w:t>16.49%</w:t>
            </w:r>
          </w:p>
        </w:tc>
        <w:tc>
          <w:tcPr>
            <w:tcW w:w="812" w:type="pct"/>
            <w:shd w:val="clear" w:color="auto" w:fill="auto"/>
            <w:vAlign w:val="center"/>
          </w:tcPr>
          <w:p w14:paraId="3354BCD4" w14:textId="5A7FC816" w:rsidR="00E22739" w:rsidRPr="00781112" w:rsidRDefault="00E22739" w:rsidP="00E22739">
            <w:pPr>
              <w:jc w:val="center"/>
              <w:rPr>
                <w:rFonts w:cs="Arial"/>
                <w:color w:val="000000" w:themeColor="text1"/>
                <w:szCs w:val="16"/>
              </w:rPr>
            </w:pPr>
            <w:r w:rsidRPr="00781112">
              <w:rPr>
                <w:rFonts w:cs="Arial"/>
                <w:color w:val="000000" w:themeColor="text1"/>
                <w:szCs w:val="16"/>
              </w:rPr>
              <w:t>41.78%</w:t>
            </w:r>
          </w:p>
        </w:tc>
        <w:tc>
          <w:tcPr>
            <w:tcW w:w="516" w:type="pct"/>
            <w:shd w:val="clear" w:color="auto" w:fill="auto"/>
            <w:vAlign w:val="center"/>
          </w:tcPr>
          <w:p w14:paraId="54DCE3E3" w14:textId="767528A8" w:rsidR="00E22739" w:rsidRPr="00781112" w:rsidRDefault="00E22739" w:rsidP="00E22739">
            <w:pPr>
              <w:jc w:val="center"/>
              <w:rPr>
                <w:rFonts w:cs="Arial"/>
                <w:color w:val="000000" w:themeColor="text1"/>
                <w:szCs w:val="16"/>
              </w:rPr>
            </w:pPr>
          </w:p>
        </w:tc>
        <w:tc>
          <w:tcPr>
            <w:tcW w:w="517" w:type="pct"/>
            <w:shd w:val="clear" w:color="auto" w:fill="auto"/>
            <w:vAlign w:val="center"/>
          </w:tcPr>
          <w:p w14:paraId="391F5142" w14:textId="770A7FE0" w:rsidR="00E22739" w:rsidRPr="00781112" w:rsidRDefault="00E22739" w:rsidP="00E22739">
            <w:pPr>
              <w:jc w:val="center"/>
              <w:rPr>
                <w:rFonts w:cs="Arial"/>
                <w:color w:val="000000" w:themeColor="text1"/>
                <w:szCs w:val="16"/>
              </w:rPr>
            </w:pPr>
            <w:r w:rsidRPr="00781112">
              <w:rPr>
                <w:rFonts w:cs="Arial"/>
                <w:color w:val="000000" w:themeColor="text1"/>
                <w:szCs w:val="16"/>
              </w:rPr>
              <w:t>25.25</w:t>
            </w:r>
          </w:p>
        </w:tc>
        <w:tc>
          <w:tcPr>
            <w:tcW w:w="517" w:type="pct"/>
            <w:shd w:val="clear" w:color="auto" w:fill="auto"/>
            <w:vAlign w:val="center"/>
          </w:tcPr>
          <w:p w14:paraId="017D29FF" w14:textId="59A06573" w:rsidR="00E22739" w:rsidRPr="00781112" w:rsidRDefault="00E22739" w:rsidP="00E22739">
            <w:pPr>
              <w:jc w:val="center"/>
              <w:rPr>
                <w:rFonts w:cs="Arial"/>
                <w:color w:val="000000" w:themeColor="text1"/>
                <w:szCs w:val="16"/>
              </w:rPr>
            </w:pPr>
            <w:r w:rsidRPr="00781112">
              <w:rPr>
                <w:rFonts w:cs="Arial"/>
                <w:color w:val="000000" w:themeColor="text1"/>
                <w:szCs w:val="16"/>
              </w:rPr>
              <w:t>25.28</w:t>
            </w:r>
          </w:p>
        </w:tc>
        <w:tc>
          <w:tcPr>
            <w:tcW w:w="517" w:type="pct"/>
            <w:shd w:val="clear" w:color="auto" w:fill="auto"/>
            <w:vAlign w:val="center"/>
          </w:tcPr>
          <w:p w14:paraId="39C0C705" w14:textId="1211FD2B"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c>
          <w:tcPr>
            <w:tcW w:w="516" w:type="pct"/>
            <w:shd w:val="clear" w:color="auto" w:fill="auto"/>
            <w:vAlign w:val="center"/>
          </w:tcPr>
          <w:p w14:paraId="339FEB2D" w14:textId="0223F580"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r>
      <w:tr w:rsidR="00E22739" w:rsidRPr="00781112" w14:paraId="4FDDF1FC" w14:textId="77777777" w:rsidTr="00360DD6">
        <w:tc>
          <w:tcPr>
            <w:tcW w:w="331" w:type="pct"/>
            <w:shd w:val="clear" w:color="auto" w:fill="auto"/>
            <w:vAlign w:val="center"/>
          </w:tcPr>
          <w:p w14:paraId="472CE57B"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206C7DCC" w14:textId="37A252FA"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8</w:t>
            </w:r>
          </w:p>
        </w:tc>
        <w:tc>
          <w:tcPr>
            <w:tcW w:w="812" w:type="pct"/>
            <w:shd w:val="clear" w:color="auto" w:fill="auto"/>
          </w:tcPr>
          <w:p w14:paraId="7D22B3FA" w14:textId="258C0B1D" w:rsidR="00E22739" w:rsidRPr="00781112" w:rsidRDefault="00E22739" w:rsidP="00E22739">
            <w:pPr>
              <w:jc w:val="center"/>
              <w:rPr>
                <w:rFonts w:cs="Arial"/>
                <w:color w:val="000000" w:themeColor="text1"/>
                <w:szCs w:val="16"/>
              </w:rPr>
            </w:pPr>
            <w:r w:rsidRPr="00781112">
              <w:rPr>
                <w:rFonts w:cs="Arial"/>
                <w:color w:val="000000"/>
                <w:szCs w:val="16"/>
              </w:rPr>
              <w:t>9.39%</w:t>
            </w:r>
          </w:p>
        </w:tc>
        <w:tc>
          <w:tcPr>
            <w:tcW w:w="812" w:type="pct"/>
            <w:shd w:val="clear" w:color="auto" w:fill="auto"/>
            <w:vAlign w:val="center"/>
          </w:tcPr>
          <w:p w14:paraId="375F78DA" w14:textId="0FC6397A" w:rsidR="00E22739" w:rsidRPr="00781112" w:rsidRDefault="00E22739" w:rsidP="00E22739">
            <w:pPr>
              <w:jc w:val="center"/>
              <w:rPr>
                <w:rFonts w:cs="Arial"/>
                <w:color w:val="000000" w:themeColor="text1"/>
                <w:szCs w:val="16"/>
              </w:rPr>
            </w:pPr>
            <w:r w:rsidRPr="00781112">
              <w:rPr>
                <w:rFonts w:cs="Arial"/>
                <w:color w:val="000000" w:themeColor="text1"/>
                <w:szCs w:val="16"/>
              </w:rPr>
              <w:t>44.11%</w:t>
            </w:r>
          </w:p>
        </w:tc>
        <w:tc>
          <w:tcPr>
            <w:tcW w:w="516" w:type="pct"/>
            <w:shd w:val="clear" w:color="auto" w:fill="auto"/>
            <w:vAlign w:val="center"/>
          </w:tcPr>
          <w:p w14:paraId="64AC26EC" w14:textId="4F9A3CF6" w:rsidR="00E22739" w:rsidRPr="00781112" w:rsidRDefault="00E22739" w:rsidP="00E22739">
            <w:pPr>
              <w:jc w:val="center"/>
              <w:rPr>
                <w:rFonts w:cs="Arial"/>
                <w:color w:val="000000" w:themeColor="text1"/>
                <w:szCs w:val="16"/>
              </w:rPr>
            </w:pPr>
          </w:p>
        </w:tc>
        <w:tc>
          <w:tcPr>
            <w:tcW w:w="517" w:type="pct"/>
            <w:shd w:val="clear" w:color="auto" w:fill="auto"/>
            <w:vAlign w:val="center"/>
          </w:tcPr>
          <w:p w14:paraId="3B5E22DF" w14:textId="033CD131" w:rsidR="00E22739" w:rsidRPr="00781112" w:rsidRDefault="00E22739" w:rsidP="00E22739">
            <w:pPr>
              <w:jc w:val="center"/>
              <w:rPr>
                <w:rFonts w:cs="Arial"/>
                <w:color w:val="000000" w:themeColor="text1"/>
                <w:szCs w:val="16"/>
              </w:rPr>
            </w:pPr>
            <w:r w:rsidRPr="00781112">
              <w:rPr>
                <w:rFonts w:cs="Arial"/>
                <w:color w:val="000000" w:themeColor="text1"/>
                <w:szCs w:val="16"/>
              </w:rPr>
              <w:t>34.71</w:t>
            </w:r>
          </w:p>
        </w:tc>
        <w:tc>
          <w:tcPr>
            <w:tcW w:w="517" w:type="pct"/>
            <w:shd w:val="clear" w:color="auto" w:fill="auto"/>
            <w:vAlign w:val="center"/>
          </w:tcPr>
          <w:p w14:paraId="256C9782" w14:textId="4BEEC361" w:rsidR="00E22739" w:rsidRPr="00781112" w:rsidRDefault="00E22739" w:rsidP="00E22739">
            <w:pPr>
              <w:jc w:val="center"/>
              <w:rPr>
                <w:rFonts w:cs="Arial"/>
                <w:color w:val="000000" w:themeColor="text1"/>
                <w:szCs w:val="16"/>
              </w:rPr>
            </w:pPr>
            <w:r w:rsidRPr="00781112">
              <w:rPr>
                <w:rFonts w:cs="Arial"/>
                <w:color w:val="000000" w:themeColor="text1"/>
                <w:szCs w:val="16"/>
              </w:rPr>
              <w:t>34.71</w:t>
            </w:r>
          </w:p>
        </w:tc>
        <w:tc>
          <w:tcPr>
            <w:tcW w:w="517" w:type="pct"/>
            <w:shd w:val="clear" w:color="auto" w:fill="auto"/>
            <w:vAlign w:val="center"/>
          </w:tcPr>
          <w:p w14:paraId="51FD2F8A" w14:textId="67567519"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c>
          <w:tcPr>
            <w:tcW w:w="516" w:type="pct"/>
            <w:shd w:val="clear" w:color="auto" w:fill="auto"/>
            <w:vAlign w:val="center"/>
          </w:tcPr>
          <w:p w14:paraId="7915AEC0" w14:textId="2BE183B0"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r>
      <w:tr w:rsidR="00E22739" w:rsidRPr="00781112" w14:paraId="4A60F932" w14:textId="77777777" w:rsidTr="00360DD6">
        <w:tc>
          <w:tcPr>
            <w:tcW w:w="331" w:type="pct"/>
            <w:shd w:val="clear" w:color="auto" w:fill="auto"/>
            <w:vAlign w:val="center"/>
          </w:tcPr>
          <w:p w14:paraId="109942AA"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629F3FBC" w14:textId="78934061"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HS</w:t>
            </w:r>
          </w:p>
        </w:tc>
        <w:tc>
          <w:tcPr>
            <w:tcW w:w="812" w:type="pct"/>
            <w:shd w:val="clear" w:color="auto" w:fill="auto"/>
          </w:tcPr>
          <w:p w14:paraId="125CF02F" w14:textId="284CB419" w:rsidR="00E22739" w:rsidRPr="00781112" w:rsidRDefault="00E22739" w:rsidP="00E22739">
            <w:pPr>
              <w:jc w:val="center"/>
              <w:rPr>
                <w:rFonts w:cs="Arial"/>
                <w:color w:val="000000" w:themeColor="text1"/>
                <w:szCs w:val="16"/>
              </w:rPr>
            </w:pPr>
            <w:r w:rsidRPr="00781112">
              <w:rPr>
                <w:rFonts w:cs="Arial"/>
                <w:color w:val="000000"/>
                <w:szCs w:val="16"/>
              </w:rPr>
              <w:t>7.69%</w:t>
            </w:r>
          </w:p>
        </w:tc>
        <w:tc>
          <w:tcPr>
            <w:tcW w:w="812" w:type="pct"/>
            <w:shd w:val="clear" w:color="auto" w:fill="auto"/>
            <w:vAlign w:val="center"/>
          </w:tcPr>
          <w:p w14:paraId="1276E93C" w14:textId="75BFB41B" w:rsidR="00E22739" w:rsidRPr="00781112" w:rsidRDefault="00E22739" w:rsidP="00E22739">
            <w:pPr>
              <w:jc w:val="center"/>
              <w:rPr>
                <w:rFonts w:cs="Arial"/>
                <w:color w:val="000000" w:themeColor="text1"/>
                <w:szCs w:val="16"/>
              </w:rPr>
            </w:pPr>
            <w:r w:rsidRPr="00781112">
              <w:rPr>
                <w:rFonts w:cs="Arial"/>
                <w:color w:val="000000" w:themeColor="text1"/>
                <w:szCs w:val="16"/>
              </w:rPr>
              <w:t>41.19%</w:t>
            </w:r>
          </w:p>
        </w:tc>
        <w:tc>
          <w:tcPr>
            <w:tcW w:w="516" w:type="pct"/>
            <w:shd w:val="clear" w:color="auto" w:fill="auto"/>
            <w:vAlign w:val="center"/>
          </w:tcPr>
          <w:p w14:paraId="76DE5213" w14:textId="3C97B5A2" w:rsidR="00E22739" w:rsidRPr="00781112" w:rsidRDefault="00E22739" w:rsidP="00E22739">
            <w:pPr>
              <w:jc w:val="center"/>
              <w:rPr>
                <w:rFonts w:cs="Arial"/>
                <w:color w:val="000000" w:themeColor="text1"/>
                <w:szCs w:val="16"/>
              </w:rPr>
            </w:pPr>
          </w:p>
        </w:tc>
        <w:tc>
          <w:tcPr>
            <w:tcW w:w="517" w:type="pct"/>
            <w:shd w:val="clear" w:color="auto" w:fill="auto"/>
            <w:vAlign w:val="center"/>
          </w:tcPr>
          <w:p w14:paraId="49FF9458" w14:textId="166D5425" w:rsidR="00E22739" w:rsidRPr="00781112" w:rsidRDefault="00E22739" w:rsidP="00E22739">
            <w:pPr>
              <w:jc w:val="center"/>
              <w:rPr>
                <w:rFonts w:cs="Arial"/>
                <w:color w:val="000000" w:themeColor="text1"/>
                <w:szCs w:val="16"/>
              </w:rPr>
            </w:pPr>
            <w:r w:rsidRPr="00781112">
              <w:rPr>
                <w:rFonts w:cs="Arial"/>
                <w:color w:val="000000" w:themeColor="text1"/>
                <w:szCs w:val="16"/>
              </w:rPr>
              <w:t>33.50</w:t>
            </w:r>
          </w:p>
        </w:tc>
        <w:tc>
          <w:tcPr>
            <w:tcW w:w="517" w:type="pct"/>
            <w:shd w:val="clear" w:color="auto" w:fill="auto"/>
            <w:vAlign w:val="center"/>
          </w:tcPr>
          <w:p w14:paraId="6CEACE1B" w14:textId="242A6B31" w:rsidR="00E22739" w:rsidRPr="00781112" w:rsidRDefault="00E22739" w:rsidP="00E22739">
            <w:pPr>
              <w:jc w:val="center"/>
              <w:rPr>
                <w:rFonts w:cs="Arial"/>
                <w:color w:val="000000" w:themeColor="text1"/>
                <w:szCs w:val="16"/>
              </w:rPr>
            </w:pPr>
            <w:r w:rsidRPr="00781112">
              <w:rPr>
                <w:rFonts w:cs="Arial"/>
                <w:color w:val="000000" w:themeColor="text1"/>
                <w:szCs w:val="16"/>
              </w:rPr>
              <w:t>33.50</w:t>
            </w:r>
          </w:p>
        </w:tc>
        <w:tc>
          <w:tcPr>
            <w:tcW w:w="517" w:type="pct"/>
            <w:shd w:val="clear" w:color="auto" w:fill="auto"/>
            <w:vAlign w:val="center"/>
          </w:tcPr>
          <w:p w14:paraId="06F1CF5C" w14:textId="7AA9C548"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c>
          <w:tcPr>
            <w:tcW w:w="516" w:type="pct"/>
            <w:shd w:val="clear" w:color="auto" w:fill="auto"/>
            <w:vAlign w:val="center"/>
          </w:tcPr>
          <w:p w14:paraId="05AC9F1E" w14:textId="1D3DD5BD"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r>
    </w:tbl>
    <w:p w14:paraId="006E999D" w14:textId="77777777" w:rsidR="00DD5B7A" w:rsidRPr="00781112" w:rsidRDefault="00DD5B7A" w:rsidP="00DD5B7A">
      <w:pPr>
        <w:spacing w:before="0" w:after="200" w:line="276" w:lineRule="auto"/>
        <w:rPr>
          <w:b/>
          <w:color w:val="000000" w:themeColor="text1"/>
        </w:rPr>
      </w:pPr>
    </w:p>
    <w:p w14:paraId="2E07CCBD" w14:textId="77777777" w:rsidR="00DD5B7A" w:rsidRPr="00781112" w:rsidRDefault="00DD5B7A" w:rsidP="00DD5B7A">
      <w:pPr>
        <w:rPr>
          <w:b/>
          <w:color w:val="000000" w:themeColor="text1"/>
        </w:rPr>
      </w:pPr>
      <w:r w:rsidRPr="00781112">
        <w:rPr>
          <w:b/>
          <w:color w:val="000000" w:themeColor="text1"/>
        </w:rPr>
        <w:t>FFY 2020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DATAMTH"/>
      </w:tblPr>
      <w:tblGrid>
        <w:gridCol w:w="715"/>
        <w:gridCol w:w="995"/>
        <w:gridCol w:w="1800"/>
        <w:gridCol w:w="1800"/>
        <w:gridCol w:w="1096"/>
        <w:gridCol w:w="1096"/>
        <w:gridCol w:w="1096"/>
        <w:gridCol w:w="1096"/>
        <w:gridCol w:w="1096"/>
      </w:tblGrid>
      <w:tr w:rsidR="00C95D2E" w:rsidRPr="00781112" w14:paraId="6355AB57" w14:textId="77777777" w:rsidTr="001B7E95">
        <w:trPr>
          <w:tblHeader/>
        </w:trPr>
        <w:tc>
          <w:tcPr>
            <w:tcW w:w="331" w:type="pct"/>
            <w:shd w:val="clear" w:color="auto" w:fill="auto"/>
            <w:vAlign w:val="bottom"/>
          </w:tcPr>
          <w:p w14:paraId="7C464B0B" w14:textId="77777777" w:rsidR="00C95D2E" w:rsidRPr="00781112" w:rsidRDefault="00C95D2E" w:rsidP="00C95D2E">
            <w:pPr>
              <w:jc w:val="center"/>
              <w:rPr>
                <w:b/>
                <w:color w:val="000000" w:themeColor="text1"/>
              </w:rPr>
            </w:pPr>
            <w:r w:rsidRPr="00781112">
              <w:rPr>
                <w:b/>
                <w:color w:val="000000" w:themeColor="text1"/>
              </w:rPr>
              <w:t>Group</w:t>
            </w:r>
          </w:p>
        </w:tc>
        <w:tc>
          <w:tcPr>
            <w:tcW w:w="461" w:type="pct"/>
            <w:shd w:val="clear" w:color="auto" w:fill="auto"/>
            <w:vAlign w:val="bottom"/>
          </w:tcPr>
          <w:p w14:paraId="2FB9EF47" w14:textId="77777777" w:rsidR="00C95D2E" w:rsidRPr="00781112" w:rsidRDefault="00C95D2E" w:rsidP="00C95D2E">
            <w:pPr>
              <w:jc w:val="center"/>
              <w:rPr>
                <w:b/>
                <w:color w:val="000000" w:themeColor="text1"/>
              </w:rPr>
            </w:pPr>
            <w:r w:rsidRPr="00781112">
              <w:rPr>
                <w:b/>
                <w:color w:val="000000" w:themeColor="text1"/>
              </w:rPr>
              <w:t>Group Name</w:t>
            </w:r>
          </w:p>
        </w:tc>
        <w:tc>
          <w:tcPr>
            <w:tcW w:w="834" w:type="pct"/>
            <w:shd w:val="clear" w:color="auto" w:fill="auto"/>
            <w:vAlign w:val="bottom"/>
          </w:tcPr>
          <w:p w14:paraId="0B1D45D9" w14:textId="51C28093" w:rsidR="00C95D2E" w:rsidRPr="00781112" w:rsidRDefault="00C95D2E" w:rsidP="00C95D2E">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34" w:type="pct"/>
            <w:shd w:val="clear" w:color="auto" w:fill="auto"/>
            <w:vAlign w:val="bottom"/>
          </w:tcPr>
          <w:p w14:paraId="7D0D3B25" w14:textId="708C001A" w:rsidR="00C95D2E" w:rsidRPr="00781112" w:rsidRDefault="00C95D2E" w:rsidP="00C95D2E">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08" w:type="pct"/>
            <w:shd w:val="clear" w:color="auto" w:fill="auto"/>
            <w:vAlign w:val="bottom"/>
          </w:tcPr>
          <w:p w14:paraId="7FA2E5CF" w14:textId="77777777" w:rsidR="00C95D2E" w:rsidRPr="00781112" w:rsidRDefault="00C95D2E" w:rsidP="00C95D2E">
            <w:pPr>
              <w:jc w:val="center"/>
              <w:rPr>
                <w:b/>
                <w:color w:val="000000" w:themeColor="text1"/>
              </w:rPr>
            </w:pPr>
            <w:r w:rsidRPr="00781112">
              <w:rPr>
                <w:b/>
                <w:color w:val="000000" w:themeColor="text1"/>
              </w:rPr>
              <w:t>FFY 2019 Data</w:t>
            </w:r>
          </w:p>
        </w:tc>
        <w:tc>
          <w:tcPr>
            <w:tcW w:w="508" w:type="pct"/>
            <w:shd w:val="clear" w:color="auto" w:fill="auto"/>
            <w:vAlign w:val="bottom"/>
          </w:tcPr>
          <w:p w14:paraId="275741A5" w14:textId="77777777" w:rsidR="00C95D2E" w:rsidRPr="00781112" w:rsidRDefault="00C95D2E" w:rsidP="00C95D2E">
            <w:pPr>
              <w:jc w:val="center"/>
              <w:rPr>
                <w:b/>
                <w:color w:val="000000" w:themeColor="text1"/>
              </w:rPr>
            </w:pPr>
            <w:r w:rsidRPr="00781112">
              <w:rPr>
                <w:b/>
                <w:color w:val="000000" w:themeColor="text1"/>
              </w:rPr>
              <w:t>FFY 2020 Target</w:t>
            </w:r>
          </w:p>
        </w:tc>
        <w:tc>
          <w:tcPr>
            <w:tcW w:w="508" w:type="pct"/>
            <w:shd w:val="clear" w:color="auto" w:fill="auto"/>
            <w:vAlign w:val="bottom"/>
          </w:tcPr>
          <w:p w14:paraId="597E0BC4" w14:textId="77777777" w:rsidR="00C95D2E" w:rsidRPr="00781112" w:rsidRDefault="00C95D2E" w:rsidP="00C95D2E">
            <w:pPr>
              <w:jc w:val="center"/>
              <w:rPr>
                <w:b/>
                <w:color w:val="000000" w:themeColor="text1"/>
              </w:rPr>
            </w:pPr>
            <w:r w:rsidRPr="00781112">
              <w:rPr>
                <w:b/>
                <w:color w:val="000000" w:themeColor="text1"/>
              </w:rPr>
              <w:t>FFY 2020 Data</w:t>
            </w:r>
          </w:p>
        </w:tc>
        <w:tc>
          <w:tcPr>
            <w:tcW w:w="508" w:type="pct"/>
            <w:shd w:val="clear" w:color="auto" w:fill="auto"/>
            <w:vAlign w:val="bottom"/>
          </w:tcPr>
          <w:p w14:paraId="53963A37" w14:textId="77777777" w:rsidR="00C95D2E" w:rsidRPr="00781112" w:rsidRDefault="00C95D2E" w:rsidP="00C95D2E">
            <w:pPr>
              <w:jc w:val="center"/>
              <w:rPr>
                <w:b/>
                <w:color w:val="000000" w:themeColor="text1"/>
              </w:rPr>
            </w:pPr>
            <w:r w:rsidRPr="00781112">
              <w:rPr>
                <w:b/>
                <w:color w:val="000000" w:themeColor="text1"/>
              </w:rPr>
              <w:t>Status</w:t>
            </w:r>
          </w:p>
        </w:tc>
        <w:tc>
          <w:tcPr>
            <w:tcW w:w="508" w:type="pct"/>
            <w:shd w:val="clear" w:color="auto" w:fill="auto"/>
            <w:vAlign w:val="bottom"/>
          </w:tcPr>
          <w:p w14:paraId="45442BEB" w14:textId="77777777" w:rsidR="00C95D2E" w:rsidRPr="00781112" w:rsidRDefault="00C95D2E" w:rsidP="00C95D2E">
            <w:pPr>
              <w:jc w:val="center"/>
              <w:rPr>
                <w:b/>
                <w:color w:val="000000" w:themeColor="text1"/>
              </w:rPr>
            </w:pPr>
            <w:r w:rsidRPr="00781112">
              <w:rPr>
                <w:b/>
                <w:color w:val="000000" w:themeColor="text1"/>
              </w:rPr>
              <w:t>Slippage</w:t>
            </w:r>
          </w:p>
        </w:tc>
      </w:tr>
      <w:tr w:rsidR="00C95D2E" w:rsidRPr="00781112" w14:paraId="37123996" w14:textId="77777777" w:rsidTr="001B7E95">
        <w:tc>
          <w:tcPr>
            <w:tcW w:w="331" w:type="pct"/>
            <w:shd w:val="clear" w:color="auto" w:fill="auto"/>
            <w:vAlign w:val="center"/>
          </w:tcPr>
          <w:p w14:paraId="689B01B1"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1D9CE262" w14:textId="508A4023"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4</w:t>
            </w:r>
          </w:p>
        </w:tc>
        <w:tc>
          <w:tcPr>
            <w:tcW w:w="834" w:type="pct"/>
            <w:shd w:val="clear" w:color="auto" w:fill="auto"/>
            <w:vAlign w:val="center"/>
          </w:tcPr>
          <w:p w14:paraId="26A57F7A" w14:textId="09E9CA5E" w:rsidR="002A19C8" w:rsidRPr="00781112" w:rsidRDefault="002A19C8" w:rsidP="002A19C8">
            <w:pPr>
              <w:jc w:val="center"/>
              <w:rPr>
                <w:rFonts w:cs="Arial"/>
                <w:color w:val="000000" w:themeColor="text1"/>
                <w:szCs w:val="16"/>
              </w:rPr>
            </w:pPr>
            <w:r w:rsidRPr="00781112">
              <w:rPr>
                <w:rFonts w:cs="Arial"/>
                <w:color w:val="000000"/>
                <w:szCs w:val="16"/>
              </w:rPr>
              <w:t>12.40%</w:t>
            </w:r>
          </w:p>
        </w:tc>
        <w:tc>
          <w:tcPr>
            <w:tcW w:w="834" w:type="pct"/>
            <w:shd w:val="clear" w:color="auto" w:fill="auto"/>
            <w:vAlign w:val="center"/>
          </w:tcPr>
          <w:p w14:paraId="361835CD" w14:textId="59029D06" w:rsidR="002A19C8" w:rsidRPr="00781112" w:rsidRDefault="002A19C8" w:rsidP="002A19C8">
            <w:pPr>
              <w:jc w:val="center"/>
              <w:rPr>
                <w:rFonts w:cs="Arial"/>
                <w:color w:val="000000" w:themeColor="text1"/>
                <w:szCs w:val="16"/>
              </w:rPr>
            </w:pPr>
            <w:r w:rsidRPr="00781112">
              <w:rPr>
                <w:rFonts w:cs="Arial"/>
                <w:color w:val="000000" w:themeColor="text1"/>
                <w:szCs w:val="16"/>
              </w:rPr>
              <w:t>32.00%</w:t>
            </w:r>
          </w:p>
        </w:tc>
        <w:tc>
          <w:tcPr>
            <w:tcW w:w="508" w:type="pct"/>
            <w:shd w:val="clear" w:color="auto" w:fill="auto"/>
            <w:vAlign w:val="center"/>
          </w:tcPr>
          <w:p w14:paraId="59D4C214" w14:textId="5AA8261A" w:rsidR="002A19C8" w:rsidRPr="00781112" w:rsidRDefault="002A19C8" w:rsidP="002A19C8">
            <w:pPr>
              <w:jc w:val="center"/>
              <w:rPr>
                <w:rFonts w:cs="Arial"/>
                <w:color w:val="000000" w:themeColor="text1"/>
                <w:szCs w:val="16"/>
              </w:rPr>
            </w:pPr>
          </w:p>
        </w:tc>
        <w:tc>
          <w:tcPr>
            <w:tcW w:w="508" w:type="pct"/>
            <w:shd w:val="clear" w:color="auto" w:fill="auto"/>
            <w:vAlign w:val="center"/>
          </w:tcPr>
          <w:p w14:paraId="5226537A" w14:textId="04AA78B1" w:rsidR="002A19C8" w:rsidRPr="00781112" w:rsidRDefault="002A19C8" w:rsidP="002A19C8">
            <w:pPr>
              <w:jc w:val="center"/>
              <w:rPr>
                <w:rFonts w:cs="Arial"/>
                <w:color w:val="000000" w:themeColor="text1"/>
                <w:szCs w:val="16"/>
              </w:rPr>
            </w:pPr>
            <w:r w:rsidRPr="00781112">
              <w:rPr>
                <w:rFonts w:cs="Arial"/>
                <w:color w:val="000000" w:themeColor="text1"/>
                <w:szCs w:val="16"/>
              </w:rPr>
              <w:t>19.50</w:t>
            </w:r>
          </w:p>
        </w:tc>
        <w:tc>
          <w:tcPr>
            <w:tcW w:w="508" w:type="pct"/>
            <w:shd w:val="clear" w:color="auto" w:fill="auto"/>
            <w:vAlign w:val="center"/>
          </w:tcPr>
          <w:p w14:paraId="235D63D6" w14:textId="6BEC0204" w:rsidR="002A19C8" w:rsidRPr="00781112" w:rsidRDefault="002A19C8" w:rsidP="002A19C8">
            <w:pPr>
              <w:jc w:val="center"/>
              <w:rPr>
                <w:rFonts w:cs="Arial"/>
                <w:color w:val="000000" w:themeColor="text1"/>
                <w:szCs w:val="16"/>
              </w:rPr>
            </w:pPr>
            <w:r w:rsidRPr="00781112">
              <w:rPr>
                <w:rFonts w:cs="Arial"/>
                <w:color w:val="000000" w:themeColor="text1"/>
                <w:szCs w:val="16"/>
              </w:rPr>
              <w:t>19.60</w:t>
            </w:r>
          </w:p>
        </w:tc>
        <w:tc>
          <w:tcPr>
            <w:tcW w:w="508" w:type="pct"/>
            <w:shd w:val="clear" w:color="auto" w:fill="auto"/>
            <w:vAlign w:val="center"/>
          </w:tcPr>
          <w:p w14:paraId="50CBCD87" w14:textId="7E9D9F0C"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c>
          <w:tcPr>
            <w:tcW w:w="508" w:type="pct"/>
            <w:shd w:val="clear" w:color="auto" w:fill="auto"/>
            <w:vAlign w:val="center"/>
          </w:tcPr>
          <w:p w14:paraId="35988424" w14:textId="54CE90DF"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r>
      <w:tr w:rsidR="00C95D2E" w:rsidRPr="00781112" w14:paraId="0DE5EFED" w14:textId="77777777" w:rsidTr="001B7E95">
        <w:tc>
          <w:tcPr>
            <w:tcW w:w="331" w:type="pct"/>
            <w:shd w:val="clear" w:color="auto" w:fill="auto"/>
            <w:vAlign w:val="center"/>
          </w:tcPr>
          <w:p w14:paraId="51380788"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6D85D6A7" w14:textId="5558F45F"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8</w:t>
            </w:r>
          </w:p>
        </w:tc>
        <w:tc>
          <w:tcPr>
            <w:tcW w:w="834" w:type="pct"/>
            <w:shd w:val="clear" w:color="auto" w:fill="auto"/>
            <w:vAlign w:val="center"/>
          </w:tcPr>
          <w:p w14:paraId="4288B43D" w14:textId="3B77409B" w:rsidR="002A19C8" w:rsidRPr="00781112" w:rsidRDefault="002A19C8" w:rsidP="002A19C8">
            <w:pPr>
              <w:jc w:val="center"/>
              <w:rPr>
                <w:rFonts w:cs="Arial"/>
                <w:color w:val="000000" w:themeColor="text1"/>
                <w:szCs w:val="16"/>
              </w:rPr>
            </w:pPr>
            <w:r w:rsidRPr="00781112">
              <w:rPr>
                <w:rFonts w:cs="Arial"/>
                <w:color w:val="000000"/>
                <w:szCs w:val="16"/>
              </w:rPr>
              <w:t>4.88%</w:t>
            </w:r>
          </w:p>
        </w:tc>
        <w:tc>
          <w:tcPr>
            <w:tcW w:w="834" w:type="pct"/>
            <w:shd w:val="clear" w:color="auto" w:fill="auto"/>
            <w:vAlign w:val="center"/>
          </w:tcPr>
          <w:p w14:paraId="11774D79" w14:textId="6519EED1" w:rsidR="002A19C8" w:rsidRPr="00781112" w:rsidRDefault="002A19C8" w:rsidP="002A19C8">
            <w:pPr>
              <w:jc w:val="center"/>
              <w:rPr>
                <w:rFonts w:cs="Arial"/>
                <w:color w:val="000000" w:themeColor="text1"/>
                <w:szCs w:val="16"/>
              </w:rPr>
            </w:pPr>
            <w:r w:rsidRPr="00781112">
              <w:rPr>
                <w:rFonts w:cs="Arial"/>
                <w:color w:val="000000" w:themeColor="text1"/>
                <w:szCs w:val="16"/>
              </w:rPr>
              <w:t>27.08%</w:t>
            </w:r>
          </w:p>
        </w:tc>
        <w:tc>
          <w:tcPr>
            <w:tcW w:w="508" w:type="pct"/>
            <w:shd w:val="clear" w:color="auto" w:fill="auto"/>
            <w:vAlign w:val="center"/>
          </w:tcPr>
          <w:p w14:paraId="28E3CF1C" w14:textId="69751C29" w:rsidR="002A19C8" w:rsidRPr="00781112" w:rsidRDefault="002A19C8" w:rsidP="002A19C8">
            <w:pPr>
              <w:jc w:val="center"/>
              <w:rPr>
                <w:rFonts w:cs="Arial"/>
                <w:color w:val="000000" w:themeColor="text1"/>
                <w:szCs w:val="16"/>
              </w:rPr>
            </w:pPr>
          </w:p>
        </w:tc>
        <w:tc>
          <w:tcPr>
            <w:tcW w:w="508" w:type="pct"/>
            <w:shd w:val="clear" w:color="auto" w:fill="auto"/>
            <w:vAlign w:val="center"/>
          </w:tcPr>
          <w:p w14:paraId="468D28D5" w14:textId="3BD9025E" w:rsidR="002A19C8" w:rsidRPr="00781112" w:rsidRDefault="002A19C8" w:rsidP="002A19C8">
            <w:pPr>
              <w:jc w:val="center"/>
              <w:rPr>
                <w:rFonts w:cs="Arial"/>
                <w:color w:val="000000" w:themeColor="text1"/>
                <w:szCs w:val="16"/>
              </w:rPr>
            </w:pPr>
            <w:r w:rsidRPr="00781112">
              <w:rPr>
                <w:rFonts w:cs="Arial"/>
                <w:color w:val="000000" w:themeColor="text1"/>
                <w:szCs w:val="16"/>
              </w:rPr>
              <w:t>22.00</w:t>
            </w:r>
          </w:p>
        </w:tc>
        <w:tc>
          <w:tcPr>
            <w:tcW w:w="508" w:type="pct"/>
            <w:shd w:val="clear" w:color="auto" w:fill="auto"/>
            <w:vAlign w:val="center"/>
          </w:tcPr>
          <w:p w14:paraId="30644E0B" w14:textId="37C215BA" w:rsidR="002A19C8" w:rsidRPr="00781112" w:rsidRDefault="002A19C8" w:rsidP="002A19C8">
            <w:pPr>
              <w:jc w:val="center"/>
              <w:rPr>
                <w:rFonts w:cs="Arial"/>
                <w:color w:val="000000" w:themeColor="text1"/>
                <w:szCs w:val="16"/>
              </w:rPr>
            </w:pPr>
            <w:r w:rsidRPr="00781112">
              <w:rPr>
                <w:rFonts w:cs="Arial"/>
                <w:color w:val="000000" w:themeColor="text1"/>
                <w:szCs w:val="16"/>
              </w:rPr>
              <w:t>22.20</w:t>
            </w:r>
          </w:p>
        </w:tc>
        <w:tc>
          <w:tcPr>
            <w:tcW w:w="508" w:type="pct"/>
            <w:shd w:val="clear" w:color="auto" w:fill="auto"/>
            <w:vAlign w:val="center"/>
          </w:tcPr>
          <w:p w14:paraId="1312CD99" w14:textId="5541B25D"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c>
          <w:tcPr>
            <w:tcW w:w="508" w:type="pct"/>
            <w:shd w:val="clear" w:color="auto" w:fill="auto"/>
            <w:vAlign w:val="center"/>
          </w:tcPr>
          <w:p w14:paraId="536612A4" w14:textId="60F48CB2"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r>
      <w:tr w:rsidR="00C95D2E" w:rsidRPr="00781112" w14:paraId="36AFD504" w14:textId="77777777" w:rsidTr="001B7E95">
        <w:tc>
          <w:tcPr>
            <w:tcW w:w="331" w:type="pct"/>
            <w:shd w:val="clear" w:color="auto" w:fill="auto"/>
            <w:vAlign w:val="center"/>
          </w:tcPr>
          <w:p w14:paraId="4932227A"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236171D2" w14:textId="335C29F0"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HS</w:t>
            </w:r>
          </w:p>
        </w:tc>
        <w:tc>
          <w:tcPr>
            <w:tcW w:w="834" w:type="pct"/>
            <w:shd w:val="clear" w:color="auto" w:fill="auto"/>
            <w:vAlign w:val="center"/>
          </w:tcPr>
          <w:p w14:paraId="6C585469" w14:textId="27CFD453" w:rsidR="002A19C8" w:rsidRPr="00781112" w:rsidRDefault="002A19C8" w:rsidP="002A19C8">
            <w:pPr>
              <w:jc w:val="center"/>
              <w:rPr>
                <w:rFonts w:cs="Arial"/>
                <w:color w:val="000000" w:themeColor="text1"/>
                <w:szCs w:val="16"/>
              </w:rPr>
            </w:pPr>
            <w:r w:rsidRPr="00781112">
              <w:rPr>
                <w:rFonts w:cs="Arial"/>
                <w:color w:val="000000"/>
                <w:szCs w:val="16"/>
              </w:rPr>
              <w:t>5.59%</w:t>
            </w:r>
          </w:p>
        </w:tc>
        <w:tc>
          <w:tcPr>
            <w:tcW w:w="834" w:type="pct"/>
            <w:shd w:val="clear" w:color="auto" w:fill="auto"/>
            <w:vAlign w:val="center"/>
          </w:tcPr>
          <w:p w14:paraId="13AB3928" w14:textId="234CBFA8" w:rsidR="002A19C8" w:rsidRPr="00781112" w:rsidRDefault="002A19C8" w:rsidP="002A19C8">
            <w:pPr>
              <w:jc w:val="center"/>
              <w:rPr>
                <w:rFonts w:cs="Arial"/>
                <w:color w:val="000000" w:themeColor="text1"/>
                <w:szCs w:val="16"/>
              </w:rPr>
            </w:pPr>
            <w:r w:rsidRPr="00781112">
              <w:rPr>
                <w:rFonts w:cs="Arial"/>
                <w:color w:val="000000" w:themeColor="text1"/>
                <w:szCs w:val="16"/>
              </w:rPr>
              <w:t>32.07%</w:t>
            </w:r>
          </w:p>
        </w:tc>
        <w:tc>
          <w:tcPr>
            <w:tcW w:w="508" w:type="pct"/>
            <w:shd w:val="clear" w:color="auto" w:fill="auto"/>
            <w:vAlign w:val="center"/>
          </w:tcPr>
          <w:p w14:paraId="2ABC747F" w14:textId="158D9570" w:rsidR="002A19C8" w:rsidRPr="00781112" w:rsidRDefault="002A19C8" w:rsidP="002A19C8">
            <w:pPr>
              <w:jc w:val="center"/>
              <w:rPr>
                <w:rFonts w:cs="Arial"/>
                <w:color w:val="000000" w:themeColor="text1"/>
                <w:szCs w:val="16"/>
              </w:rPr>
            </w:pPr>
          </w:p>
        </w:tc>
        <w:tc>
          <w:tcPr>
            <w:tcW w:w="508" w:type="pct"/>
            <w:shd w:val="clear" w:color="auto" w:fill="auto"/>
            <w:vAlign w:val="center"/>
          </w:tcPr>
          <w:p w14:paraId="1ACDF21F" w14:textId="6248B4E9" w:rsidR="002A19C8" w:rsidRPr="00781112" w:rsidRDefault="002A19C8" w:rsidP="002A19C8">
            <w:pPr>
              <w:jc w:val="center"/>
              <w:rPr>
                <w:rFonts w:cs="Arial"/>
                <w:color w:val="000000" w:themeColor="text1"/>
                <w:szCs w:val="16"/>
              </w:rPr>
            </w:pPr>
            <w:r w:rsidRPr="00781112">
              <w:rPr>
                <w:rFonts w:cs="Arial"/>
                <w:color w:val="000000" w:themeColor="text1"/>
                <w:szCs w:val="16"/>
              </w:rPr>
              <w:t>26.25</w:t>
            </w:r>
          </w:p>
        </w:tc>
        <w:tc>
          <w:tcPr>
            <w:tcW w:w="508" w:type="pct"/>
            <w:shd w:val="clear" w:color="auto" w:fill="auto"/>
            <w:vAlign w:val="center"/>
          </w:tcPr>
          <w:p w14:paraId="69CE5BC3" w14:textId="39D166D6" w:rsidR="002A19C8" w:rsidRPr="00781112" w:rsidRDefault="002A19C8" w:rsidP="002A19C8">
            <w:pPr>
              <w:jc w:val="center"/>
              <w:rPr>
                <w:rFonts w:cs="Arial"/>
                <w:color w:val="000000" w:themeColor="text1"/>
                <w:szCs w:val="16"/>
              </w:rPr>
            </w:pPr>
            <w:r w:rsidRPr="00781112">
              <w:rPr>
                <w:rFonts w:cs="Arial"/>
                <w:color w:val="000000" w:themeColor="text1"/>
                <w:szCs w:val="16"/>
              </w:rPr>
              <w:t>26.47</w:t>
            </w:r>
          </w:p>
        </w:tc>
        <w:tc>
          <w:tcPr>
            <w:tcW w:w="508" w:type="pct"/>
            <w:shd w:val="clear" w:color="auto" w:fill="auto"/>
            <w:vAlign w:val="center"/>
          </w:tcPr>
          <w:p w14:paraId="2CA33323" w14:textId="59FD6DC7"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c>
          <w:tcPr>
            <w:tcW w:w="508" w:type="pct"/>
            <w:shd w:val="clear" w:color="auto" w:fill="auto"/>
            <w:vAlign w:val="center"/>
          </w:tcPr>
          <w:p w14:paraId="0BEDA3C1" w14:textId="6A01F324"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r>
    </w:tbl>
    <w:p w14:paraId="67B1DC74" w14:textId="77777777" w:rsidR="00DD5B7A" w:rsidRPr="00781112" w:rsidRDefault="00DD5B7A" w:rsidP="00DD5B7A">
      <w:pPr>
        <w:spacing w:before="0" w:after="200" w:line="276" w:lineRule="auto"/>
        <w:rPr>
          <w:b/>
          <w:color w:val="000000" w:themeColor="text1"/>
        </w:rPr>
      </w:pPr>
    </w:p>
    <w:p w14:paraId="2FF851DB" w14:textId="77777777" w:rsidR="00DD5B7A" w:rsidRPr="00781112" w:rsidRDefault="00DD5B7A" w:rsidP="00DD5B7A">
      <w:pPr>
        <w:rPr>
          <w:b/>
          <w:color w:val="000000" w:themeColor="text1"/>
        </w:rPr>
      </w:pPr>
      <w:r w:rsidRPr="00781112">
        <w:rPr>
          <w:b/>
          <w:color w:val="000000" w:themeColor="text1"/>
        </w:rPr>
        <w:t>Provide additional information about this indicator (optional)</w:t>
      </w:r>
    </w:p>
    <w:p w14:paraId="646908D0" w14:textId="2EB40E98" w:rsidR="00DD5B7A" w:rsidRPr="00781112" w:rsidRDefault="00DD5B7A" w:rsidP="00DD5B7A">
      <w:pPr>
        <w:rPr>
          <w:rFonts w:cs="Arial"/>
          <w:color w:val="000000" w:themeColor="text1"/>
          <w:szCs w:val="16"/>
        </w:rPr>
      </w:pPr>
      <w:r w:rsidRPr="00781112">
        <w:rPr>
          <w:rFonts w:cs="Arial"/>
          <w:color w:val="000000" w:themeColor="text1"/>
          <w:szCs w:val="16"/>
        </w:rPr>
        <w:t xml:space="preserve">FFY 2020 is the first year reporting this target and reporting ELA and math proficiency by grades 4, 8 and HS. Additionally, this is the first year that the State is defining proficiency as scoring Mastery+ instead of Basic+ on our statewide assessments. </w:t>
      </w:r>
    </w:p>
    <w:p w14:paraId="2ABFD82D" w14:textId="77777777" w:rsidR="00764DDE" w:rsidRPr="00781112" w:rsidRDefault="00764DDE" w:rsidP="00764DDE">
      <w:pPr>
        <w:spacing w:before="0" w:after="200" w:line="276" w:lineRule="auto"/>
        <w:rPr>
          <w:color w:val="000000" w:themeColor="text1"/>
          <w:szCs w:val="16"/>
        </w:rPr>
      </w:pPr>
    </w:p>
    <w:p w14:paraId="1CD50F37" w14:textId="6334E2E5" w:rsidR="00764DDE" w:rsidRPr="00781112" w:rsidRDefault="00764DDE" w:rsidP="00764DDE">
      <w:pPr>
        <w:pStyle w:val="Heading2"/>
      </w:pPr>
      <w:r w:rsidRPr="00781112">
        <w:t>3D - Prior FFY Required Actions</w:t>
      </w:r>
    </w:p>
    <w:p w14:paraId="34B574CB" w14:textId="14B02F6F" w:rsidR="00764DDE" w:rsidRPr="00781112" w:rsidRDefault="00764DDE" w:rsidP="00764DDE">
      <w:pPr>
        <w:rPr>
          <w:rFonts w:cs="Arial"/>
          <w:color w:val="000000" w:themeColor="text1"/>
          <w:szCs w:val="16"/>
        </w:rPr>
      </w:pPr>
      <w:r w:rsidRPr="00781112">
        <w:rPr>
          <w:rFonts w:cs="Arial"/>
          <w:color w:val="000000" w:themeColor="text1"/>
          <w:szCs w:val="16"/>
        </w:rPr>
        <w:t>None</w:t>
      </w:r>
    </w:p>
    <w:p w14:paraId="02AADAEE" w14:textId="09BE2C66" w:rsidR="00764DDE" w:rsidRPr="00781112" w:rsidRDefault="00764DDE" w:rsidP="00764DDE">
      <w:pPr>
        <w:pStyle w:val="Heading2"/>
      </w:pPr>
      <w:r w:rsidRPr="00781112">
        <w:t>3D - OSEP Response</w:t>
      </w:r>
    </w:p>
    <w:p w14:paraId="6F9D8957" w14:textId="2AADB119" w:rsidR="00764DDE" w:rsidRPr="00781112" w:rsidRDefault="00764DDE" w:rsidP="00764DDE">
      <w:pPr>
        <w:rPr>
          <w:rFonts w:cs="Arial"/>
          <w:color w:val="000000" w:themeColor="text1"/>
          <w:szCs w:val="16"/>
        </w:rPr>
      </w:pPr>
      <w:r w:rsidRPr="00781112">
        <w:rPr>
          <w:rFonts w:cs="Arial"/>
          <w:color w:val="000000" w:themeColor="text1"/>
          <w:szCs w:val="16"/>
          <w:shd w:val="clear" w:color="auto" w:fill="FFFFFF"/>
        </w:rPr>
        <w:t>The State has established the baseline for this indicator, using data from FFY 2020, and OSEP accepts that baseline.</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The State provided targets for FFYs 2020 through 2025 for this indicator, and OSEP accepts those targets.</w:t>
      </w:r>
    </w:p>
    <w:p w14:paraId="09AAC73F" w14:textId="7E96F305" w:rsidR="00764DDE" w:rsidRPr="00781112" w:rsidRDefault="00764DDE" w:rsidP="00764DDE">
      <w:pPr>
        <w:pStyle w:val="Heading2"/>
      </w:pPr>
      <w:r w:rsidRPr="00781112">
        <w:t>3D - Required Actions</w:t>
      </w:r>
    </w:p>
    <w:p w14:paraId="77AA7102" w14:textId="5725FBB6" w:rsidR="00764DDE" w:rsidRPr="00781112" w:rsidRDefault="00764DDE" w:rsidP="00764DDE">
      <w:pPr>
        <w:rPr>
          <w:rFonts w:cs="Arial"/>
          <w:color w:val="000000" w:themeColor="text1"/>
          <w:szCs w:val="16"/>
        </w:rPr>
      </w:pPr>
    </w:p>
    <w:p w14:paraId="72857535" w14:textId="77777777" w:rsidR="00764DDE" w:rsidRPr="00781112" w:rsidRDefault="00764DDE">
      <w:pPr>
        <w:spacing w:before="0" w:after="200" w:line="276" w:lineRule="auto"/>
        <w:rPr>
          <w:rFonts w:eastAsiaTheme="majorEastAsia" w:cstheme="majorBidi"/>
          <w:b/>
          <w:bCs/>
          <w:color w:val="000000" w:themeColor="text1"/>
          <w:sz w:val="22"/>
          <w:szCs w:val="28"/>
        </w:rPr>
      </w:pPr>
      <w:r w:rsidRPr="00781112">
        <w:rPr>
          <w:color w:val="000000" w:themeColor="text1"/>
          <w:sz w:val="22"/>
        </w:rPr>
        <w:br w:type="page"/>
      </w:r>
    </w:p>
    <w:p w14:paraId="1E2B07DD" w14:textId="7F0EB6BD" w:rsidR="00D03701" w:rsidRPr="00781112" w:rsidRDefault="00D03701" w:rsidP="000444E2">
      <w:pPr>
        <w:pStyle w:val="Heading1"/>
        <w:rPr>
          <w:color w:val="000000" w:themeColor="text1"/>
          <w:sz w:val="22"/>
        </w:rPr>
      </w:pPr>
      <w:r w:rsidRPr="00781112">
        <w:rPr>
          <w:color w:val="000000" w:themeColor="text1"/>
          <w:sz w:val="22"/>
        </w:rPr>
        <w:lastRenderedPageBreak/>
        <w:t>Indicator 4A: Suspension/Expulsion</w:t>
      </w:r>
      <w:bookmarkEnd w:id="17"/>
      <w:bookmarkEnd w:id="18"/>
    </w:p>
    <w:p w14:paraId="6B24B370" w14:textId="77777777" w:rsidR="006E5AE4" w:rsidRPr="00781112" w:rsidRDefault="006E5AE4" w:rsidP="00A018D4">
      <w:pPr>
        <w:rPr>
          <w:color w:val="000000" w:themeColor="text1"/>
          <w:szCs w:val="20"/>
        </w:rPr>
      </w:pPr>
      <w:bookmarkStart w:id="20" w:name="_Toc384383331"/>
      <w:bookmarkStart w:id="21" w:name="_Toc392159283"/>
      <w:r w:rsidRPr="00781112">
        <w:rPr>
          <w:b/>
          <w:color w:val="000000" w:themeColor="text1"/>
          <w:sz w:val="20"/>
          <w:szCs w:val="20"/>
        </w:rPr>
        <w:t xml:space="preserve">Instructions and Measurement </w:t>
      </w:r>
    </w:p>
    <w:p w14:paraId="73D979E8" w14:textId="6D1D1338" w:rsidR="00DD1D55" w:rsidRPr="00781112" w:rsidRDefault="00DD1D55"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1281AA40" w14:textId="5BDAB0D4" w:rsidR="000A5A2E" w:rsidRPr="00781112" w:rsidRDefault="00DD1D55" w:rsidP="00286BDF">
      <w:pPr>
        <w:rPr>
          <w:rFonts w:cs="Arial"/>
          <w:color w:val="000000" w:themeColor="text1"/>
          <w:szCs w:val="16"/>
        </w:rPr>
      </w:pPr>
      <w:r w:rsidRPr="00781112">
        <w:rPr>
          <w:rFonts w:cs="Arial"/>
          <w:b/>
          <w:color w:val="000000" w:themeColor="text1"/>
          <w:szCs w:val="16"/>
        </w:rPr>
        <w:t>Results Indicator:</w:t>
      </w:r>
      <w:r w:rsidR="00286BDF" w:rsidRPr="00781112">
        <w:rPr>
          <w:rFonts w:cs="Arial"/>
          <w:color w:val="000000" w:themeColor="text1"/>
          <w:szCs w:val="16"/>
        </w:rPr>
        <w:t xml:space="preserve"> </w:t>
      </w:r>
      <w:r w:rsidR="000A5A2E" w:rsidRPr="00781112">
        <w:rPr>
          <w:rFonts w:cs="Arial"/>
          <w:color w:val="000000" w:themeColor="text1"/>
          <w:szCs w:val="16"/>
        </w:rPr>
        <w:t>Rates of suspension and expulsion:</w:t>
      </w:r>
    </w:p>
    <w:p w14:paraId="075F6BB9" w14:textId="62CB55C8" w:rsidR="000A5A2E" w:rsidRPr="00781112" w:rsidRDefault="001D5BAF" w:rsidP="006A01BD">
      <w:pPr>
        <w:ind w:left="720"/>
        <w:rPr>
          <w:color w:val="000000" w:themeColor="text1"/>
        </w:rPr>
      </w:pPr>
      <w:r w:rsidRPr="00781112">
        <w:rPr>
          <w:rFonts w:cs="Arial"/>
          <w:color w:val="000000" w:themeColor="text1"/>
          <w:szCs w:val="16"/>
        </w:rPr>
        <w:t xml:space="preserve">A. Percent of </w:t>
      </w:r>
      <w:r w:rsidR="00752D76" w:rsidRPr="00781112">
        <w:rPr>
          <w:rFonts w:cs="Arial"/>
          <w:szCs w:val="16"/>
        </w:rPr>
        <w:t>local educational agencies (LEA)</w:t>
      </w:r>
      <w:r w:rsidRPr="00781112">
        <w:rPr>
          <w:rFonts w:cs="Arial"/>
          <w:color w:val="000000" w:themeColor="text1"/>
          <w:szCs w:val="16"/>
        </w:rPr>
        <w:t xml:space="preserve"> that have a significant discrepancy</w:t>
      </w:r>
      <w:r w:rsidR="00F46CC4" w:rsidRPr="00781112">
        <w:rPr>
          <w:rFonts w:cs="Arial"/>
          <w:szCs w:val="16"/>
        </w:rPr>
        <w:t>, as defined by the State,</w:t>
      </w:r>
      <w:r w:rsidRPr="00781112">
        <w:rPr>
          <w:rFonts w:cs="Arial"/>
          <w:color w:val="000000" w:themeColor="text1"/>
          <w:szCs w:val="16"/>
        </w:rPr>
        <w:t xml:space="preserve"> in the rate of suspensions and expulsions of greater than 10 days in a school </w:t>
      </w:r>
      <w:r w:rsidR="00DD1D55" w:rsidRPr="00781112">
        <w:rPr>
          <w:color w:val="000000" w:themeColor="text1"/>
        </w:rPr>
        <w:t>year for children with IEPs</w:t>
      </w:r>
      <w:r w:rsidR="00E97863" w:rsidRPr="00781112">
        <w:rPr>
          <w:color w:val="000000" w:themeColor="text1"/>
        </w:rPr>
        <w:t>; and</w:t>
      </w:r>
    </w:p>
    <w:p w14:paraId="269BA1CE" w14:textId="0C66D8C5" w:rsidR="00E97863" w:rsidRPr="002529C8" w:rsidRDefault="00BA66ED" w:rsidP="002529C8">
      <w:pPr>
        <w:ind w:left="720"/>
        <w:rPr>
          <w:rFonts w:cs="Arial"/>
          <w:szCs w:val="16"/>
        </w:rPr>
      </w:pPr>
      <w:r w:rsidRPr="00781112">
        <w:rPr>
          <w:rFonts w:cs="Arial"/>
          <w:color w:val="000000" w:themeColor="text1"/>
          <w:szCs w:val="16"/>
        </w:rPr>
        <w:t xml:space="preserve">B. </w:t>
      </w:r>
      <w:r w:rsidR="00E97863" w:rsidRPr="00856B0E">
        <w:rPr>
          <w:rFonts w:cs="Arial"/>
          <w:szCs w:val="16"/>
        </w:rPr>
        <w:t>Percent of LEAs that have:</w:t>
      </w:r>
      <w:r w:rsidR="00E97863" w:rsidRPr="00781112">
        <w:rPr>
          <w:rFonts w:cs="Arial"/>
          <w:szCs w:val="16"/>
        </w:rPr>
        <w:t xml:space="preserve"> (a) a significant discrepancy, as defined by the State, by race or ethnicity, in the rate of suspensions and</w:t>
      </w:r>
      <w:r w:rsidR="002529C8">
        <w:rPr>
          <w:rFonts w:cs="Arial"/>
          <w:szCs w:val="16"/>
        </w:rPr>
        <w:t xml:space="preserve"> </w:t>
      </w:r>
      <w:r w:rsidR="00E97863" w:rsidRPr="002529C8">
        <w:rPr>
          <w:rFonts w:cs="Arial"/>
          <w:szCs w:val="16"/>
        </w:rPr>
        <w:t>expulsions of greater than 10 days in a school year for</w:t>
      </w:r>
      <w:r w:rsidR="002529C8">
        <w:rPr>
          <w:rFonts w:cs="Arial"/>
          <w:szCs w:val="16"/>
        </w:rPr>
        <w:t xml:space="preserve"> </w:t>
      </w:r>
      <w:r w:rsidR="00E97863" w:rsidRPr="002529C8">
        <w:rPr>
          <w:rFonts w:cs="Arial"/>
          <w:szCs w:val="16"/>
        </w:rPr>
        <w:t>children with IEPs; and (b) policies, procedures or practices that contribute to the significant discrepancy, as defined by the State, and do not comply with requirements relating to the development</w:t>
      </w:r>
      <w:r w:rsidR="002529C8">
        <w:rPr>
          <w:rFonts w:cs="Arial"/>
          <w:szCs w:val="16"/>
        </w:rPr>
        <w:t xml:space="preserve"> </w:t>
      </w:r>
      <w:r w:rsidR="00E97863" w:rsidRPr="002529C8">
        <w:rPr>
          <w:rFonts w:cs="Arial"/>
          <w:szCs w:val="16"/>
        </w:rPr>
        <w:t>and implementation of IEPs, the use of positive behavioral interventions and supports, and procedural safeguards.</w:t>
      </w:r>
    </w:p>
    <w:p w14:paraId="104900D3" w14:textId="4D6824EB"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09801465" w14:textId="77777777" w:rsidR="000A5A2E" w:rsidRPr="00781112" w:rsidRDefault="000A5A2E" w:rsidP="004369B2">
      <w:pPr>
        <w:rPr>
          <w:color w:val="000000" w:themeColor="text1"/>
        </w:rPr>
      </w:pPr>
      <w:r w:rsidRPr="00781112">
        <w:rPr>
          <w:b/>
          <w:color w:val="000000" w:themeColor="text1"/>
        </w:rPr>
        <w:t>Data Source</w:t>
      </w:r>
    </w:p>
    <w:p w14:paraId="06368193" w14:textId="2006ADF5" w:rsidR="000A5A2E" w:rsidRPr="00781112" w:rsidRDefault="000A5A2E" w:rsidP="00286BDF">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74159870" w14:textId="77777777" w:rsidR="000A5A2E" w:rsidRPr="00781112" w:rsidRDefault="000A5A2E" w:rsidP="004369B2">
      <w:pPr>
        <w:rPr>
          <w:color w:val="000000" w:themeColor="text1"/>
        </w:rPr>
      </w:pPr>
      <w:r w:rsidRPr="00781112">
        <w:rPr>
          <w:b/>
          <w:color w:val="000000" w:themeColor="text1"/>
        </w:rPr>
        <w:t>Measurement</w:t>
      </w:r>
    </w:p>
    <w:p w14:paraId="5CD903C0" w14:textId="4C799C0D" w:rsidR="000A5A2E" w:rsidRPr="00781112" w:rsidRDefault="000A5A2E"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of </w:t>
      </w:r>
      <w:r w:rsidR="00315E88"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that meet the State-established n</w:t>
      </w:r>
      <w:r w:rsidR="0087130D" w:rsidRPr="00781112">
        <w:rPr>
          <w:rFonts w:cs="Arial"/>
          <w:color w:val="000000" w:themeColor="text1"/>
          <w:szCs w:val="16"/>
          <w:shd w:val="clear" w:color="auto" w:fill="FFFFFF"/>
        </w:rPr>
        <w:t xml:space="preserve"> </w:t>
      </w:r>
      <w:r w:rsidR="0087130D" w:rsidRPr="00781112">
        <w:rPr>
          <w:rFonts w:cs="Arial"/>
          <w:szCs w:val="16"/>
          <w:shd w:val="clear" w:color="auto" w:fill="FFFFFF"/>
        </w:rPr>
        <w:t>and/or cell</w:t>
      </w:r>
      <w:r w:rsidRPr="00781112">
        <w:rPr>
          <w:rFonts w:cs="Arial"/>
          <w:color w:val="000000" w:themeColor="text1"/>
          <w:szCs w:val="16"/>
          <w:shd w:val="clear" w:color="auto" w:fill="FFFFFF"/>
        </w:rPr>
        <w:t xml:space="preserve"> size (if applicable) that have a significant discrepancy</w:t>
      </w:r>
      <w:r w:rsidR="00770816" w:rsidRPr="00781112">
        <w:rPr>
          <w:rFonts w:cs="Arial"/>
          <w:color w:val="000000" w:themeColor="text1"/>
          <w:szCs w:val="16"/>
          <w:shd w:val="clear" w:color="auto" w:fill="FFFFFF"/>
        </w:rPr>
        <w:t xml:space="preserve">, </w:t>
      </w:r>
      <w:r w:rsidR="00770816" w:rsidRPr="00781112">
        <w:rPr>
          <w:rFonts w:cs="Arial"/>
          <w:szCs w:val="16"/>
          <w:shd w:val="clear" w:color="auto" w:fill="FFFFFF"/>
        </w:rPr>
        <w:t>as defined by the State,</w:t>
      </w:r>
      <w:r w:rsidRPr="00781112">
        <w:rPr>
          <w:rFonts w:cs="Arial"/>
          <w:color w:val="000000" w:themeColor="text1"/>
          <w:szCs w:val="16"/>
          <w:shd w:val="clear" w:color="auto" w:fill="FFFFFF"/>
        </w:rPr>
        <w:t xml:space="preserve"> in the rates of suspensions and expulsions for </w:t>
      </w:r>
      <w:r w:rsidR="001F6583"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1F6583" w:rsidRPr="00781112">
        <w:rPr>
          <w:rFonts w:cs="Arial"/>
          <w:color w:val="000000" w:themeColor="text1"/>
          <w:szCs w:val="16"/>
          <w:shd w:val="clear" w:color="auto" w:fill="FFFFFF"/>
        </w:rPr>
        <w:t xml:space="preserve">during </w:t>
      </w:r>
      <w:r w:rsidR="00041274" w:rsidRPr="00781112">
        <w:rPr>
          <w:rFonts w:cs="Arial"/>
          <w:color w:val="000000" w:themeColor="text1"/>
          <w:szCs w:val="16"/>
          <w:shd w:val="clear" w:color="auto" w:fill="FFFFFF"/>
        </w:rPr>
        <w:t xml:space="preserve">the </w:t>
      </w:r>
      <w:r w:rsidRPr="00781112">
        <w:rPr>
          <w:rFonts w:cs="Arial"/>
          <w:color w:val="000000" w:themeColor="text1"/>
          <w:szCs w:val="16"/>
          <w:shd w:val="clear" w:color="auto" w:fill="FFFFFF"/>
        </w:rPr>
        <w:t xml:space="preserve">school year of children with IEPs) divided by the (# of </w:t>
      </w:r>
      <w:r w:rsidR="00041274"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in the State that meet the State-established n</w:t>
      </w:r>
      <w:r w:rsidR="00041274" w:rsidRPr="00781112">
        <w:rPr>
          <w:rFonts w:cs="Arial"/>
          <w:color w:val="000000" w:themeColor="text1"/>
          <w:szCs w:val="16"/>
          <w:shd w:val="clear" w:color="auto" w:fill="FFFFFF"/>
        </w:rPr>
        <w:t xml:space="preserve"> and</w:t>
      </w:r>
      <w:r w:rsidR="00742DCB" w:rsidRPr="00781112">
        <w:rPr>
          <w:rFonts w:cs="Arial"/>
          <w:color w:val="000000" w:themeColor="text1"/>
          <w:szCs w:val="16"/>
          <w:shd w:val="clear" w:color="auto" w:fill="FFFFFF"/>
        </w:rPr>
        <w:t>/or cell</w:t>
      </w:r>
      <w:r w:rsidRPr="00781112">
        <w:rPr>
          <w:rFonts w:cs="Arial"/>
          <w:color w:val="000000" w:themeColor="text1"/>
          <w:szCs w:val="16"/>
          <w:shd w:val="clear" w:color="auto" w:fill="FFFFFF"/>
        </w:rPr>
        <w:t xml:space="preserve"> size (if applicable))</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4D7272B6" w14:textId="2A0B0F5F" w:rsidR="00636061" w:rsidRPr="00781112" w:rsidRDefault="00636061"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0C71C487" w14:textId="316E6449" w:rsidR="000A5A2E" w:rsidRPr="00781112" w:rsidRDefault="000A5A2E" w:rsidP="004369B2">
      <w:pPr>
        <w:rPr>
          <w:color w:val="000000" w:themeColor="text1"/>
        </w:rPr>
      </w:pPr>
      <w:r w:rsidRPr="00781112">
        <w:rPr>
          <w:b/>
          <w:color w:val="000000" w:themeColor="text1"/>
        </w:rPr>
        <w:t>Instructions</w:t>
      </w:r>
    </w:p>
    <w:p w14:paraId="20DD9B9C" w14:textId="57AEB24A" w:rsidR="000A5A2E" w:rsidRPr="00781112" w:rsidRDefault="00636061" w:rsidP="00BB7BC9">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LEAs that met that State-established n and/or cell size. If the State used a minimum n and/or cell size requirement, report the number of LEAs excluded from the calculation as a result of this requirement.</w:t>
      </w:r>
    </w:p>
    <w:p w14:paraId="3AD8FD7E" w14:textId="63FA952D" w:rsidR="00636061" w:rsidRPr="00781112" w:rsidRDefault="00A14B5D" w:rsidP="00BB7BC9">
      <w:pPr>
        <w:rPr>
          <w:rFonts w:cs="Arial"/>
          <w:color w:val="000000" w:themeColor="text1"/>
          <w:szCs w:val="16"/>
        </w:rPr>
      </w:pPr>
      <w:r w:rsidRPr="00781112">
        <w:rPr>
          <w:rFonts w:cs="Arial"/>
          <w:color w:val="000000" w:themeColor="text1"/>
          <w:szCs w:val="16"/>
        </w:rPr>
        <w:t>Describe the results of the State’s examination of the data for the year before the reporting year (e.g., for the FFY 2020 SPP/APR, use data from 2019-2020), including data disaggregated by race and ethnicity to determine if significant discrepancies</w:t>
      </w:r>
      <w:r w:rsidR="001E6FDD" w:rsidRPr="00781112">
        <w:rPr>
          <w:rFonts w:cs="Arial"/>
          <w:szCs w:val="16"/>
        </w:rPr>
        <w:t xml:space="preserve">, as defined by the State, </w:t>
      </w:r>
      <w:r w:rsidRPr="00781112">
        <w:rPr>
          <w:rFonts w:cs="Arial"/>
          <w:color w:val="000000" w:themeColor="text1"/>
          <w:szCs w:val="16"/>
        </w:rPr>
        <w:t xml:space="preserve">are occurring in the rates of long-term suspensions and expulsions </w:t>
      </w:r>
      <w:r w:rsidR="00E14C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p>
    <w:p w14:paraId="4D5D1D9E" w14:textId="3C303A84" w:rsidR="00636061" w:rsidRPr="00781112" w:rsidRDefault="006279F2"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671599A1" w14:textId="71D1B673" w:rsidR="00636061" w:rsidRPr="00781112" w:rsidRDefault="006279F2"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to nondisabled children within the LEAs</w:t>
      </w:r>
    </w:p>
    <w:p w14:paraId="64CB6014" w14:textId="58F4D965" w:rsidR="00636061" w:rsidRPr="00781112" w:rsidRDefault="00636061"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22C5D4B" w14:textId="77777777" w:rsidR="004F019B" w:rsidRPr="00781112" w:rsidRDefault="004F019B" w:rsidP="004F019B">
      <w:pPr>
        <w:rPr>
          <w:rFonts w:cs="Arial"/>
          <w:szCs w:val="16"/>
        </w:rPr>
      </w:pPr>
      <w:r w:rsidRPr="00781112">
        <w:rPr>
          <w:rFonts w:cs="Arial"/>
          <w:szCs w:val="16"/>
        </w:rPr>
        <w:t>Because the measurement table requires that the data examined for this indicator are lag year data, States should examine the 618 data that was submitted by LEAs that were in operation during the school year before the reporting year. For example, if a State has 100 LEAs operating in the 2019-2020 school year, those 100 LEAs would have reported 618 data in 2019-2020 on the number of children suspended/expelled. If the State then opens 15 new LEAs in 2020-2021, suspension/expulsion data from those 15 new LEAs would not be in the 2019-2020 618 data set, and therefore, those 15 new LEAs should not be included in the denominator of the calculation. States must use the number of LEAs from the year before the reporting year in its calculation for this indicator. For the FFY 2020 SPP/APR submission, States must use the number of LEAs reported in 2019-2020 (which can be found in the FFY 2019 SPP/APR introduction).</w:t>
      </w:r>
    </w:p>
    <w:p w14:paraId="2CD8E267" w14:textId="0424A1C2" w:rsidR="00636061" w:rsidRPr="00781112" w:rsidRDefault="00636061" w:rsidP="00BB7BC9">
      <w:pPr>
        <w:rPr>
          <w:rFonts w:cs="Arial"/>
          <w:color w:val="000000" w:themeColor="text1"/>
          <w:szCs w:val="16"/>
        </w:rPr>
      </w:pPr>
      <w:r w:rsidRPr="00781112">
        <w:rPr>
          <w:rFonts w:cs="Arial"/>
          <w:color w:val="000000" w:themeColor="text1"/>
          <w:szCs w:val="16"/>
        </w:rPr>
        <w:t>Indicator 4A: Provide the actual numbers used in the calculation (based upon districts that met the minimum n and/or cell size requirement, if applicable). If significant discrepancies occurred, describe how the State educational agency reviewed and, if appropriate, revised (or required the affected local educational agency to revise) its policies, procedures, and practices relating to the development and implementation of IEPs, the use of positive behavioral interventions and supports, and procedural safeguards, to ensure that such policies, procedures, and practices comply with applicable requirements.</w:t>
      </w:r>
    </w:p>
    <w:p w14:paraId="03BDAB2D" w14:textId="067F0139" w:rsidR="00636061" w:rsidRPr="00781112" w:rsidRDefault="00636061" w:rsidP="00BB7BC9">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discrepancies occurred and the LEA with discrepancies had policies, procedures or practices that contributed to the significant discrepancy,</w:t>
      </w:r>
      <w:r w:rsidR="00ED1949" w:rsidRPr="00781112">
        <w:rPr>
          <w:rFonts w:cs="Arial"/>
          <w:szCs w:val="16"/>
        </w:rPr>
        <w:t xml:space="preserve"> as defined by the State,</w:t>
      </w:r>
      <w:r w:rsidRPr="00781112">
        <w:rPr>
          <w:rFonts w:cs="Arial"/>
          <w:color w:val="000000" w:themeColor="text1"/>
          <w:szCs w:val="16"/>
        </w:rPr>
        <w:t xml:space="preserve"> 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 Memorandum 09-02, dated October 17, 2008.</w:t>
      </w:r>
    </w:p>
    <w:p w14:paraId="6D645554" w14:textId="0206229C" w:rsidR="00636061" w:rsidRPr="00781112" w:rsidRDefault="00636061"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406A7CC3" w14:textId="7DF00914" w:rsidR="00636061" w:rsidRPr="00781112" w:rsidRDefault="00A14B5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216100ED" w14:textId="6483EA1E" w:rsidR="006E5AE4" w:rsidRPr="00781112" w:rsidRDefault="00697434" w:rsidP="008645AD">
      <w:pPr>
        <w:pStyle w:val="Heading2"/>
      </w:pPr>
      <w:bookmarkStart w:id="22" w:name="_Toc384383332"/>
      <w:bookmarkStart w:id="23" w:name="_Toc392159284"/>
      <w:bookmarkEnd w:id="20"/>
      <w:bookmarkEnd w:id="21"/>
      <w:r w:rsidRPr="00781112">
        <w:t>4A</w:t>
      </w:r>
      <w:r w:rsidR="00DA3C7A" w:rsidRPr="00781112">
        <w:t xml:space="preserve"> </w:t>
      </w:r>
      <w:r w:rsidRPr="00781112">
        <w:t xml:space="preserve">- </w:t>
      </w:r>
      <w:r w:rsidR="006E5AE4" w:rsidRPr="00781112">
        <w:t>Indicator Data</w:t>
      </w:r>
    </w:p>
    <w:p w14:paraId="4E76A356" w14:textId="4BD9398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ABASELINEDATA"/>
      </w:tblPr>
      <w:tblGrid>
        <w:gridCol w:w="2562"/>
        <w:gridCol w:w="2563"/>
      </w:tblGrid>
      <w:tr w:rsidR="002B6965" w:rsidRPr="00781112" w14:paraId="5B1BF1C8" w14:textId="77777777" w:rsidTr="002B6965">
        <w:trPr>
          <w:trHeight w:val="311"/>
          <w:tblHeader/>
        </w:trPr>
        <w:tc>
          <w:tcPr>
            <w:tcW w:w="2562" w:type="dxa"/>
          </w:tcPr>
          <w:p w14:paraId="3EC58E83" w14:textId="77777777" w:rsidR="002B6965" w:rsidRPr="00781112" w:rsidRDefault="002B6965" w:rsidP="002B6965">
            <w:pPr>
              <w:jc w:val="center"/>
              <w:rPr>
                <w:b/>
                <w:color w:val="000000" w:themeColor="text1"/>
              </w:rPr>
            </w:pPr>
            <w:r w:rsidRPr="00781112">
              <w:rPr>
                <w:rFonts w:cs="Arial"/>
                <w:b/>
                <w:color w:val="000000" w:themeColor="text1"/>
                <w:szCs w:val="16"/>
              </w:rPr>
              <w:t>Baseline Year</w:t>
            </w:r>
          </w:p>
        </w:tc>
        <w:tc>
          <w:tcPr>
            <w:tcW w:w="2563" w:type="dxa"/>
          </w:tcPr>
          <w:p w14:paraId="3BF90404" w14:textId="77777777" w:rsidR="002B6965" w:rsidRPr="00781112" w:rsidRDefault="002B6965" w:rsidP="002B6965">
            <w:pPr>
              <w:jc w:val="center"/>
              <w:rPr>
                <w:b/>
                <w:color w:val="000000" w:themeColor="text1"/>
              </w:rPr>
            </w:pPr>
            <w:r w:rsidRPr="00781112">
              <w:rPr>
                <w:b/>
                <w:color w:val="000000" w:themeColor="text1"/>
              </w:rPr>
              <w:t>Baseline Data</w:t>
            </w:r>
          </w:p>
        </w:tc>
      </w:tr>
      <w:tr w:rsidR="002B6965" w:rsidRPr="00781112" w14:paraId="5EF83473" w14:textId="77777777" w:rsidTr="002B6965">
        <w:trPr>
          <w:trHeight w:val="311"/>
        </w:trPr>
        <w:tc>
          <w:tcPr>
            <w:tcW w:w="2562" w:type="dxa"/>
            <w:vAlign w:val="center"/>
          </w:tcPr>
          <w:p w14:paraId="5A1767D0" w14:textId="7AC9A457" w:rsidR="002B6965" w:rsidRPr="00781112" w:rsidRDefault="002B6965" w:rsidP="002B6965">
            <w:pPr>
              <w:jc w:val="center"/>
              <w:rPr>
                <w:b/>
                <w:color w:val="000000" w:themeColor="text1"/>
              </w:rPr>
            </w:pPr>
            <w:r w:rsidRPr="00781112">
              <w:rPr>
                <w:rFonts w:cs="Arial"/>
                <w:color w:val="000000" w:themeColor="text1"/>
                <w:szCs w:val="16"/>
              </w:rPr>
              <w:t>2005</w:t>
            </w:r>
          </w:p>
        </w:tc>
        <w:tc>
          <w:tcPr>
            <w:tcW w:w="2563" w:type="dxa"/>
            <w:vAlign w:val="center"/>
          </w:tcPr>
          <w:p w14:paraId="4EF66E74" w14:textId="7A5DFEFF" w:rsidR="002B6965" w:rsidRPr="00781112" w:rsidRDefault="002B6965" w:rsidP="002B6965">
            <w:pPr>
              <w:jc w:val="center"/>
              <w:rPr>
                <w:b/>
                <w:color w:val="000000" w:themeColor="text1"/>
              </w:rPr>
            </w:pPr>
            <w:r w:rsidRPr="00781112">
              <w:rPr>
                <w:rFonts w:cs="Arial"/>
                <w:color w:val="000000" w:themeColor="text1"/>
                <w:szCs w:val="16"/>
              </w:rPr>
              <w:t>26.50%</w:t>
            </w:r>
          </w:p>
        </w:tc>
      </w:tr>
    </w:tbl>
    <w:p w14:paraId="6781E363" w14:textId="556D76E5" w:rsidR="002B6965" w:rsidRPr="00781112" w:rsidRDefault="002E111A" w:rsidP="004369B2">
      <w:pPr>
        <w:rPr>
          <w:color w:val="000000" w:themeColor="text1"/>
        </w:rPr>
      </w:pP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HISTDATA"/>
      </w:tblPr>
      <w:tblGrid>
        <w:gridCol w:w="1798"/>
        <w:gridCol w:w="1798"/>
        <w:gridCol w:w="1798"/>
        <w:gridCol w:w="1798"/>
        <w:gridCol w:w="1798"/>
        <w:gridCol w:w="1800"/>
      </w:tblGrid>
      <w:tr w:rsidR="005C29F8" w:rsidRPr="00781112" w14:paraId="2DAF49AB" w14:textId="32F9B748" w:rsidTr="00E95FBF">
        <w:trPr>
          <w:trHeight w:val="350"/>
        </w:trPr>
        <w:tc>
          <w:tcPr>
            <w:tcW w:w="833" w:type="pct"/>
            <w:tcBorders>
              <w:bottom w:val="single" w:sz="4" w:space="0" w:color="auto"/>
            </w:tcBorders>
            <w:shd w:val="clear" w:color="auto" w:fill="auto"/>
          </w:tcPr>
          <w:p w14:paraId="7844FE4C" w14:textId="77777777" w:rsidR="00E4112E" w:rsidRPr="00781112" w:rsidRDefault="00E4112E" w:rsidP="004369B2">
            <w:pPr>
              <w:jc w:val="center"/>
              <w:rPr>
                <w:b/>
                <w:color w:val="000000" w:themeColor="text1"/>
              </w:rPr>
            </w:pPr>
            <w:r w:rsidRPr="00781112">
              <w:rPr>
                <w:b/>
                <w:color w:val="000000" w:themeColor="text1"/>
              </w:rPr>
              <w:t>FFY</w:t>
            </w:r>
          </w:p>
        </w:tc>
        <w:tc>
          <w:tcPr>
            <w:tcW w:w="833" w:type="pct"/>
            <w:shd w:val="clear" w:color="auto" w:fill="auto"/>
          </w:tcPr>
          <w:p w14:paraId="09DCA0E6" w14:textId="614607D6" w:rsidR="00E4112E" w:rsidRPr="00781112" w:rsidRDefault="002B7490">
            <w:pPr>
              <w:jc w:val="center"/>
              <w:rPr>
                <w:b/>
                <w:color w:val="000000" w:themeColor="text1"/>
              </w:rPr>
            </w:pPr>
            <w:r w:rsidRPr="00781112">
              <w:rPr>
                <w:b/>
                <w:color w:val="000000" w:themeColor="text1"/>
              </w:rPr>
              <w:t>2015</w:t>
            </w:r>
          </w:p>
        </w:tc>
        <w:tc>
          <w:tcPr>
            <w:tcW w:w="833" w:type="pct"/>
            <w:shd w:val="clear" w:color="auto" w:fill="auto"/>
          </w:tcPr>
          <w:p w14:paraId="7015519F" w14:textId="3BECE8C5" w:rsidR="00E4112E" w:rsidRPr="00781112" w:rsidRDefault="002B7490">
            <w:pPr>
              <w:jc w:val="center"/>
              <w:rPr>
                <w:b/>
                <w:color w:val="000000" w:themeColor="text1"/>
              </w:rPr>
            </w:pPr>
            <w:r w:rsidRPr="00781112">
              <w:rPr>
                <w:b/>
                <w:color w:val="000000" w:themeColor="text1"/>
              </w:rPr>
              <w:t>2016</w:t>
            </w:r>
          </w:p>
        </w:tc>
        <w:tc>
          <w:tcPr>
            <w:tcW w:w="833" w:type="pct"/>
            <w:shd w:val="clear" w:color="auto" w:fill="auto"/>
          </w:tcPr>
          <w:p w14:paraId="7CE93832" w14:textId="3E179BB5" w:rsidR="00E4112E"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1A1DC4B0" w14:textId="32B92E1C" w:rsidR="00E4112E" w:rsidRPr="00781112" w:rsidRDefault="002B7490">
            <w:pPr>
              <w:jc w:val="center"/>
              <w:rPr>
                <w:b/>
                <w:color w:val="000000" w:themeColor="text1"/>
              </w:rPr>
            </w:pPr>
            <w:r w:rsidRPr="00781112">
              <w:rPr>
                <w:b/>
                <w:color w:val="000000" w:themeColor="text1"/>
              </w:rPr>
              <w:t>2018</w:t>
            </w:r>
          </w:p>
        </w:tc>
        <w:tc>
          <w:tcPr>
            <w:tcW w:w="834" w:type="pct"/>
            <w:shd w:val="clear" w:color="auto" w:fill="auto"/>
          </w:tcPr>
          <w:p w14:paraId="030F446C" w14:textId="279E0CA2" w:rsidR="00E4112E" w:rsidRPr="00781112" w:rsidRDefault="002B7490">
            <w:pPr>
              <w:jc w:val="center"/>
              <w:rPr>
                <w:b/>
                <w:color w:val="000000" w:themeColor="text1"/>
              </w:rPr>
            </w:pPr>
            <w:r w:rsidRPr="00781112">
              <w:rPr>
                <w:b/>
                <w:color w:val="000000" w:themeColor="text1"/>
              </w:rPr>
              <w:t>2019</w:t>
            </w:r>
          </w:p>
        </w:tc>
      </w:tr>
      <w:tr w:rsidR="005C29F8" w:rsidRPr="00781112" w14:paraId="166D6AFF" w14:textId="0C956946" w:rsidTr="00E95FBF">
        <w:trPr>
          <w:trHeight w:val="357"/>
        </w:trPr>
        <w:tc>
          <w:tcPr>
            <w:tcW w:w="833" w:type="pct"/>
            <w:shd w:val="clear" w:color="auto" w:fill="auto"/>
            <w:vAlign w:val="center"/>
          </w:tcPr>
          <w:p w14:paraId="38AA0076" w14:textId="731BFD6B" w:rsidR="00BB7BC9" w:rsidRPr="00781112" w:rsidRDefault="00BB7BC9" w:rsidP="00BB7BC9">
            <w:pPr>
              <w:rPr>
                <w:rFonts w:cs="Arial"/>
                <w:color w:val="000000" w:themeColor="text1"/>
                <w:szCs w:val="16"/>
              </w:rPr>
            </w:pPr>
            <w:r w:rsidRPr="00781112">
              <w:rPr>
                <w:rFonts w:cs="Arial"/>
                <w:color w:val="000000" w:themeColor="text1"/>
                <w:szCs w:val="16"/>
              </w:rPr>
              <w:t xml:space="preserve">Target </w:t>
            </w:r>
            <w:r w:rsidR="009B02BC" w:rsidRPr="00781112">
              <w:rPr>
                <w:rFonts w:cs="Arial"/>
                <w:color w:val="000000" w:themeColor="text1"/>
                <w:szCs w:val="16"/>
                <w:shd w:val="clear" w:color="auto" w:fill="FFFFFF"/>
              </w:rPr>
              <w:t>&lt;=</w:t>
            </w:r>
          </w:p>
        </w:tc>
        <w:tc>
          <w:tcPr>
            <w:tcW w:w="833" w:type="pct"/>
            <w:shd w:val="clear" w:color="auto" w:fill="auto"/>
            <w:vAlign w:val="center"/>
          </w:tcPr>
          <w:p w14:paraId="6CE07273" w14:textId="702A47D4" w:rsidR="00BB7BC9" w:rsidRPr="00781112" w:rsidRDefault="002B7490" w:rsidP="00A018D4">
            <w:pPr>
              <w:jc w:val="center"/>
              <w:rPr>
                <w:rFonts w:cs="Arial"/>
                <w:color w:val="000000" w:themeColor="text1"/>
                <w:szCs w:val="16"/>
              </w:rPr>
            </w:pPr>
            <w:r w:rsidRPr="00781112">
              <w:rPr>
                <w:rFonts w:cs="Arial"/>
                <w:color w:val="000000" w:themeColor="text1"/>
                <w:szCs w:val="16"/>
              </w:rPr>
              <w:t>19.50%</w:t>
            </w:r>
          </w:p>
        </w:tc>
        <w:tc>
          <w:tcPr>
            <w:tcW w:w="833" w:type="pct"/>
            <w:shd w:val="clear" w:color="auto" w:fill="auto"/>
            <w:vAlign w:val="center"/>
          </w:tcPr>
          <w:p w14:paraId="79939FD5" w14:textId="354F468A" w:rsidR="00BB7BC9" w:rsidRPr="00781112" w:rsidRDefault="002B7490" w:rsidP="00A018D4">
            <w:pPr>
              <w:jc w:val="center"/>
              <w:rPr>
                <w:rFonts w:cs="Arial"/>
                <w:color w:val="000000" w:themeColor="text1"/>
                <w:szCs w:val="16"/>
              </w:rPr>
            </w:pPr>
            <w:r w:rsidRPr="00781112">
              <w:rPr>
                <w:rFonts w:cs="Arial"/>
                <w:color w:val="000000" w:themeColor="text1"/>
                <w:szCs w:val="16"/>
              </w:rPr>
              <w:t>17.50%</w:t>
            </w:r>
          </w:p>
        </w:tc>
        <w:tc>
          <w:tcPr>
            <w:tcW w:w="833" w:type="pct"/>
            <w:shd w:val="clear" w:color="auto" w:fill="auto"/>
            <w:vAlign w:val="center"/>
          </w:tcPr>
          <w:p w14:paraId="2F67AA89" w14:textId="7720B113" w:rsidR="00BB7BC9" w:rsidRPr="00781112" w:rsidRDefault="002B7490" w:rsidP="00A018D4">
            <w:pPr>
              <w:jc w:val="center"/>
              <w:rPr>
                <w:rFonts w:cs="Arial"/>
                <w:color w:val="000000" w:themeColor="text1"/>
                <w:szCs w:val="16"/>
              </w:rPr>
            </w:pPr>
            <w:r w:rsidRPr="00781112">
              <w:rPr>
                <w:rFonts w:cs="Arial"/>
                <w:color w:val="000000" w:themeColor="text1"/>
                <w:szCs w:val="16"/>
              </w:rPr>
              <w:t>15.50%</w:t>
            </w:r>
          </w:p>
        </w:tc>
        <w:tc>
          <w:tcPr>
            <w:tcW w:w="833" w:type="pct"/>
            <w:shd w:val="clear" w:color="auto" w:fill="auto"/>
            <w:vAlign w:val="center"/>
          </w:tcPr>
          <w:p w14:paraId="370622DC" w14:textId="1DC834EA" w:rsidR="00BB7BC9" w:rsidRPr="00781112" w:rsidRDefault="002B7490" w:rsidP="00A018D4">
            <w:pPr>
              <w:jc w:val="center"/>
              <w:rPr>
                <w:rFonts w:cs="Arial"/>
                <w:color w:val="000000" w:themeColor="text1"/>
                <w:szCs w:val="16"/>
              </w:rPr>
            </w:pPr>
            <w:r w:rsidRPr="00781112">
              <w:rPr>
                <w:rFonts w:cs="Arial"/>
                <w:color w:val="000000" w:themeColor="text1"/>
                <w:szCs w:val="16"/>
              </w:rPr>
              <w:t>13.50%</w:t>
            </w:r>
          </w:p>
        </w:tc>
        <w:tc>
          <w:tcPr>
            <w:tcW w:w="834" w:type="pct"/>
            <w:shd w:val="clear" w:color="auto" w:fill="auto"/>
            <w:vAlign w:val="center"/>
          </w:tcPr>
          <w:p w14:paraId="01742AA4" w14:textId="72802F04" w:rsidR="00BB7BC9" w:rsidRPr="00781112" w:rsidRDefault="002B7490" w:rsidP="00A018D4">
            <w:pPr>
              <w:jc w:val="center"/>
              <w:rPr>
                <w:rFonts w:cs="Arial"/>
                <w:color w:val="000000" w:themeColor="text1"/>
                <w:szCs w:val="16"/>
              </w:rPr>
            </w:pPr>
            <w:r w:rsidRPr="00781112">
              <w:rPr>
                <w:rFonts w:cs="Arial"/>
                <w:color w:val="000000" w:themeColor="text1"/>
                <w:szCs w:val="16"/>
              </w:rPr>
              <w:t>13.50%</w:t>
            </w:r>
          </w:p>
        </w:tc>
      </w:tr>
      <w:tr w:rsidR="005C29F8" w:rsidRPr="00781112" w14:paraId="7A0B9513" w14:textId="222C1F8D" w:rsidTr="00E95FBF">
        <w:trPr>
          <w:trHeight w:val="85"/>
        </w:trPr>
        <w:tc>
          <w:tcPr>
            <w:tcW w:w="833" w:type="pct"/>
            <w:shd w:val="clear" w:color="auto" w:fill="auto"/>
            <w:vAlign w:val="center"/>
          </w:tcPr>
          <w:p w14:paraId="7EAE8715" w14:textId="77777777" w:rsidR="00BB7BC9" w:rsidRPr="00781112" w:rsidRDefault="00BB7BC9" w:rsidP="00BB7BC9">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88137A7" w14:textId="7782C22E" w:rsidR="00BB7BC9" w:rsidRPr="00781112" w:rsidRDefault="002B7490" w:rsidP="00A018D4">
            <w:pPr>
              <w:jc w:val="center"/>
              <w:rPr>
                <w:rFonts w:cs="Arial"/>
                <w:color w:val="000000" w:themeColor="text1"/>
                <w:szCs w:val="16"/>
              </w:rPr>
            </w:pPr>
            <w:r w:rsidRPr="00781112">
              <w:rPr>
                <w:rFonts w:cs="Arial"/>
                <w:color w:val="000000" w:themeColor="text1"/>
                <w:szCs w:val="16"/>
              </w:rPr>
              <w:t>14.91%</w:t>
            </w:r>
          </w:p>
        </w:tc>
        <w:tc>
          <w:tcPr>
            <w:tcW w:w="833" w:type="pct"/>
            <w:shd w:val="clear" w:color="auto" w:fill="auto"/>
            <w:vAlign w:val="center"/>
          </w:tcPr>
          <w:p w14:paraId="6040C16E" w14:textId="1898F821" w:rsidR="00BB7BC9" w:rsidRPr="00781112" w:rsidRDefault="002B7490" w:rsidP="00A018D4">
            <w:pPr>
              <w:jc w:val="center"/>
              <w:rPr>
                <w:rFonts w:cs="Arial"/>
                <w:color w:val="000000" w:themeColor="text1"/>
                <w:szCs w:val="16"/>
              </w:rPr>
            </w:pPr>
            <w:r w:rsidRPr="00781112">
              <w:rPr>
                <w:rFonts w:cs="Arial"/>
                <w:color w:val="000000" w:themeColor="text1"/>
                <w:szCs w:val="16"/>
              </w:rPr>
              <w:t>19.02%</w:t>
            </w:r>
          </w:p>
        </w:tc>
        <w:tc>
          <w:tcPr>
            <w:tcW w:w="833" w:type="pct"/>
            <w:tcBorders>
              <w:bottom w:val="single" w:sz="4" w:space="0" w:color="auto"/>
            </w:tcBorders>
            <w:shd w:val="clear" w:color="auto" w:fill="auto"/>
            <w:vAlign w:val="center"/>
          </w:tcPr>
          <w:p w14:paraId="2F4988E8" w14:textId="56ECA0F8" w:rsidR="00BB7BC9" w:rsidRPr="00781112" w:rsidRDefault="002B7490" w:rsidP="00A018D4">
            <w:pPr>
              <w:jc w:val="center"/>
              <w:rPr>
                <w:rFonts w:cs="Arial"/>
                <w:color w:val="000000" w:themeColor="text1"/>
                <w:szCs w:val="16"/>
              </w:rPr>
            </w:pPr>
            <w:r w:rsidRPr="00781112">
              <w:rPr>
                <w:rFonts w:cs="Arial"/>
                <w:color w:val="000000" w:themeColor="text1"/>
                <w:szCs w:val="16"/>
              </w:rPr>
              <w:t>18.50%</w:t>
            </w:r>
          </w:p>
        </w:tc>
        <w:tc>
          <w:tcPr>
            <w:tcW w:w="833" w:type="pct"/>
            <w:tcBorders>
              <w:bottom w:val="single" w:sz="4" w:space="0" w:color="auto"/>
            </w:tcBorders>
            <w:shd w:val="clear" w:color="auto" w:fill="auto"/>
            <w:vAlign w:val="center"/>
          </w:tcPr>
          <w:p w14:paraId="3315EDFF" w14:textId="1943A2C3" w:rsidR="00BB7BC9" w:rsidRPr="00781112" w:rsidRDefault="002B7490" w:rsidP="00A018D4">
            <w:pPr>
              <w:jc w:val="center"/>
              <w:rPr>
                <w:rFonts w:cs="Arial"/>
                <w:color w:val="000000" w:themeColor="text1"/>
                <w:szCs w:val="16"/>
              </w:rPr>
            </w:pPr>
            <w:r w:rsidRPr="00781112">
              <w:rPr>
                <w:rFonts w:cs="Arial"/>
                <w:color w:val="000000" w:themeColor="text1"/>
                <w:szCs w:val="16"/>
              </w:rPr>
              <w:t>19.78%</w:t>
            </w:r>
          </w:p>
        </w:tc>
        <w:tc>
          <w:tcPr>
            <w:tcW w:w="834" w:type="pct"/>
            <w:tcBorders>
              <w:bottom w:val="single" w:sz="4" w:space="0" w:color="auto"/>
            </w:tcBorders>
            <w:shd w:val="clear" w:color="auto" w:fill="auto"/>
            <w:vAlign w:val="center"/>
          </w:tcPr>
          <w:p w14:paraId="6B580E93" w14:textId="6155D799" w:rsidR="00BB7BC9" w:rsidRPr="00781112" w:rsidRDefault="002B7490" w:rsidP="00A018D4">
            <w:pPr>
              <w:jc w:val="center"/>
              <w:rPr>
                <w:rFonts w:cs="Arial"/>
                <w:color w:val="000000" w:themeColor="text1"/>
                <w:szCs w:val="16"/>
              </w:rPr>
            </w:pPr>
            <w:r w:rsidRPr="00781112">
              <w:rPr>
                <w:rFonts w:cs="Arial"/>
                <w:color w:val="000000" w:themeColor="text1"/>
                <w:szCs w:val="16"/>
              </w:rPr>
              <w:t>11.92%</w:t>
            </w:r>
          </w:p>
        </w:tc>
      </w:tr>
    </w:tbl>
    <w:p w14:paraId="5F34812B" w14:textId="77777777" w:rsidR="006478FC" w:rsidRPr="00781112" w:rsidRDefault="006478FC" w:rsidP="004369B2">
      <w:pPr>
        <w:rPr>
          <w:color w:val="000000" w:themeColor="text1"/>
        </w:rPr>
      </w:pPr>
    </w:p>
    <w:p w14:paraId="4841771C" w14:textId="2E3FC34F" w:rsidR="00ED5FCE" w:rsidRPr="00781112" w:rsidRDefault="00ED5FCE" w:rsidP="004369B2">
      <w:pPr>
        <w:rPr>
          <w:color w:val="000000" w:themeColor="text1"/>
        </w:rPr>
      </w:pPr>
      <w:r w:rsidRPr="00781112">
        <w:rPr>
          <w:b/>
          <w:color w:val="000000" w:themeColor="text1"/>
        </w:rPr>
        <w:lastRenderedPageBreak/>
        <w:t>Targets</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ATARGETS"/>
      </w:tblPr>
      <w:tblGrid>
        <w:gridCol w:w="679"/>
        <w:gridCol w:w="1599"/>
        <w:gridCol w:w="1645"/>
        <w:gridCol w:w="1645"/>
        <w:gridCol w:w="1645"/>
        <w:gridCol w:w="1645"/>
        <w:gridCol w:w="1645"/>
      </w:tblGrid>
      <w:tr w:rsidR="00373F78" w:rsidRPr="00781112" w14:paraId="00255703" w14:textId="57B86D35" w:rsidTr="00E95FBF">
        <w:trPr>
          <w:trHeight w:val="350"/>
        </w:trPr>
        <w:tc>
          <w:tcPr>
            <w:tcW w:w="203" w:type="pct"/>
            <w:tcBorders>
              <w:bottom w:val="single" w:sz="4" w:space="0" w:color="auto"/>
            </w:tcBorders>
            <w:shd w:val="clear" w:color="auto" w:fill="auto"/>
          </w:tcPr>
          <w:p w14:paraId="12833EEC" w14:textId="77777777" w:rsidR="00373F78" w:rsidRPr="00781112" w:rsidRDefault="00373F78" w:rsidP="00373F78">
            <w:pPr>
              <w:jc w:val="center"/>
              <w:rPr>
                <w:b/>
                <w:color w:val="000000" w:themeColor="text1"/>
              </w:rPr>
            </w:pPr>
            <w:r w:rsidRPr="00781112">
              <w:rPr>
                <w:b/>
                <w:color w:val="000000" w:themeColor="text1"/>
              </w:rPr>
              <w:t>FFY</w:t>
            </w:r>
          </w:p>
        </w:tc>
        <w:tc>
          <w:tcPr>
            <w:tcW w:w="781" w:type="pct"/>
            <w:shd w:val="clear" w:color="auto" w:fill="auto"/>
          </w:tcPr>
          <w:p w14:paraId="50119DBA" w14:textId="04DC2A77" w:rsidR="00373F78" w:rsidRPr="00781112" w:rsidRDefault="00373F78" w:rsidP="00373F78">
            <w:pPr>
              <w:jc w:val="center"/>
              <w:rPr>
                <w:b/>
                <w:color w:val="000000" w:themeColor="text1"/>
              </w:rPr>
            </w:pPr>
            <w:r w:rsidRPr="00781112">
              <w:rPr>
                <w:b/>
                <w:color w:val="000000" w:themeColor="text1"/>
              </w:rPr>
              <w:t>2020</w:t>
            </w:r>
          </w:p>
        </w:tc>
        <w:tc>
          <w:tcPr>
            <w:tcW w:w="803" w:type="pct"/>
          </w:tcPr>
          <w:p w14:paraId="59425E52" w14:textId="30A73A95" w:rsidR="00373F78" w:rsidRPr="00781112" w:rsidRDefault="00373F78" w:rsidP="00373F78">
            <w:pPr>
              <w:jc w:val="center"/>
              <w:rPr>
                <w:b/>
                <w:color w:val="000000" w:themeColor="text1"/>
              </w:rPr>
            </w:pPr>
            <w:r w:rsidRPr="00781112">
              <w:rPr>
                <w:rFonts w:cs="Arial"/>
                <w:b/>
                <w:color w:val="000000" w:themeColor="text1"/>
                <w:szCs w:val="16"/>
              </w:rPr>
              <w:t>2021</w:t>
            </w:r>
          </w:p>
        </w:tc>
        <w:tc>
          <w:tcPr>
            <w:tcW w:w="803" w:type="pct"/>
          </w:tcPr>
          <w:p w14:paraId="62296859" w14:textId="1A7F3D46" w:rsidR="00373F78" w:rsidRPr="00781112" w:rsidRDefault="00373F78" w:rsidP="00373F78">
            <w:pPr>
              <w:jc w:val="center"/>
              <w:rPr>
                <w:b/>
                <w:color w:val="000000" w:themeColor="text1"/>
              </w:rPr>
            </w:pPr>
            <w:r w:rsidRPr="00781112">
              <w:rPr>
                <w:rFonts w:cs="Arial"/>
                <w:b/>
                <w:color w:val="000000" w:themeColor="text1"/>
                <w:szCs w:val="16"/>
              </w:rPr>
              <w:t>2022</w:t>
            </w:r>
          </w:p>
        </w:tc>
        <w:tc>
          <w:tcPr>
            <w:tcW w:w="803" w:type="pct"/>
          </w:tcPr>
          <w:p w14:paraId="69950222" w14:textId="1E5E636C" w:rsidR="00373F78" w:rsidRPr="00781112" w:rsidRDefault="00373F78" w:rsidP="00373F78">
            <w:pPr>
              <w:jc w:val="center"/>
              <w:rPr>
                <w:b/>
                <w:color w:val="000000" w:themeColor="text1"/>
              </w:rPr>
            </w:pPr>
            <w:r w:rsidRPr="00781112">
              <w:rPr>
                <w:rFonts w:cs="Arial"/>
                <w:b/>
                <w:color w:val="000000" w:themeColor="text1"/>
                <w:szCs w:val="16"/>
              </w:rPr>
              <w:t>2023</w:t>
            </w:r>
          </w:p>
        </w:tc>
        <w:tc>
          <w:tcPr>
            <w:tcW w:w="803" w:type="pct"/>
          </w:tcPr>
          <w:p w14:paraId="147FD075" w14:textId="2618FA88" w:rsidR="00373F78" w:rsidRPr="00781112" w:rsidRDefault="00373F78" w:rsidP="00373F78">
            <w:pPr>
              <w:jc w:val="center"/>
              <w:rPr>
                <w:b/>
                <w:color w:val="000000" w:themeColor="text1"/>
              </w:rPr>
            </w:pPr>
            <w:r w:rsidRPr="00781112">
              <w:rPr>
                <w:rFonts w:cs="Arial"/>
                <w:b/>
                <w:color w:val="000000" w:themeColor="text1"/>
                <w:szCs w:val="16"/>
              </w:rPr>
              <w:t>2024</w:t>
            </w:r>
          </w:p>
        </w:tc>
        <w:tc>
          <w:tcPr>
            <w:tcW w:w="803" w:type="pct"/>
          </w:tcPr>
          <w:p w14:paraId="066CE6E2" w14:textId="274FF425" w:rsidR="00373F78" w:rsidRPr="00781112" w:rsidRDefault="00373F78" w:rsidP="00373F78">
            <w:pPr>
              <w:jc w:val="center"/>
              <w:rPr>
                <w:b/>
                <w:color w:val="000000" w:themeColor="text1"/>
              </w:rPr>
            </w:pPr>
            <w:r w:rsidRPr="00781112">
              <w:rPr>
                <w:rFonts w:cs="Arial"/>
                <w:b/>
                <w:color w:val="000000" w:themeColor="text1"/>
                <w:szCs w:val="16"/>
              </w:rPr>
              <w:t>2025</w:t>
            </w:r>
          </w:p>
        </w:tc>
      </w:tr>
      <w:tr w:rsidR="00373F78" w:rsidRPr="00781112" w14:paraId="1ACE760A" w14:textId="1AE21F6E" w:rsidTr="00E95FBF">
        <w:trPr>
          <w:trHeight w:val="357"/>
        </w:trPr>
        <w:tc>
          <w:tcPr>
            <w:tcW w:w="203" w:type="pct"/>
            <w:shd w:val="clear" w:color="auto" w:fill="auto"/>
            <w:vAlign w:val="center"/>
          </w:tcPr>
          <w:p w14:paraId="3387B9B3" w14:textId="0ED5756F" w:rsidR="00373F78" w:rsidRPr="00781112" w:rsidRDefault="00373F78" w:rsidP="00373F78">
            <w:pPr>
              <w:rPr>
                <w:rFonts w:cs="Arial"/>
                <w:color w:val="000000" w:themeColor="text1"/>
                <w:szCs w:val="16"/>
              </w:rPr>
            </w:pPr>
            <w:r w:rsidRPr="00781112">
              <w:rPr>
                <w:rFonts w:cs="Arial"/>
                <w:color w:val="000000" w:themeColor="text1"/>
                <w:szCs w:val="16"/>
              </w:rPr>
              <w:t xml:space="preserve">Target </w:t>
            </w:r>
            <w:r w:rsidRPr="00781112">
              <w:rPr>
                <w:rFonts w:cs="Arial"/>
                <w:color w:val="000000" w:themeColor="text1"/>
                <w:szCs w:val="16"/>
                <w:shd w:val="clear" w:color="auto" w:fill="FFFFFF"/>
              </w:rPr>
              <w:t>&lt;=</w:t>
            </w:r>
          </w:p>
        </w:tc>
        <w:tc>
          <w:tcPr>
            <w:tcW w:w="781" w:type="pct"/>
            <w:shd w:val="clear" w:color="auto" w:fill="auto"/>
            <w:vAlign w:val="center"/>
          </w:tcPr>
          <w:p w14:paraId="78EBD6ED" w14:textId="4FA09BBD" w:rsidR="00373F78" w:rsidRPr="00781112" w:rsidRDefault="00373F78" w:rsidP="00373F78">
            <w:pPr>
              <w:jc w:val="center"/>
              <w:rPr>
                <w:rFonts w:cs="Arial"/>
                <w:color w:val="000000" w:themeColor="text1"/>
                <w:szCs w:val="16"/>
              </w:rPr>
            </w:pPr>
            <w:r w:rsidRPr="00781112">
              <w:rPr>
                <w:rFonts w:cs="Arial"/>
                <w:color w:val="000000" w:themeColor="text1"/>
                <w:szCs w:val="16"/>
              </w:rPr>
              <w:t>13.50%</w:t>
            </w:r>
          </w:p>
        </w:tc>
        <w:tc>
          <w:tcPr>
            <w:tcW w:w="803" w:type="pct"/>
          </w:tcPr>
          <w:p w14:paraId="6FDC82B2" w14:textId="0C85D604" w:rsidR="00373F78" w:rsidRPr="00781112" w:rsidRDefault="00373F78" w:rsidP="00373F78">
            <w:pPr>
              <w:jc w:val="center"/>
              <w:rPr>
                <w:rFonts w:cs="Arial"/>
                <w:color w:val="000000" w:themeColor="text1"/>
                <w:szCs w:val="16"/>
              </w:rPr>
            </w:pPr>
            <w:r w:rsidRPr="00781112">
              <w:rPr>
                <w:color w:val="000000" w:themeColor="text1"/>
                <w:szCs w:val="16"/>
              </w:rPr>
              <w:t>13.50%</w:t>
            </w:r>
          </w:p>
        </w:tc>
        <w:tc>
          <w:tcPr>
            <w:tcW w:w="803" w:type="pct"/>
          </w:tcPr>
          <w:p w14:paraId="798EC84B" w14:textId="0E47DBF4" w:rsidR="00373F78" w:rsidRPr="00781112" w:rsidRDefault="00373F78" w:rsidP="00373F78">
            <w:pPr>
              <w:jc w:val="center"/>
              <w:rPr>
                <w:rFonts w:cs="Arial"/>
                <w:color w:val="000000" w:themeColor="text1"/>
                <w:szCs w:val="16"/>
              </w:rPr>
            </w:pPr>
            <w:r w:rsidRPr="00781112">
              <w:rPr>
                <w:color w:val="000000" w:themeColor="text1"/>
                <w:szCs w:val="16"/>
              </w:rPr>
              <w:t>13.00%</w:t>
            </w:r>
          </w:p>
        </w:tc>
        <w:tc>
          <w:tcPr>
            <w:tcW w:w="803" w:type="pct"/>
          </w:tcPr>
          <w:p w14:paraId="75A6D928" w14:textId="791A7001" w:rsidR="00373F78" w:rsidRPr="00781112" w:rsidRDefault="00373F78" w:rsidP="00373F78">
            <w:pPr>
              <w:jc w:val="center"/>
              <w:rPr>
                <w:rFonts w:cs="Arial"/>
                <w:color w:val="000000" w:themeColor="text1"/>
                <w:szCs w:val="16"/>
              </w:rPr>
            </w:pPr>
            <w:r w:rsidRPr="00781112">
              <w:rPr>
                <w:color w:val="000000" w:themeColor="text1"/>
                <w:szCs w:val="16"/>
              </w:rPr>
              <w:t>12.50%</w:t>
            </w:r>
          </w:p>
        </w:tc>
        <w:tc>
          <w:tcPr>
            <w:tcW w:w="803" w:type="pct"/>
          </w:tcPr>
          <w:p w14:paraId="1CE5D3BC" w14:textId="661D574C" w:rsidR="00373F78" w:rsidRPr="00781112" w:rsidRDefault="00373F78" w:rsidP="00373F78">
            <w:pPr>
              <w:jc w:val="center"/>
              <w:rPr>
                <w:rFonts w:cs="Arial"/>
                <w:color w:val="000000" w:themeColor="text1"/>
                <w:szCs w:val="16"/>
              </w:rPr>
            </w:pPr>
            <w:r w:rsidRPr="00781112">
              <w:rPr>
                <w:color w:val="000000" w:themeColor="text1"/>
                <w:szCs w:val="16"/>
              </w:rPr>
              <w:t>12.50%</w:t>
            </w:r>
          </w:p>
        </w:tc>
        <w:tc>
          <w:tcPr>
            <w:tcW w:w="803" w:type="pct"/>
          </w:tcPr>
          <w:p w14:paraId="37F8A50B" w14:textId="6CD51BE5" w:rsidR="00373F78" w:rsidRPr="00781112" w:rsidRDefault="00373F78" w:rsidP="00373F78">
            <w:pPr>
              <w:jc w:val="center"/>
              <w:rPr>
                <w:rFonts w:cs="Arial"/>
                <w:color w:val="000000" w:themeColor="text1"/>
                <w:szCs w:val="16"/>
              </w:rPr>
            </w:pPr>
            <w:r w:rsidRPr="00781112">
              <w:rPr>
                <w:color w:val="000000" w:themeColor="text1"/>
                <w:szCs w:val="16"/>
              </w:rPr>
              <w:t>12.00%</w:t>
            </w:r>
          </w:p>
        </w:tc>
      </w:tr>
    </w:tbl>
    <w:p w14:paraId="05EA20CB" w14:textId="0A0E8C80" w:rsidR="002D145D" w:rsidRPr="00781112" w:rsidRDefault="002D145D" w:rsidP="004369B2">
      <w:pPr>
        <w:rPr>
          <w:b/>
          <w:color w:val="000000" w:themeColor="text1"/>
        </w:rPr>
      </w:pPr>
      <w:r w:rsidRPr="00781112">
        <w:rPr>
          <w:b/>
          <w:color w:val="000000" w:themeColor="text1"/>
        </w:rPr>
        <w:t xml:space="preserve">Targets: Description of Stakeholder Input </w:t>
      </w:r>
    </w:p>
    <w:p w14:paraId="01F8C61F" w14:textId="7DC6A451" w:rsidR="002D145D" w:rsidRPr="00781112" w:rsidRDefault="002B7490" w:rsidP="002D145D">
      <w:pPr>
        <w:rPr>
          <w:rFonts w:cs="Arial"/>
          <w:color w:val="000000" w:themeColor="text1"/>
          <w:szCs w:val="16"/>
        </w:rPr>
      </w:pPr>
      <w:r w:rsidRPr="00781112">
        <w:rPr>
          <w:rFonts w:cs="Arial"/>
          <w:color w:val="000000" w:themeColor="text1"/>
          <w:szCs w:val="16"/>
        </w:rPr>
        <w:t>Louisiana has developed a comprehensive vision for the future of education in our state—Louisiana Believes. The driving force of this vision is that every one of Louisiana’s children should be on track to a college degree or a professional career. This inclusive vision and Louisiana’s values were apparent in the development of the SPP as we solicited and received broad stakeholder input to inform the target setting process for FFY 2020 - FFY 2025. The LDOE used three phases to develop the SPP targets for FFY 2020 - FFY 2025: 1) internal review, 2) external stakeholder feedback, and 3) Special Education Advisory Panel (SEAP) integration.</w:t>
      </w:r>
      <w:r w:rsidRPr="00781112">
        <w:rPr>
          <w:rFonts w:cs="Arial"/>
          <w:color w:val="000000" w:themeColor="text1"/>
          <w:szCs w:val="16"/>
        </w:rPr>
        <w:br/>
      </w:r>
      <w:r w:rsidRPr="00781112">
        <w:rPr>
          <w:rFonts w:cs="Arial"/>
          <w:color w:val="000000" w:themeColor="text1"/>
          <w:szCs w:val="16"/>
        </w:rPr>
        <w:br/>
        <w:t xml:space="preserve">Internal Review </w:t>
      </w:r>
      <w:r w:rsidRPr="00781112">
        <w:rPr>
          <w:rFonts w:cs="Arial"/>
          <w:color w:val="000000" w:themeColor="text1"/>
          <w:szCs w:val="16"/>
        </w:rPr>
        <w:br/>
        <w:t xml:space="preserve">The LDOE's Division for Diverse Learners reviewed historical data and LDOE policies, procedures, and practices; and collaborated with internal teams to develop targets that were rigorous and attainable. </w:t>
      </w:r>
      <w:r w:rsidRPr="00781112">
        <w:rPr>
          <w:rFonts w:cs="Arial"/>
          <w:color w:val="000000" w:themeColor="text1"/>
          <w:szCs w:val="16"/>
        </w:rPr>
        <w:br/>
      </w:r>
      <w:r w:rsidRPr="00781112">
        <w:rPr>
          <w:rFonts w:cs="Arial"/>
          <w:color w:val="000000" w:themeColor="text1"/>
          <w:szCs w:val="16"/>
        </w:rPr>
        <w:br/>
        <w:t>External Stakeholder Feedback</w:t>
      </w:r>
      <w:r w:rsidRPr="00781112">
        <w:rPr>
          <w:rFonts w:cs="Arial"/>
          <w:color w:val="000000" w:themeColor="text1"/>
          <w:szCs w:val="16"/>
        </w:rPr>
        <w:br/>
        <w:t xml:space="preserve">The Division for Diverse Learners developed and executed an SPP/APR target setting engagement strategy to solicit broad stakeholder feedback on the FFY 2020 - FFY 2025 targets. The LDOE developed a State Performance Plan / Annual Performance Report Target Setting webpage on the Louisiana Believes website. The webpage contains an overview document with an explanation of each indicator, historical data for each indicator, and tables to clearly identify whether or not the State met targets for each indicator. After review of the overview document, a target setting survey was available for stakeholders to provide input on targets. </w:t>
      </w:r>
      <w:r w:rsidRPr="00781112">
        <w:rPr>
          <w:rFonts w:cs="Arial"/>
          <w:color w:val="000000" w:themeColor="text1"/>
          <w:szCs w:val="16"/>
        </w:rPr>
        <w:br/>
      </w:r>
      <w:r w:rsidRPr="00781112">
        <w:rPr>
          <w:rFonts w:cs="Arial"/>
          <w:color w:val="000000" w:themeColor="text1"/>
          <w:szCs w:val="16"/>
        </w:rPr>
        <w:br/>
        <w:t>SEAP Integration</w:t>
      </w:r>
      <w:r w:rsidRPr="00781112">
        <w:rPr>
          <w:rFonts w:cs="Arial"/>
          <w:color w:val="000000" w:themeColor="text1"/>
          <w:szCs w:val="16"/>
        </w:rPr>
        <w:br/>
        <w:t>The LDOE informed the SEAP on the target setting process at two separate meetings. LDOE provided an overview of each indicator along with historical data to SEAP members who provided input. SEAP's structure also allows for public comments, which were exercised at the meetings, providing external stakeholder feedback.</w:t>
      </w:r>
      <w:r w:rsidRPr="00781112">
        <w:rPr>
          <w:rFonts w:cs="Arial"/>
          <w:color w:val="000000" w:themeColor="text1"/>
          <w:szCs w:val="16"/>
        </w:rPr>
        <w:br/>
      </w:r>
      <w:r w:rsidRPr="00781112">
        <w:rPr>
          <w:rFonts w:cs="Arial"/>
          <w:color w:val="000000" w:themeColor="text1"/>
          <w:szCs w:val="16"/>
        </w:rPr>
        <w:br/>
        <w:t>The LDOE set targets based on feedback, historical data, and whether previous targets set were met. LDOE will continue to monitor data, targets, and changes to Indicator methodology, and may revise targets in the future, as necessary. Any revisions will incorporate stakeholder feedback, including, but not limited to, SEAP.</w:t>
      </w:r>
    </w:p>
    <w:p w14:paraId="3FD5337B" w14:textId="54E74935" w:rsidR="002D145D" w:rsidRPr="00781112" w:rsidRDefault="002D145D" w:rsidP="002D145D">
      <w:pPr>
        <w:rPr>
          <w:rFonts w:cs="Arial"/>
          <w:color w:val="000000" w:themeColor="text1"/>
          <w:szCs w:val="16"/>
        </w:rPr>
      </w:pPr>
    </w:p>
    <w:p w14:paraId="2AE297AB" w14:textId="77777777" w:rsidR="007E6F97" w:rsidRPr="00781112" w:rsidRDefault="007E6F97" w:rsidP="004369B2">
      <w:pPr>
        <w:rPr>
          <w:color w:val="000000" w:themeColor="text1"/>
        </w:rPr>
      </w:pPr>
    </w:p>
    <w:p w14:paraId="2E616696" w14:textId="7C992F2F" w:rsidR="00D03701" w:rsidRPr="00781112" w:rsidRDefault="00F6415A">
      <w:pPr>
        <w:rPr>
          <w:b/>
          <w:color w:val="000000" w:themeColor="text1"/>
        </w:rPr>
      </w:pPr>
      <w:r w:rsidRPr="00781112">
        <w:rPr>
          <w:b/>
          <w:color w:val="000000" w:themeColor="text1"/>
        </w:rPr>
        <w:t>FFY 2020 SPP/APR Data</w:t>
      </w:r>
      <w:bookmarkEnd w:id="22"/>
      <w:bookmarkEnd w:id="23"/>
    </w:p>
    <w:p w14:paraId="01DBD317" w14:textId="57913AA7" w:rsidR="009B02BC" w:rsidRPr="00781112" w:rsidRDefault="009B02BC">
      <w:pPr>
        <w:rPr>
          <w:rFonts w:cs="Arial"/>
          <w:b/>
          <w:color w:val="000000" w:themeColor="text1"/>
          <w:szCs w:val="16"/>
        </w:rPr>
      </w:pPr>
      <w:r w:rsidRPr="00781112">
        <w:rPr>
          <w:rFonts w:cs="Arial"/>
          <w:b/>
          <w:color w:val="000000" w:themeColor="text1"/>
          <w:szCs w:val="16"/>
        </w:rPr>
        <w:t>Has the state established a minimum n/cell-size requirement? (yes/no)</w:t>
      </w:r>
    </w:p>
    <w:p w14:paraId="6A8BDBAB" w14:textId="22481006" w:rsidR="009B02BC" w:rsidRPr="00781112" w:rsidRDefault="009B02BC">
      <w:pPr>
        <w:rPr>
          <w:rFonts w:cs="Arial"/>
          <w:color w:val="000000" w:themeColor="text1"/>
          <w:szCs w:val="16"/>
        </w:rPr>
      </w:pPr>
      <w:r w:rsidRPr="00781112">
        <w:rPr>
          <w:rFonts w:cs="Arial"/>
          <w:color w:val="000000" w:themeColor="text1"/>
          <w:szCs w:val="16"/>
        </w:rPr>
        <w:t>NO</w:t>
      </w:r>
    </w:p>
    <w:p w14:paraId="4E14BC0D" w14:textId="77777777" w:rsidR="00A14B5D" w:rsidRPr="00781112" w:rsidRDefault="00A14B5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CFFYAPRDATA"/>
      </w:tblPr>
      <w:tblGrid>
        <w:gridCol w:w="1410"/>
        <w:gridCol w:w="1897"/>
        <w:gridCol w:w="1368"/>
        <w:gridCol w:w="1890"/>
        <w:gridCol w:w="1260"/>
        <w:gridCol w:w="1439"/>
        <w:gridCol w:w="1526"/>
      </w:tblGrid>
      <w:tr w:rsidR="005C29F8" w:rsidRPr="00781112" w14:paraId="25961F2E" w14:textId="5D241BED" w:rsidTr="00E95FBF">
        <w:trPr>
          <w:trHeight w:val="994"/>
          <w:jc w:val="center"/>
        </w:trPr>
        <w:tc>
          <w:tcPr>
            <w:tcW w:w="653" w:type="pct"/>
            <w:shd w:val="clear" w:color="auto" w:fill="auto"/>
            <w:vAlign w:val="bottom"/>
          </w:tcPr>
          <w:p w14:paraId="1D711F21" w14:textId="471FE8E2" w:rsidR="001D6A0A" w:rsidRPr="00781112" w:rsidRDefault="001D6A0A" w:rsidP="00681BA6">
            <w:pPr>
              <w:jc w:val="center"/>
              <w:rPr>
                <w:rFonts w:cs="Arial"/>
                <w:b/>
                <w:color w:val="000000" w:themeColor="text1"/>
                <w:szCs w:val="16"/>
              </w:rPr>
            </w:pPr>
            <w:r w:rsidRPr="00781112">
              <w:rPr>
                <w:rFonts w:cs="Arial"/>
                <w:b/>
                <w:color w:val="000000" w:themeColor="text1"/>
                <w:szCs w:val="16"/>
              </w:rPr>
              <w:t>Number of LEAs that have a significant discrepancy</w:t>
            </w:r>
          </w:p>
        </w:tc>
        <w:tc>
          <w:tcPr>
            <w:tcW w:w="879" w:type="pct"/>
            <w:shd w:val="clear" w:color="auto" w:fill="auto"/>
            <w:vAlign w:val="bottom"/>
          </w:tcPr>
          <w:p w14:paraId="196C509D" w14:textId="54B65E72" w:rsidR="001D6A0A" w:rsidRPr="00781112" w:rsidRDefault="00C9488E" w:rsidP="00681BA6">
            <w:pPr>
              <w:jc w:val="center"/>
              <w:rPr>
                <w:rFonts w:cs="Arial"/>
                <w:b/>
                <w:color w:val="000000" w:themeColor="text1"/>
                <w:szCs w:val="16"/>
              </w:rPr>
            </w:pPr>
            <w:r w:rsidRPr="00781112">
              <w:rPr>
                <w:rFonts w:cs="Arial"/>
                <w:b/>
                <w:color w:val="000000" w:themeColor="text1"/>
                <w:szCs w:val="16"/>
              </w:rPr>
              <w:t>Number of LEAs in the State</w:t>
            </w:r>
          </w:p>
        </w:tc>
        <w:tc>
          <w:tcPr>
            <w:tcW w:w="634" w:type="pct"/>
            <w:shd w:val="clear" w:color="auto" w:fill="auto"/>
            <w:vAlign w:val="bottom"/>
          </w:tcPr>
          <w:p w14:paraId="20C8255F" w14:textId="1BB42612" w:rsidR="001D6A0A"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876" w:type="pct"/>
            <w:shd w:val="clear" w:color="auto" w:fill="auto"/>
            <w:vAlign w:val="bottom"/>
          </w:tcPr>
          <w:p w14:paraId="2298BC2C" w14:textId="69254E16" w:rsidR="001D6A0A" w:rsidRPr="00781112" w:rsidRDefault="00F6415A" w:rsidP="00681BA6">
            <w:pPr>
              <w:jc w:val="center"/>
              <w:rPr>
                <w:rFonts w:cs="Arial"/>
                <w:b/>
                <w:color w:val="000000" w:themeColor="text1"/>
                <w:szCs w:val="16"/>
              </w:rPr>
            </w:pPr>
            <w:r w:rsidRPr="00781112">
              <w:rPr>
                <w:rFonts w:cs="Arial"/>
                <w:b/>
                <w:color w:val="000000" w:themeColor="text1"/>
                <w:szCs w:val="16"/>
              </w:rPr>
              <w:t>FFY 2020 Target</w:t>
            </w:r>
          </w:p>
        </w:tc>
        <w:tc>
          <w:tcPr>
            <w:tcW w:w="584" w:type="pct"/>
            <w:shd w:val="clear" w:color="auto" w:fill="auto"/>
            <w:vAlign w:val="bottom"/>
          </w:tcPr>
          <w:p w14:paraId="3E9B682A" w14:textId="5731A21E" w:rsidR="001D6A0A" w:rsidRPr="00781112" w:rsidRDefault="00F6415A" w:rsidP="00681BA6">
            <w:pPr>
              <w:jc w:val="center"/>
              <w:rPr>
                <w:rFonts w:cs="Arial"/>
                <w:b/>
                <w:color w:val="000000" w:themeColor="text1"/>
                <w:szCs w:val="16"/>
              </w:rPr>
            </w:pPr>
            <w:r w:rsidRPr="00781112">
              <w:rPr>
                <w:rFonts w:cs="Arial"/>
                <w:b/>
                <w:color w:val="000000" w:themeColor="text1"/>
                <w:szCs w:val="16"/>
              </w:rPr>
              <w:t>FFY 2020 Data</w:t>
            </w:r>
          </w:p>
        </w:tc>
        <w:tc>
          <w:tcPr>
            <w:tcW w:w="667" w:type="pct"/>
            <w:shd w:val="clear" w:color="auto" w:fill="auto"/>
            <w:vAlign w:val="bottom"/>
          </w:tcPr>
          <w:p w14:paraId="7B5A071B" w14:textId="6C45C0BB" w:rsidR="001D6A0A" w:rsidRPr="00781112" w:rsidRDefault="001D6A0A" w:rsidP="00681BA6">
            <w:pPr>
              <w:jc w:val="center"/>
              <w:rPr>
                <w:rFonts w:cs="Arial"/>
                <w:b/>
                <w:color w:val="000000" w:themeColor="text1"/>
                <w:szCs w:val="16"/>
              </w:rPr>
            </w:pPr>
            <w:r w:rsidRPr="00781112">
              <w:rPr>
                <w:rFonts w:cs="Arial"/>
                <w:b/>
                <w:color w:val="000000" w:themeColor="text1"/>
                <w:szCs w:val="16"/>
              </w:rPr>
              <w:t>Status</w:t>
            </w:r>
          </w:p>
        </w:tc>
        <w:tc>
          <w:tcPr>
            <w:tcW w:w="707" w:type="pct"/>
            <w:shd w:val="clear" w:color="auto" w:fill="auto"/>
            <w:vAlign w:val="bottom"/>
          </w:tcPr>
          <w:p w14:paraId="4D50491C" w14:textId="7F184394" w:rsidR="001D6A0A" w:rsidRPr="00781112" w:rsidRDefault="001D6A0A"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0246961D" w14:textId="1C11943C" w:rsidTr="00E95FBF">
        <w:trPr>
          <w:trHeight w:val="233"/>
          <w:jc w:val="center"/>
        </w:trPr>
        <w:tc>
          <w:tcPr>
            <w:tcW w:w="653" w:type="pct"/>
            <w:shd w:val="clear" w:color="auto" w:fill="auto"/>
            <w:vAlign w:val="center"/>
          </w:tcPr>
          <w:p w14:paraId="0B36F15E" w14:textId="239D7181" w:rsidR="00A862C3" w:rsidRPr="00781112" w:rsidRDefault="002B7490" w:rsidP="00A018D4">
            <w:pPr>
              <w:jc w:val="center"/>
              <w:rPr>
                <w:rFonts w:cs="Arial"/>
                <w:color w:val="000000" w:themeColor="text1"/>
                <w:szCs w:val="16"/>
              </w:rPr>
            </w:pPr>
            <w:r w:rsidRPr="00781112">
              <w:rPr>
                <w:rFonts w:cs="Arial"/>
                <w:color w:val="000000" w:themeColor="text1"/>
                <w:szCs w:val="16"/>
              </w:rPr>
              <w:t>14</w:t>
            </w:r>
          </w:p>
        </w:tc>
        <w:tc>
          <w:tcPr>
            <w:tcW w:w="879" w:type="pct"/>
            <w:shd w:val="clear" w:color="auto" w:fill="auto"/>
          </w:tcPr>
          <w:p w14:paraId="77E03427" w14:textId="31D4B2F4" w:rsidR="00A862C3" w:rsidRPr="00781112" w:rsidRDefault="002B7490" w:rsidP="00A018D4">
            <w:pPr>
              <w:jc w:val="center"/>
              <w:rPr>
                <w:rFonts w:cs="Arial"/>
                <w:color w:val="000000" w:themeColor="text1"/>
                <w:szCs w:val="16"/>
              </w:rPr>
            </w:pPr>
            <w:r w:rsidRPr="00781112">
              <w:rPr>
                <w:rFonts w:cs="Arial"/>
                <w:color w:val="000000" w:themeColor="text1"/>
                <w:szCs w:val="16"/>
              </w:rPr>
              <w:t>191</w:t>
            </w:r>
          </w:p>
        </w:tc>
        <w:tc>
          <w:tcPr>
            <w:tcW w:w="634" w:type="pct"/>
            <w:shd w:val="clear" w:color="auto" w:fill="auto"/>
          </w:tcPr>
          <w:p w14:paraId="12EAED8C" w14:textId="23973C25" w:rsidR="00A862C3" w:rsidRPr="00781112" w:rsidRDefault="002B7490" w:rsidP="00A018D4">
            <w:pPr>
              <w:jc w:val="center"/>
              <w:rPr>
                <w:rFonts w:cs="Arial"/>
                <w:color w:val="000000" w:themeColor="text1"/>
                <w:szCs w:val="16"/>
              </w:rPr>
            </w:pPr>
            <w:r w:rsidRPr="00781112">
              <w:rPr>
                <w:rFonts w:cs="Arial"/>
                <w:color w:val="000000" w:themeColor="text1"/>
                <w:szCs w:val="16"/>
              </w:rPr>
              <w:t>11.92%</w:t>
            </w:r>
          </w:p>
        </w:tc>
        <w:tc>
          <w:tcPr>
            <w:tcW w:w="876" w:type="pct"/>
            <w:shd w:val="clear" w:color="auto" w:fill="auto"/>
          </w:tcPr>
          <w:p w14:paraId="0310AC78" w14:textId="48F7D944" w:rsidR="00A862C3" w:rsidRPr="00781112" w:rsidRDefault="002B7490" w:rsidP="00A018D4">
            <w:pPr>
              <w:jc w:val="center"/>
              <w:rPr>
                <w:rFonts w:cs="Arial"/>
                <w:color w:val="000000" w:themeColor="text1"/>
                <w:szCs w:val="16"/>
              </w:rPr>
            </w:pPr>
            <w:r w:rsidRPr="00781112">
              <w:rPr>
                <w:rFonts w:cs="Arial"/>
                <w:color w:val="000000" w:themeColor="text1"/>
                <w:szCs w:val="16"/>
              </w:rPr>
              <w:t>13.50%</w:t>
            </w:r>
          </w:p>
        </w:tc>
        <w:tc>
          <w:tcPr>
            <w:tcW w:w="584" w:type="pct"/>
            <w:shd w:val="clear" w:color="auto" w:fill="auto"/>
          </w:tcPr>
          <w:p w14:paraId="411F4E7C" w14:textId="0AFD7B4B" w:rsidR="00A862C3" w:rsidRPr="00781112" w:rsidRDefault="002B7490" w:rsidP="00A018D4">
            <w:pPr>
              <w:jc w:val="center"/>
              <w:rPr>
                <w:rFonts w:cs="Arial"/>
                <w:color w:val="000000" w:themeColor="text1"/>
                <w:szCs w:val="16"/>
              </w:rPr>
            </w:pPr>
            <w:r w:rsidRPr="00781112">
              <w:rPr>
                <w:rFonts w:cs="Arial"/>
                <w:color w:val="000000" w:themeColor="text1"/>
                <w:szCs w:val="16"/>
              </w:rPr>
              <w:t>7.33%</w:t>
            </w:r>
          </w:p>
        </w:tc>
        <w:tc>
          <w:tcPr>
            <w:tcW w:w="667" w:type="pct"/>
            <w:shd w:val="clear" w:color="auto" w:fill="auto"/>
          </w:tcPr>
          <w:p w14:paraId="000F74CB" w14:textId="0986D493" w:rsidR="00A862C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707" w:type="pct"/>
            <w:shd w:val="clear" w:color="auto" w:fill="auto"/>
          </w:tcPr>
          <w:p w14:paraId="69708C33" w14:textId="1D4517AD" w:rsidR="00A862C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78EEC3E" w14:textId="77777777" w:rsidR="006D741F" w:rsidRPr="00781112" w:rsidRDefault="00082667" w:rsidP="00286BDF">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444FB8E0" w14:textId="3109DE1E" w:rsidR="002C705B" w:rsidRPr="00781112" w:rsidRDefault="002B7490" w:rsidP="00286BDF">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14:paraId="4F94634D" w14:textId="77777777" w:rsidR="00082667" w:rsidRPr="00781112" w:rsidRDefault="00082667" w:rsidP="00286BDF">
      <w:pPr>
        <w:rPr>
          <w:rFonts w:cs="Arial"/>
          <w:b/>
          <w:color w:val="000000" w:themeColor="text1"/>
          <w:szCs w:val="16"/>
        </w:rPr>
      </w:pPr>
      <w:r w:rsidRPr="00781112">
        <w:rPr>
          <w:rFonts w:cs="Arial"/>
          <w:b/>
          <w:color w:val="000000" w:themeColor="text1"/>
          <w:szCs w:val="16"/>
        </w:rPr>
        <w:t>State’s definition of “significant discrepancy” and methodology</w:t>
      </w:r>
    </w:p>
    <w:p w14:paraId="37248070" w14:textId="1657C005" w:rsidR="00A869E9" w:rsidRPr="00781112" w:rsidRDefault="002B7490" w:rsidP="0085119E">
      <w:pPr>
        <w:rPr>
          <w:rFonts w:cs="Arial"/>
          <w:color w:val="000000" w:themeColor="text1"/>
          <w:szCs w:val="16"/>
        </w:rPr>
      </w:pPr>
      <w:r w:rsidRPr="00781112">
        <w:rPr>
          <w:rFonts w:cs="Arial"/>
          <w:color w:val="000000" w:themeColor="text1"/>
          <w:szCs w:val="16"/>
        </w:rPr>
        <w:t>Louisiana has defined significant discrepancy as the percent of students with disabilities who were suspended or expelled for greater than 10 days, 1.5 times greater than the state average, not to exceed 3%. Since the State uses percentages, there is no minimum n-size. Thus, all LEAs were included in the calculation. For the FFY 2019 APR submission, the state average was 1.02%. Thus, any LEA whose percentage was greater than 1.02% was identified as having a significant discrepancy.</w:t>
      </w:r>
    </w:p>
    <w:p w14:paraId="47F07052" w14:textId="77777777" w:rsidR="00BB504D" w:rsidRPr="00781112" w:rsidRDefault="00BB504D" w:rsidP="004369B2">
      <w:pPr>
        <w:rPr>
          <w:b/>
          <w:color w:val="000000" w:themeColor="text1"/>
        </w:rPr>
      </w:pPr>
      <w:bookmarkStart w:id="24" w:name="_Toc384383334"/>
      <w:bookmarkStart w:id="25" w:name="_Toc392159286"/>
      <w:r w:rsidRPr="00781112">
        <w:rPr>
          <w:b/>
          <w:color w:val="000000" w:themeColor="text1"/>
        </w:rPr>
        <w:t>Provide additional information about this indicator (optional)</w:t>
      </w:r>
    </w:p>
    <w:p w14:paraId="0275E470" w14:textId="5748926D" w:rsidR="00A869E9" w:rsidRPr="00781112" w:rsidRDefault="002B7490" w:rsidP="000E33D0">
      <w:pPr>
        <w:rPr>
          <w:rFonts w:cs="Arial"/>
          <w:color w:val="000000" w:themeColor="text1"/>
          <w:szCs w:val="16"/>
        </w:rPr>
      </w:pPr>
      <w:r w:rsidRPr="00781112">
        <w:rPr>
          <w:rFonts w:cs="Arial"/>
          <w:color w:val="000000" w:themeColor="text1"/>
          <w:szCs w:val="16"/>
        </w:rPr>
        <w:t>The FFY 2020 APR generally reflects data from school year 2020-2021. However, indicators 4A and 4B reflect data from school year 2019-2020.</w:t>
      </w:r>
    </w:p>
    <w:bookmarkEnd w:id="24"/>
    <w:bookmarkEnd w:id="25"/>
    <w:p w14:paraId="227CCB46" w14:textId="77777777" w:rsidR="007E6F97" w:rsidRPr="00781112" w:rsidRDefault="007E6F97" w:rsidP="004369B2">
      <w:pPr>
        <w:rPr>
          <w:color w:val="000000" w:themeColor="text1"/>
        </w:rPr>
      </w:pPr>
    </w:p>
    <w:p w14:paraId="3F63E777" w14:textId="54C6265F" w:rsidR="00082667" w:rsidRPr="00781112" w:rsidRDefault="00082667" w:rsidP="004369B2">
      <w:pPr>
        <w:rPr>
          <w:color w:val="000000" w:themeColor="text1"/>
        </w:rPr>
      </w:pPr>
      <w:r w:rsidRPr="00781112">
        <w:rPr>
          <w:b/>
          <w:color w:val="000000" w:themeColor="text1"/>
        </w:rPr>
        <w:t>Review of Policies, Procedures, and Practices (completed in FFY 2020 using 2019-2020 data)</w:t>
      </w:r>
    </w:p>
    <w:p w14:paraId="76B39D83" w14:textId="1E1AB613" w:rsidR="00082667" w:rsidRPr="00781112" w:rsidRDefault="00571EAB" w:rsidP="00162F4A">
      <w:pPr>
        <w:rPr>
          <w:b/>
          <w:color w:val="000000" w:themeColor="text1"/>
        </w:rPr>
      </w:pPr>
      <w:r w:rsidRPr="00781112">
        <w:rPr>
          <w:b/>
          <w:color w:val="000000" w:themeColor="text1"/>
        </w:rPr>
        <w:t>Provide a description of the review of policies, procedures, and practices relating to the development and implementation of IEPs, the use of positive behavioral interventions and supports, and procedural safeguards.</w:t>
      </w:r>
    </w:p>
    <w:p w14:paraId="040DE8B4" w14:textId="52454A8A" w:rsidR="002D57DA" w:rsidRPr="00781112" w:rsidRDefault="002B7490" w:rsidP="00082667">
      <w:pPr>
        <w:rPr>
          <w:rFonts w:cs="Arial"/>
          <w:color w:val="000000" w:themeColor="text1"/>
          <w:szCs w:val="16"/>
        </w:rPr>
      </w:pPr>
      <w:r w:rsidRPr="00781112">
        <w:rPr>
          <w:rFonts w:cs="Arial"/>
          <w:color w:val="000000" w:themeColor="text1"/>
          <w:szCs w:val="16"/>
        </w:rPr>
        <w:t xml:space="preserve">1. LEAs identified with significant discrepancies were required to establish a team of personnel involved in disciplinary actions for students with disabilities to complete a self-review of the LEA's discipline policies, procedures, and practices. LEAs reviewed areas including: </w:t>
      </w:r>
      <w:r w:rsidRPr="00781112">
        <w:rPr>
          <w:rFonts w:cs="Arial"/>
          <w:color w:val="000000" w:themeColor="text1"/>
          <w:szCs w:val="16"/>
        </w:rPr>
        <w:br/>
      </w:r>
      <w:r w:rsidRPr="00781112">
        <w:rPr>
          <w:rFonts w:cs="Arial"/>
          <w:color w:val="000000" w:themeColor="text1"/>
          <w:szCs w:val="16"/>
        </w:rPr>
        <w:br/>
        <w:t xml:space="preserve">a. the LEA's code of conduct; </w:t>
      </w:r>
      <w:r w:rsidRPr="00781112">
        <w:rPr>
          <w:rFonts w:cs="Arial"/>
          <w:color w:val="000000" w:themeColor="text1"/>
          <w:szCs w:val="16"/>
        </w:rPr>
        <w:br/>
        <w:t xml:space="preserve">b. the referral and evaluation process for students suspected of having a disability; </w:t>
      </w:r>
      <w:r w:rsidRPr="00781112">
        <w:rPr>
          <w:rFonts w:cs="Arial"/>
          <w:color w:val="000000" w:themeColor="text1"/>
          <w:szCs w:val="16"/>
        </w:rPr>
        <w:br/>
        <w:t xml:space="preserve">c. the development of IEPs for students whose behavior impedes the child's learning, including the use of PBIS or other strategies to address the child's behavior; </w:t>
      </w:r>
      <w:r w:rsidRPr="00781112">
        <w:rPr>
          <w:rFonts w:cs="Arial"/>
          <w:color w:val="000000" w:themeColor="text1"/>
          <w:szCs w:val="16"/>
        </w:rPr>
        <w:br/>
        <w:t xml:space="preserve">d. the LEA's general procedures for disciplinary removal for students with disabilities; </w:t>
      </w:r>
      <w:r w:rsidRPr="00781112">
        <w:rPr>
          <w:rFonts w:cs="Arial"/>
          <w:color w:val="000000" w:themeColor="text1"/>
          <w:szCs w:val="16"/>
        </w:rPr>
        <w:br/>
        <w:t xml:space="preserve">e. the procedures for conducting a manifestation determination; and </w:t>
      </w:r>
      <w:r w:rsidRPr="00781112">
        <w:rPr>
          <w:rFonts w:cs="Arial"/>
          <w:color w:val="000000" w:themeColor="text1"/>
          <w:szCs w:val="16"/>
        </w:rPr>
        <w:br/>
        <w:t xml:space="preserve">f. the procedures for conducting a functional behavioral assessment and the development of a behavioral intervention plan. </w:t>
      </w:r>
      <w:r w:rsidRPr="00781112">
        <w:rPr>
          <w:rFonts w:cs="Arial"/>
          <w:color w:val="000000" w:themeColor="text1"/>
          <w:szCs w:val="16"/>
        </w:rPr>
        <w:br/>
      </w:r>
      <w:r w:rsidRPr="00781112">
        <w:rPr>
          <w:rFonts w:cs="Arial"/>
          <w:color w:val="000000" w:themeColor="text1"/>
          <w:szCs w:val="16"/>
        </w:rPr>
        <w:br/>
        <w:t xml:space="preserve">2. LEAs that were discrepant were required to use a self-review instrument to review, and, if necessary, revise their policies, practices, and procedures with regard to the implementation of IEPs, the use of positive behavior interventions and procedural safeguards and submit a plan of action to the LDOE. </w:t>
      </w:r>
      <w:r w:rsidRPr="00781112">
        <w:rPr>
          <w:rFonts w:cs="Arial"/>
          <w:color w:val="000000" w:themeColor="text1"/>
          <w:szCs w:val="16"/>
        </w:rPr>
        <w:br/>
      </w:r>
      <w:r w:rsidRPr="00781112">
        <w:rPr>
          <w:rFonts w:cs="Arial"/>
          <w:color w:val="000000" w:themeColor="text1"/>
          <w:szCs w:val="16"/>
        </w:rPr>
        <w:lastRenderedPageBreak/>
        <w:br/>
        <w:t xml:space="preserve">3. LDOE reviewed the self-review rubric for compliance with IDEA discipline requirements. If any rubrics indicated non-compliance with IDEA requirements, LDOE issued a finding of non-compliance. </w:t>
      </w:r>
      <w:r w:rsidRPr="00781112">
        <w:rPr>
          <w:rFonts w:cs="Arial"/>
          <w:color w:val="000000" w:themeColor="text1"/>
          <w:szCs w:val="16"/>
        </w:rPr>
        <w:br/>
      </w:r>
      <w:r w:rsidRPr="00781112">
        <w:rPr>
          <w:rFonts w:cs="Arial"/>
          <w:color w:val="000000" w:themeColor="text1"/>
          <w:szCs w:val="16"/>
        </w:rPr>
        <w:br/>
        <w:t xml:space="preserve">4. To demonstrate correction of the identified non-compliance, each LEA must: a. revise their noncompliant policies, procedures, and practices through training and revision of appropriate forms; and b. demonstrate that they are correctly implementing the specific regulatory requirements, through the review of state records from a subsequent reporting period. </w:t>
      </w:r>
      <w:r w:rsidRPr="00781112">
        <w:rPr>
          <w:rFonts w:cs="Arial"/>
          <w:color w:val="000000" w:themeColor="text1"/>
          <w:szCs w:val="16"/>
        </w:rPr>
        <w:br/>
      </w:r>
      <w:r w:rsidRPr="00781112">
        <w:rPr>
          <w:rFonts w:cs="Arial"/>
          <w:color w:val="000000" w:themeColor="text1"/>
          <w:szCs w:val="16"/>
        </w:rPr>
        <w:br/>
        <w:t>5. The State reports on the verification of correction of this non-compliance, consistent with OSEP Memo 09-02, in the FFY 2020 APR, due February 1, 2021. The State DID NOT identify non-compliance with Part B requirements as a result of the review required by 34 CFR §300.170(b).</w:t>
      </w:r>
    </w:p>
    <w:p w14:paraId="47497C41" w14:textId="77777777" w:rsidR="003B64C0" w:rsidRPr="00781112" w:rsidRDefault="003B64C0" w:rsidP="00082667">
      <w:pPr>
        <w:rPr>
          <w:rFonts w:cs="Arial"/>
          <w:color w:val="000000" w:themeColor="text1"/>
          <w:szCs w:val="16"/>
        </w:rPr>
      </w:pPr>
    </w:p>
    <w:p w14:paraId="38E1E629" w14:textId="1EF02333" w:rsidR="003B64C0" w:rsidRPr="00781112" w:rsidRDefault="003B64C0" w:rsidP="00082667">
      <w:pPr>
        <w:rPr>
          <w:rFonts w:cs="Arial"/>
          <w:color w:val="000000" w:themeColor="text1"/>
          <w:szCs w:val="16"/>
        </w:rPr>
      </w:pPr>
      <w:r w:rsidRPr="00781112">
        <w:rPr>
          <w:rFonts w:cs="Arial"/>
          <w:color w:val="000000" w:themeColor="text1"/>
          <w:szCs w:val="16"/>
        </w:rPr>
        <w:t>The State DID NOT identify noncompliance with Part B requirements as a result of the review required by 34 CFR §300.170(b)</w:t>
      </w:r>
    </w:p>
    <w:p w14:paraId="1295BAEB" w14:textId="77777777" w:rsidR="007E6F97" w:rsidRPr="00781112" w:rsidRDefault="007E6F97" w:rsidP="004369B2">
      <w:pPr>
        <w:rPr>
          <w:color w:val="000000" w:themeColor="text1"/>
        </w:rPr>
      </w:pPr>
      <w:bookmarkStart w:id="26" w:name="_Toc381956335"/>
      <w:bookmarkStart w:id="27" w:name="_Toc384383336"/>
      <w:bookmarkStart w:id="28" w:name="_Toc392159288"/>
    </w:p>
    <w:p w14:paraId="0496594E" w14:textId="50BB0039" w:rsidR="00B9048A" w:rsidRPr="00781112" w:rsidRDefault="00B9048A"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PFFYNCFINDINGS"/>
      </w:tblPr>
      <w:tblGrid>
        <w:gridCol w:w="2613"/>
        <w:gridCol w:w="2743"/>
        <w:gridCol w:w="2620"/>
        <w:gridCol w:w="2814"/>
      </w:tblGrid>
      <w:tr w:rsidR="005C29F8" w:rsidRPr="00781112" w14:paraId="5E5B522D" w14:textId="77777777" w:rsidTr="000D3273">
        <w:trPr>
          <w:trHeight w:val="389"/>
          <w:tblHeader/>
        </w:trPr>
        <w:tc>
          <w:tcPr>
            <w:tcW w:w="1211" w:type="pct"/>
            <w:shd w:val="clear" w:color="auto" w:fill="auto"/>
            <w:vAlign w:val="bottom"/>
          </w:tcPr>
          <w:p w14:paraId="16ECB6B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122A58D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7D9FA33F"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704691F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1836014" w14:textId="77777777" w:rsidTr="000D3273">
        <w:tc>
          <w:tcPr>
            <w:tcW w:w="1211" w:type="pct"/>
            <w:shd w:val="clear" w:color="auto" w:fill="auto"/>
          </w:tcPr>
          <w:p w14:paraId="706C7C42" w14:textId="616D64A9"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71" w:type="pct"/>
            <w:shd w:val="clear" w:color="auto" w:fill="auto"/>
          </w:tcPr>
          <w:p w14:paraId="0CE7F01B" w14:textId="4009BBFE"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14" w:type="pct"/>
            <w:shd w:val="clear" w:color="auto" w:fill="auto"/>
          </w:tcPr>
          <w:p w14:paraId="38F306AA" w14:textId="2CC74FE3"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304" w:type="pct"/>
            <w:shd w:val="clear" w:color="auto" w:fill="auto"/>
          </w:tcPr>
          <w:p w14:paraId="5E536CD7" w14:textId="387A8666"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6809AF49" w14:textId="254C8CCA" w:rsidR="00B9048A" w:rsidRPr="00781112" w:rsidRDefault="00B9048A"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PPFFYNCFINDINGS"/>
      </w:tblPr>
      <w:tblGrid>
        <w:gridCol w:w="2216"/>
        <w:gridCol w:w="2922"/>
        <w:gridCol w:w="2913"/>
        <w:gridCol w:w="2739"/>
      </w:tblGrid>
      <w:tr w:rsidR="005C29F8" w:rsidRPr="00781112" w14:paraId="6E94B7A5" w14:textId="77777777" w:rsidTr="00AB0D6A">
        <w:trPr>
          <w:tblHeader/>
        </w:trPr>
        <w:tc>
          <w:tcPr>
            <w:tcW w:w="1027" w:type="pct"/>
            <w:shd w:val="clear" w:color="auto" w:fill="auto"/>
            <w:vAlign w:val="bottom"/>
          </w:tcPr>
          <w:p w14:paraId="673CA265" w14:textId="007E8E78" w:rsidR="00B9048A" w:rsidRPr="00781112" w:rsidRDefault="0016730D" w:rsidP="001F692C">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54" w:type="pct"/>
            <w:shd w:val="clear" w:color="auto" w:fill="auto"/>
            <w:vAlign w:val="bottom"/>
          </w:tcPr>
          <w:p w14:paraId="1C2EE691" w14:textId="04C1E772"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350" w:type="pct"/>
            <w:shd w:val="clear" w:color="auto" w:fill="auto"/>
            <w:vAlign w:val="bottom"/>
          </w:tcPr>
          <w:p w14:paraId="4E50156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7151EA41"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80087A2" w14:textId="77777777" w:rsidTr="00AB0D6A">
        <w:tc>
          <w:tcPr>
            <w:tcW w:w="1027" w:type="pct"/>
            <w:shd w:val="clear" w:color="auto" w:fill="auto"/>
          </w:tcPr>
          <w:p w14:paraId="5A5634D8" w14:textId="5AC3BEAC" w:rsidR="000C7B90" w:rsidRPr="00781112" w:rsidRDefault="000C7B90" w:rsidP="00A018D4">
            <w:pPr>
              <w:jc w:val="center"/>
              <w:rPr>
                <w:rFonts w:cs="Arial"/>
                <w:color w:val="000000" w:themeColor="text1"/>
                <w:szCs w:val="16"/>
              </w:rPr>
            </w:pPr>
          </w:p>
        </w:tc>
        <w:tc>
          <w:tcPr>
            <w:tcW w:w="1354" w:type="pct"/>
            <w:shd w:val="clear" w:color="auto" w:fill="auto"/>
          </w:tcPr>
          <w:p w14:paraId="38361EB5" w14:textId="479B3693" w:rsidR="000C7B90" w:rsidRPr="00781112" w:rsidRDefault="000C7B90">
            <w:pPr>
              <w:jc w:val="center"/>
              <w:rPr>
                <w:rFonts w:cs="Arial"/>
                <w:noProof/>
                <w:color w:val="000000" w:themeColor="text1"/>
                <w:szCs w:val="16"/>
              </w:rPr>
            </w:pPr>
          </w:p>
        </w:tc>
        <w:tc>
          <w:tcPr>
            <w:tcW w:w="1350" w:type="pct"/>
            <w:shd w:val="clear" w:color="auto" w:fill="auto"/>
          </w:tcPr>
          <w:p w14:paraId="0F44D03C" w14:textId="3887F715" w:rsidR="000C7B90" w:rsidRPr="00781112" w:rsidRDefault="000C7B90">
            <w:pPr>
              <w:jc w:val="center"/>
              <w:rPr>
                <w:rFonts w:cs="Arial"/>
                <w:noProof/>
                <w:color w:val="000000" w:themeColor="text1"/>
                <w:szCs w:val="16"/>
              </w:rPr>
            </w:pPr>
          </w:p>
        </w:tc>
        <w:tc>
          <w:tcPr>
            <w:tcW w:w="1269" w:type="pct"/>
            <w:shd w:val="clear" w:color="auto" w:fill="auto"/>
          </w:tcPr>
          <w:p w14:paraId="5DF55667" w14:textId="0913E6B4" w:rsidR="000C7B90" w:rsidRPr="00781112" w:rsidRDefault="000C7B90">
            <w:pPr>
              <w:jc w:val="center"/>
              <w:rPr>
                <w:rFonts w:cs="Arial"/>
                <w:noProof/>
                <w:color w:val="000000" w:themeColor="text1"/>
                <w:szCs w:val="16"/>
              </w:rPr>
            </w:pPr>
          </w:p>
        </w:tc>
      </w:tr>
      <w:tr w:rsidR="005C29F8" w:rsidRPr="00781112" w14:paraId="3BB76F7F" w14:textId="77777777" w:rsidTr="00AB0D6A">
        <w:tc>
          <w:tcPr>
            <w:tcW w:w="1027" w:type="pct"/>
            <w:shd w:val="clear" w:color="auto" w:fill="auto"/>
          </w:tcPr>
          <w:p w14:paraId="3E53BDFC" w14:textId="49B50F7D" w:rsidR="000C7B90" w:rsidRPr="00781112" w:rsidRDefault="000C7B90" w:rsidP="00A018D4">
            <w:pPr>
              <w:jc w:val="center"/>
              <w:rPr>
                <w:rFonts w:cs="Arial"/>
                <w:color w:val="000000" w:themeColor="text1"/>
                <w:szCs w:val="16"/>
              </w:rPr>
            </w:pPr>
          </w:p>
        </w:tc>
        <w:tc>
          <w:tcPr>
            <w:tcW w:w="1354" w:type="pct"/>
            <w:shd w:val="clear" w:color="auto" w:fill="auto"/>
          </w:tcPr>
          <w:p w14:paraId="2DAC4ACF" w14:textId="6DFB36C9" w:rsidR="000C7B90" w:rsidRPr="00781112" w:rsidRDefault="000C7B90">
            <w:pPr>
              <w:jc w:val="center"/>
              <w:rPr>
                <w:rFonts w:cs="Arial"/>
                <w:noProof/>
                <w:color w:val="000000" w:themeColor="text1"/>
                <w:szCs w:val="16"/>
              </w:rPr>
            </w:pPr>
          </w:p>
        </w:tc>
        <w:tc>
          <w:tcPr>
            <w:tcW w:w="1350" w:type="pct"/>
            <w:shd w:val="clear" w:color="auto" w:fill="auto"/>
          </w:tcPr>
          <w:p w14:paraId="45BEAE02" w14:textId="10E4F499" w:rsidR="000C7B90" w:rsidRPr="00781112" w:rsidRDefault="000C7B90">
            <w:pPr>
              <w:jc w:val="center"/>
              <w:rPr>
                <w:rFonts w:cs="Arial"/>
                <w:noProof/>
                <w:color w:val="000000" w:themeColor="text1"/>
                <w:szCs w:val="16"/>
              </w:rPr>
            </w:pPr>
          </w:p>
        </w:tc>
        <w:tc>
          <w:tcPr>
            <w:tcW w:w="1269" w:type="pct"/>
            <w:shd w:val="clear" w:color="auto" w:fill="auto"/>
          </w:tcPr>
          <w:p w14:paraId="3F264F27" w14:textId="46B36D97" w:rsidR="000C7B90" w:rsidRPr="00781112" w:rsidRDefault="000C7B90">
            <w:pPr>
              <w:jc w:val="center"/>
              <w:rPr>
                <w:rFonts w:cs="Arial"/>
                <w:noProof/>
                <w:color w:val="000000" w:themeColor="text1"/>
                <w:szCs w:val="16"/>
              </w:rPr>
            </w:pPr>
          </w:p>
        </w:tc>
      </w:tr>
      <w:tr w:rsidR="005C29F8" w:rsidRPr="00781112" w14:paraId="21B66B81" w14:textId="77777777" w:rsidTr="00AB0D6A">
        <w:tc>
          <w:tcPr>
            <w:tcW w:w="1027" w:type="pct"/>
            <w:shd w:val="clear" w:color="auto" w:fill="auto"/>
          </w:tcPr>
          <w:p w14:paraId="65918C5C" w14:textId="6650DAE7" w:rsidR="000C7B90" w:rsidRPr="00781112" w:rsidRDefault="000C7B90" w:rsidP="00A018D4">
            <w:pPr>
              <w:jc w:val="center"/>
              <w:rPr>
                <w:rFonts w:cs="Arial"/>
                <w:color w:val="000000" w:themeColor="text1"/>
                <w:szCs w:val="16"/>
              </w:rPr>
            </w:pPr>
          </w:p>
        </w:tc>
        <w:tc>
          <w:tcPr>
            <w:tcW w:w="1354" w:type="pct"/>
            <w:shd w:val="clear" w:color="auto" w:fill="auto"/>
          </w:tcPr>
          <w:p w14:paraId="1BC28F5F" w14:textId="383929AE" w:rsidR="000C7B90" w:rsidRPr="00781112" w:rsidRDefault="000C7B90">
            <w:pPr>
              <w:jc w:val="center"/>
              <w:rPr>
                <w:rFonts w:cs="Arial"/>
                <w:noProof/>
                <w:color w:val="000000" w:themeColor="text1"/>
                <w:szCs w:val="16"/>
              </w:rPr>
            </w:pPr>
          </w:p>
        </w:tc>
        <w:tc>
          <w:tcPr>
            <w:tcW w:w="1350" w:type="pct"/>
            <w:shd w:val="clear" w:color="auto" w:fill="auto"/>
          </w:tcPr>
          <w:p w14:paraId="12030336" w14:textId="25AE5462" w:rsidR="000C7B90" w:rsidRPr="00781112" w:rsidRDefault="000C7B90">
            <w:pPr>
              <w:jc w:val="center"/>
              <w:rPr>
                <w:rFonts w:cs="Arial"/>
                <w:noProof/>
                <w:color w:val="000000" w:themeColor="text1"/>
                <w:szCs w:val="16"/>
              </w:rPr>
            </w:pPr>
          </w:p>
        </w:tc>
        <w:tc>
          <w:tcPr>
            <w:tcW w:w="1269" w:type="pct"/>
            <w:shd w:val="clear" w:color="auto" w:fill="auto"/>
          </w:tcPr>
          <w:p w14:paraId="189EDDF9" w14:textId="00F3EE08" w:rsidR="000C7B90" w:rsidRPr="00781112" w:rsidRDefault="000C7B90">
            <w:pPr>
              <w:jc w:val="center"/>
              <w:rPr>
                <w:rFonts w:cs="Arial"/>
                <w:noProof/>
                <w:color w:val="000000" w:themeColor="text1"/>
                <w:szCs w:val="16"/>
              </w:rPr>
            </w:pPr>
          </w:p>
        </w:tc>
      </w:tr>
    </w:tbl>
    <w:p w14:paraId="21AE82C7" w14:textId="33B9781C" w:rsidR="004E2151" w:rsidRPr="00781112" w:rsidRDefault="00697434" w:rsidP="008645AD">
      <w:pPr>
        <w:pStyle w:val="Heading2"/>
      </w:pPr>
      <w:r w:rsidRPr="00781112">
        <w:t>4A</w:t>
      </w:r>
      <w:r w:rsidR="00DA3C7A" w:rsidRPr="00781112">
        <w:t xml:space="preserve"> </w:t>
      </w:r>
      <w:r w:rsidRPr="00781112">
        <w:t xml:space="preserve">- </w:t>
      </w:r>
      <w:r w:rsidR="004E2151" w:rsidRPr="00781112">
        <w:t>Prior FFY Required Actions</w:t>
      </w:r>
    </w:p>
    <w:p w14:paraId="3EDBC3E4" w14:textId="0BA98152" w:rsidR="004E2151" w:rsidRPr="00781112" w:rsidRDefault="002B7490" w:rsidP="004E2151">
      <w:pPr>
        <w:rPr>
          <w:rFonts w:cs="Arial"/>
          <w:color w:val="000000" w:themeColor="text1"/>
          <w:szCs w:val="16"/>
        </w:rPr>
      </w:pPr>
      <w:r w:rsidRPr="00781112">
        <w:rPr>
          <w:rFonts w:cs="Arial"/>
          <w:color w:val="000000" w:themeColor="text1"/>
          <w:szCs w:val="16"/>
        </w:rPr>
        <w:t>None</w:t>
      </w:r>
    </w:p>
    <w:p w14:paraId="54E863CC" w14:textId="77777777" w:rsidR="009B02BC" w:rsidRPr="00781112" w:rsidRDefault="009B02BC" w:rsidP="004E2151">
      <w:pPr>
        <w:rPr>
          <w:rFonts w:cs="Arial"/>
          <w:color w:val="000000" w:themeColor="text1"/>
          <w:szCs w:val="16"/>
        </w:rPr>
      </w:pPr>
    </w:p>
    <w:p w14:paraId="1480A7D2" w14:textId="5B38CB62" w:rsidR="009B02BC" w:rsidRPr="00781112" w:rsidRDefault="009B02BC" w:rsidP="004E2151">
      <w:pPr>
        <w:rPr>
          <w:rFonts w:cs="Arial"/>
          <w:color w:val="000000" w:themeColor="text1"/>
          <w:szCs w:val="16"/>
        </w:rPr>
      </w:pPr>
    </w:p>
    <w:p w14:paraId="537673C8" w14:textId="6D41A3A2" w:rsidR="005115D6" w:rsidRPr="00781112" w:rsidRDefault="001E2193" w:rsidP="008645AD">
      <w:pPr>
        <w:pStyle w:val="Heading2"/>
      </w:pPr>
      <w:r w:rsidRPr="00781112">
        <w:t>4A - OSEP Response</w:t>
      </w:r>
    </w:p>
    <w:p w14:paraId="6408916F" w14:textId="5ADBBBB9" w:rsidR="002D57DA" w:rsidRPr="00781112" w:rsidRDefault="002B7490" w:rsidP="00212954">
      <w:pPr>
        <w:rPr>
          <w:rFonts w:cs="Arial"/>
          <w:color w:val="000000" w:themeColor="text1"/>
          <w:szCs w:val="16"/>
        </w:rPr>
      </w:pPr>
      <w:r w:rsidRPr="00781112">
        <w:rPr>
          <w:rFonts w:cs="Arial"/>
          <w:color w:val="000000" w:themeColor="text1"/>
          <w:szCs w:val="16"/>
        </w:rPr>
        <w:t>The State provided targets for FFYs 2020 through 2025 for this indicator, and OSEP accepts those targets.</w:t>
      </w:r>
    </w:p>
    <w:p w14:paraId="146BDB91" w14:textId="0A2F7969" w:rsidR="005115D6" w:rsidRPr="00781112" w:rsidRDefault="00697434" w:rsidP="008645AD">
      <w:pPr>
        <w:pStyle w:val="Heading2"/>
      </w:pPr>
      <w:r w:rsidRPr="00781112">
        <w:t>4A - Required Actions</w:t>
      </w:r>
    </w:p>
    <w:p w14:paraId="37BECDFE" w14:textId="2A43AB88" w:rsidR="002D57DA" w:rsidRPr="00781112" w:rsidRDefault="002D57DA" w:rsidP="00212954">
      <w:pPr>
        <w:rPr>
          <w:rFonts w:cs="Arial"/>
          <w:color w:val="000000" w:themeColor="text1"/>
          <w:szCs w:val="16"/>
        </w:rPr>
      </w:pPr>
    </w:p>
    <w:p w14:paraId="5E6ED969"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58544B7" w14:textId="204E8DB3" w:rsidR="00D03701" w:rsidRPr="00781112" w:rsidRDefault="00D03701" w:rsidP="000444E2">
      <w:pPr>
        <w:pStyle w:val="Heading1"/>
        <w:rPr>
          <w:color w:val="000000" w:themeColor="text1"/>
          <w:sz w:val="22"/>
        </w:rPr>
      </w:pPr>
      <w:r w:rsidRPr="00781112">
        <w:rPr>
          <w:color w:val="000000" w:themeColor="text1"/>
          <w:sz w:val="22"/>
        </w:rPr>
        <w:lastRenderedPageBreak/>
        <w:t>Indicator 4B: Suspension/Expulsion</w:t>
      </w:r>
      <w:bookmarkEnd w:id="26"/>
      <w:bookmarkEnd w:id="27"/>
      <w:bookmarkEnd w:id="28"/>
    </w:p>
    <w:p w14:paraId="1BA30D93" w14:textId="77777777" w:rsidR="008637F8" w:rsidRPr="00781112" w:rsidRDefault="008637F8" w:rsidP="00A018D4">
      <w:pPr>
        <w:rPr>
          <w:color w:val="000000" w:themeColor="text1"/>
          <w:szCs w:val="20"/>
        </w:rPr>
      </w:pPr>
      <w:bookmarkStart w:id="29" w:name="_Toc384383338"/>
      <w:bookmarkStart w:id="30" w:name="_Toc392159290"/>
      <w:r w:rsidRPr="00781112">
        <w:rPr>
          <w:b/>
          <w:color w:val="000000" w:themeColor="text1"/>
          <w:sz w:val="20"/>
          <w:szCs w:val="20"/>
        </w:rPr>
        <w:t xml:space="preserve">Instructions and Measurement </w:t>
      </w:r>
    </w:p>
    <w:p w14:paraId="0904D95C" w14:textId="6ABD6544" w:rsidR="00413366" w:rsidRPr="00781112" w:rsidRDefault="00413366"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7516B53F" w14:textId="25CEE127" w:rsidR="00413366" w:rsidRPr="00781112" w:rsidRDefault="00C56D79" w:rsidP="009A755E">
      <w:pPr>
        <w:rPr>
          <w:rFonts w:cs="Arial"/>
          <w:color w:val="000000" w:themeColor="text1"/>
          <w:szCs w:val="16"/>
        </w:rPr>
      </w:pPr>
      <w:r w:rsidRPr="00781112">
        <w:rPr>
          <w:rFonts w:cs="Arial"/>
          <w:b/>
          <w:color w:val="000000" w:themeColor="text1"/>
          <w:szCs w:val="16"/>
        </w:rPr>
        <w:t>Compliance Indicator:</w:t>
      </w:r>
      <w:r w:rsidR="009A755E" w:rsidRPr="00781112">
        <w:rPr>
          <w:rFonts w:cs="Arial"/>
          <w:color w:val="000000" w:themeColor="text1"/>
          <w:szCs w:val="16"/>
        </w:rPr>
        <w:t xml:space="preserve"> </w:t>
      </w:r>
      <w:r w:rsidR="00413366" w:rsidRPr="00781112">
        <w:rPr>
          <w:rFonts w:cs="Arial"/>
          <w:color w:val="000000" w:themeColor="text1"/>
          <w:szCs w:val="16"/>
        </w:rPr>
        <w:t>Rates of suspension and expulsion:</w:t>
      </w:r>
    </w:p>
    <w:p w14:paraId="3739388D" w14:textId="512C0A32" w:rsidR="00B01978" w:rsidRPr="00781112" w:rsidRDefault="00B01978" w:rsidP="00360DD6">
      <w:pPr>
        <w:ind w:left="360"/>
        <w:rPr>
          <w:rFonts w:cs="Arial"/>
          <w:szCs w:val="16"/>
        </w:rPr>
      </w:pPr>
      <w:r w:rsidRPr="00781112">
        <w:rPr>
          <w:rFonts w:cs="Arial"/>
          <w:color w:val="000000" w:themeColor="text1"/>
          <w:szCs w:val="16"/>
        </w:rPr>
        <w:tab/>
        <w:t xml:space="preserve">A. </w:t>
      </w:r>
      <w:r w:rsidRPr="00741A36">
        <w:rPr>
          <w:rFonts w:cs="Arial"/>
          <w:szCs w:val="16"/>
        </w:rPr>
        <w:t>Percent of local educational</w:t>
      </w:r>
      <w:r w:rsidRPr="00781112">
        <w:rPr>
          <w:rFonts w:cs="Arial"/>
          <w:szCs w:val="16"/>
        </w:rPr>
        <w:t xml:space="preserve"> agencies (LEA) that have a significant discrepancy, as defined by the State, in the rate of suspensions and </w:t>
      </w:r>
      <w:r w:rsidR="002D3270" w:rsidRPr="00781112">
        <w:rPr>
          <w:rFonts w:cs="Arial"/>
          <w:szCs w:val="16"/>
        </w:rPr>
        <w:tab/>
      </w:r>
      <w:r w:rsidRPr="00781112">
        <w:rPr>
          <w:rFonts w:cs="Arial"/>
          <w:szCs w:val="16"/>
        </w:rPr>
        <w:t>expulsions of greater than 10 days in a school year for children with IEPs; and</w:t>
      </w:r>
    </w:p>
    <w:p w14:paraId="021F68CD" w14:textId="4F839DD4" w:rsidR="00413366" w:rsidRPr="00781112" w:rsidRDefault="001D5BAF" w:rsidP="006A01BD">
      <w:pPr>
        <w:ind w:left="720"/>
        <w:rPr>
          <w:rFonts w:cs="Arial"/>
          <w:color w:val="000000" w:themeColor="text1"/>
          <w:szCs w:val="16"/>
        </w:rPr>
      </w:pPr>
      <w:r w:rsidRPr="00781112">
        <w:rPr>
          <w:rFonts w:cs="Arial"/>
          <w:color w:val="000000" w:themeColor="text1"/>
          <w:szCs w:val="16"/>
        </w:rPr>
        <w:t>B. Percent of LEAs that have: (a) a significant discrepancy,</w:t>
      </w:r>
      <w:r w:rsidR="007F1D12" w:rsidRPr="00781112">
        <w:rPr>
          <w:rFonts w:cs="Arial"/>
          <w:szCs w:val="16"/>
        </w:rPr>
        <w:t xml:space="preserve"> as defined by the State, </w:t>
      </w:r>
      <w:r w:rsidRPr="00781112">
        <w:rPr>
          <w:rFonts w:cs="Arial"/>
          <w:color w:val="000000" w:themeColor="text1"/>
          <w:szCs w:val="16"/>
        </w:rPr>
        <w:t>by race or ethnicity</w:t>
      </w:r>
      <w:r w:rsidR="00413366" w:rsidRPr="00781112">
        <w:rPr>
          <w:rFonts w:cs="Arial"/>
          <w:bCs/>
          <w:color w:val="000000" w:themeColor="text1"/>
          <w:szCs w:val="16"/>
          <w:shd w:val="clear" w:color="auto" w:fill="FFFFFF"/>
        </w:rPr>
        <w:t>, in the rate of suspensions and expulsions of greater than 10 days in a school year for children with IEPs; and (b) policies, procedures or practices that contribute to the significant discrepancy</w:t>
      </w:r>
      <w:r w:rsidR="000C0565" w:rsidRPr="00781112">
        <w:rPr>
          <w:rFonts w:cs="Arial"/>
          <w:bCs/>
          <w:color w:val="000000" w:themeColor="text1"/>
          <w:szCs w:val="16"/>
          <w:shd w:val="clear" w:color="auto" w:fill="FFFFFF"/>
        </w:rPr>
        <w:t xml:space="preserve">, </w:t>
      </w:r>
      <w:r w:rsidR="000C0565" w:rsidRPr="00781112">
        <w:rPr>
          <w:rFonts w:cs="Arial"/>
          <w:szCs w:val="16"/>
        </w:rPr>
        <w:t xml:space="preserve">as defined by the State, </w:t>
      </w:r>
      <w:r w:rsidR="00413366" w:rsidRPr="00781112">
        <w:rPr>
          <w:rFonts w:cs="Arial"/>
          <w:bCs/>
          <w:color w:val="000000" w:themeColor="text1"/>
          <w:szCs w:val="16"/>
          <w:shd w:val="clear" w:color="auto" w:fill="FFFFFF"/>
        </w:rPr>
        <w:t>and do not comply with requirements relating to the development and implementation of IEPs, the use of positive behavioral interventions and supports, and procedural safeguards.</w:t>
      </w:r>
    </w:p>
    <w:p w14:paraId="7034F485" w14:textId="41B53DB5"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5F946B13" w14:textId="77777777" w:rsidR="00413366" w:rsidRPr="00781112" w:rsidRDefault="00413366" w:rsidP="004369B2">
      <w:pPr>
        <w:rPr>
          <w:color w:val="000000" w:themeColor="text1"/>
        </w:rPr>
      </w:pPr>
      <w:r w:rsidRPr="00781112">
        <w:rPr>
          <w:b/>
          <w:color w:val="000000" w:themeColor="text1"/>
        </w:rPr>
        <w:t>Data Source</w:t>
      </w:r>
    </w:p>
    <w:p w14:paraId="5BDC9967" w14:textId="77777777" w:rsidR="00413366" w:rsidRPr="00781112" w:rsidRDefault="00413366" w:rsidP="00BB7BC9">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38F5E274" w14:textId="77777777" w:rsidR="00413366" w:rsidRPr="00781112" w:rsidRDefault="00413366" w:rsidP="004369B2">
      <w:pPr>
        <w:rPr>
          <w:color w:val="000000" w:themeColor="text1"/>
        </w:rPr>
      </w:pPr>
      <w:r w:rsidRPr="00781112">
        <w:rPr>
          <w:b/>
          <w:color w:val="000000" w:themeColor="text1"/>
        </w:rPr>
        <w:t>Measurement</w:t>
      </w:r>
    </w:p>
    <w:p w14:paraId="509BF292" w14:textId="47666D05" w:rsidR="00413366" w:rsidRPr="00781112" w:rsidRDefault="00413366"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 xml:space="preserve">of </w:t>
      </w:r>
      <w:r w:rsidR="000C0565"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that meet the State-established n </w:t>
      </w:r>
      <w:r w:rsidR="000C0565"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 xml:space="preserve">size (if applicable) for one or more racial/ethnic groups that have: (a) a significant discrepancy, </w:t>
      </w:r>
      <w:r w:rsidR="000C0565" w:rsidRPr="00781112">
        <w:rPr>
          <w:rFonts w:cs="Arial"/>
          <w:szCs w:val="16"/>
        </w:rPr>
        <w:t xml:space="preserve">as defined by the State, </w:t>
      </w:r>
      <w:r w:rsidRPr="00781112">
        <w:rPr>
          <w:rFonts w:cs="Arial"/>
          <w:color w:val="000000" w:themeColor="text1"/>
          <w:szCs w:val="16"/>
          <w:shd w:val="clear" w:color="auto" w:fill="FFFFFF"/>
        </w:rPr>
        <w:t xml:space="preserve">by race or ethnicity, in the rates of suspensions and expulsions of </w:t>
      </w:r>
      <w:r w:rsidR="00D124AA"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D124AA" w:rsidRPr="00781112">
        <w:rPr>
          <w:rFonts w:cs="Arial"/>
          <w:color w:val="000000" w:themeColor="text1"/>
          <w:szCs w:val="16"/>
          <w:shd w:val="clear" w:color="auto" w:fill="FFFFFF"/>
        </w:rPr>
        <w:t xml:space="preserve">during the </w:t>
      </w:r>
      <w:r w:rsidRPr="00781112">
        <w:rPr>
          <w:rFonts w:cs="Arial"/>
          <w:color w:val="000000" w:themeColor="text1"/>
          <w:szCs w:val="16"/>
          <w:shd w:val="clear" w:color="auto" w:fill="FFFFFF"/>
        </w:rPr>
        <w:t>school year of children with IEPs; and (b) policies, procedures or practices that contribute to the significant discrepancy</w:t>
      </w:r>
      <w:r w:rsidR="0024349E" w:rsidRPr="00781112">
        <w:rPr>
          <w:rFonts w:cs="Arial"/>
          <w:color w:val="000000" w:themeColor="text1"/>
          <w:szCs w:val="16"/>
          <w:shd w:val="clear" w:color="auto" w:fill="FFFFFF"/>
        </w:rPr>
        <w:t xml:space="preserve">, as defined by the State, </w:t>
      </w:r>
      <w:r w:rsidRPr="00781112">
        <w:rPr>
          <w:rFonts w:cs="Arial"/>
          <w:color w:val="000000" w:themeColor="text1"/>
          <w:szCs w:val="16"/>
          <w:shd w:val="clear" w:color="auto" w:fill="FFFFFF"/>
        </w:rPr>
        <w:t xml:space="preserve">and do not comply with requirements relating to the development and implementation of IEPs, the use of positive behavioral interventions and supports, and procedural safeguards) divided by the (# of </w:t>
      </w:r>
      <w:r w:rsidR="003929E1"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in the State that meet the State-established n </w:t>
      </w:r>
      <w:r w:rsidR="003929E1"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size (if applicable) for one or more racial/ethnic groups</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times 100.</w:t>
      </w:r>
    </w:p>
    <w:p w14:paraId="09B5AE3F" w14:textId="77777777" w:rsidR="00413366" w:rsidRPr="00781112" w:rsidRDefault="00413366"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19EA6D3F" w14:textId="77777777" w:rsidR="00413366" w:rsidRPr="00781112" w:rsidRDefault="00413366" w:rsidP="004369B2">
      <w:pPr>
        <w:rPr>
          <w:color w:val="000000" w:themeColor="text1"/>
        </w:rPr>
      </w:pPr>
      <w:r w:rsidRPr="00781112">
        <w:rPr>
          <w:b/>
          <w:color w:val="000000" w:themeColor="text1"/>
        </w:rPr>
        <w:t>Instructions</w:t>
      </w:r>
    </w:p>
    <w:p w14:paraId="516DD2DE" w14:textId="74244F0A" w:rsidR="00413366" w:rsidRPr="00781112" w:rsidRDefault="00413366" w:rsidP="00BB7BC9">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LEAs that met that State-established n and/or cell size. If the State used a minimum n and/or cell size requirement, report the number of LEAs totally excluded from the calculation as a result of this requirement.</w:t>
      </w:r>
    </w:p>
    <w:p w14:paraId="7D3F6556" w14:textId="2FF91624" w:rsidR="00413366" w:rsidRPr="00781112" w:rsidRDefault="0016730D" w:rsidP="00BB7BC9">
      <w:pPr>
        <w:rPr>
          <w:rFonts w:cs="Arial"/>
          <w:color w:val="000000" w:themeColor="text1"/>
          <w:szCs w:val="16"/>
        </w:rPr>
      </w:pPr>
      <w:r w:rsidRPr="00781112">
        <w:rPr>
          <w:rFonts w:cs="Arial"/>
          <w:color w:val="000000" w:themeColor="text1"/>
          <w:szCs w:val="16"/>
        </w:rPr>
        <w:t xml:space="preserve">Describe the results of the State’s examination of the data for the year before the reporting year (e.g., for the FFY 2020 SPP/APR, use data from 2019-2020), including data disaggregated by race and ethnicity to determine if significant discrepancies, as defined by the State, are occurring in the rates of long-term suspensions and expulsions </w:t>
      </w:r>
      <w:r w:rsidR="00B315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r w:rsidR="007D116C" w:rsidRPr="00781112">
        <w:rPr>
          <w:rFonts w:cs="Arial"/>
          <w:color w:val="000000" w:themeColor="text1"/>
          <w:szCs w:val="16"/>
        </w:rPr>
        <w:t>:</w:t>
      </w:r>
    </w:p>
    <w:p w14:paraId="041F9A85" w14:textId="0566F4DA" w:rsidR="00413366" w:rsidRPr="00781112" w:rsidRDefault="00515E61"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4B77809C" w14:textId="04050159" w:rsidR="00413366" w:rsidRPr="00781112" w:rsidRDefault="00515E61"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to nondisabled children within the LEAs</w:t>
      </w:r>
    </w:p>
    <w:p w14:paraId="428DC587" w14:textId="18ECA0E1" w:rsidR="00413366" w:rsidRPr="00781112" w:rsidRDefault="00413366"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537B541" w14:textId="77777777" w:rsidR="00474DB4" w:rsidRPr="00781112" w:rsidRDefault="00474DB4" w:rsidP="00474DB4">
      <w:pPr>
        <w:rPr>
          <w:rFonts w:cs="Arial"/>
          <w:szCs w:val="16"/>
        </w:rPr>
      </w:pPr>
      <w:r w:rsidRPr="00781112">
        <w:rPr>
          <w:rFonts w:cs="Arial"/>
          <w:szCs w:val="16"/>
        </w:rPr>
        <w:t>Because the measurement table requires that the data examined for this indicator are lag year data, States should examine the 618 data that was submitted by LEAs that were in operation during the school year before the reporting year. For example, if a State has 100 LEAs operating in the 2019-2020 school year, those 100 LEAs would have reported 618 data in 2019-2020 on the number of children suspended/expelled. If the State then opens 15 new LEAs in 2020-2021, suspension/expulsion data from those 15 new LEAs would not be in the 2019-2020 618 data set, and therefore, those 15 new LEAs should not be included in the denominator of the calculation. States must use the number of LEAs from the year before the reporting year in its calculation for this indicator. For the FFY 2020 SPP/APR submission, States must use the number of LEAs reported in 2019-2020 (which can be found in the FFY 2019 SPP/APR introduction).</w:t>
      </w:r>
    </w:p>
    <w:p w14:paraId="42FA82A8" w14:textId="776B256B" w:rsidR="00413366" w:rsidRPr="00781112" w:rsidRDefault="00413366" w:rsidP="00BB7BC9">
      <w:pPr>
        <w:rPr>
          <w:rFonts w:cs="Arial"/>
          <w:color w:val="000000" w:themeColor="text1"/>
          <w:szCs w:val="16"/>
        </w:rPr>
      </w:pPr>
      <w:r w:rsidRPr="00781112">
        <w:rPr>
          <w:rFonts w:cs="Arial"/>
          <w:color w:val="000000" w:themeColor="text1"/>
          <w:szCs w:val="16"/>
        </w:rPr>
        <w:t>Indicator 4B: Provide the following: (a) the number of LEAs that met the State-established n and/or cell size (if applicable) for one or more racial/ethnic groups that have a significant discrepancy, as defined by the State, by race or ethnicity, in the rates of long-term suspensions and expulsions (more than 10 days during the school year) for children with IEPs; and (b) the number of those LEAs in which policies, procedures or practices contribute to the significant discrepancy and do not comply with requirements relating to the development and implementation of IEPs, the use of positive behavioral interventions and supports, and procedural safeguards.</w:t>
      </w:r>
    </w:p>
    <w:p w14:paraId="1F7345F8" w14:textId="014486D4" w:rsidR="00413366" w:rsidRPr="00781112" w:rsidRDefault="00413366" w:rsidP="00BB7BC9">
      <w:pPr>
        <w:rPr>
          <w:rFonts w:cs="Arial"/>
          <w:color w:val="000000" w:themeColor="text1"/>
          <w:szCs w:val="16"/>
        </w:rPr>
      </w:pPr>
      <w:r w:rsidRPr="00781112">
        <w:rPr>
          <w:rFonts w:cs="Arial"/>
          <w:color w:val="000000" w:themeColor="text1"/>
          <w:szCs w:val="16"/>
        </w:rPr>
        <w:t xml:space="preserve">Provide detailed information about the timely correction of noncompliance as noted in OSEP’s response for the previous SPP/APR. If discrepancies occurred and the LEA with discrepancies had policies, procedures or practices that contributed to the significant discrepancy, </w:t>
      </w:r>
      <w:r w:rsidR="00844FD2" w:rsidRPr="00781112">
        <w:rPr>
          <w:rFonts w:cs="Arial"/>
          <w:szCs w:val="16"/>
        </w:rPr>
        <w:t>as defined by the State,</w:t>
      </w:r>
      <w:r w:rsidR="005440A4" w:rsidRPr="00781112">
        <w:rPr>
          <w:rFonts w:cs="Arial"/>
          <w:szCs w:val="16"/>
        </w:rPr>
        <w:t xml:space="preserve"> </w:t>
      </w:r>
      <w:r w:rsidRPr="00781112">
        <w:rPr>
          <w:rFonts w:cs="Arial"/>
          <w:color w:val="000000" w:themeColor="text1"/>
          <w:szCs w:val="16"/>
        </w:rPr>
        <w:t>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 Memorandum 09-02, dated October 17, 2008.</w:t>
      </w:r>
    </w:p>
    <w:p w14:paraId="244FF3E4" w14:textId="77777777" w:rsidR="00413366" w:rsidRPr="00781112" w:rsidRDefault="00413366"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2A4C3F88" w14:textId="4219B809" w:rsidR="00413366" w:rsidRPr="00781112" w:rsidRDefault="0016730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4A2E05BE" w14:textId="77777777" w:rsidR="00413366" w:rsidRPr="00781112" w:rsidRDefault="00413366" w:rsidP="00BB7BC9">
      <w:pPr>
        <w:rPr>
          <w:rFonts w:cs="Arial"/>
          <w:color w:val="000000" w:themeColor="text1"/>
          <w:szCs w:val="16"/>
        </w:rPr>
      </w:pPr>
      <w:r w:rsidRPr="00781112">
        <w:rPr>
          <w:rFonts w:cs="Arial"/>
          <w:color w:val="000000" w:themeColor="text1"/>
          <w:szCs w:val="16"/>
        </w:rPr>
        <w:t>Targets must be 0% for 4B.</w:t>
      </w:r>
    </w:p>
    <w:p w14:paraId="1D15A8F4" w14:textId="6546AA23" w:rsidR="00D90B7C" w:rsidRPr="00781112" w:rsidRDefault="00D11730" w:rsidP="008645AD">
      <w:pPr>
        <w:pStyle w:val="Heading2"/>
      </w:pPr>
      <w:r w:rsidRPr="00781112">
        <w:t>4B</w:t>
      </w:r>
      <w:r w:rsidR="00E90DE9" w:rsidRPr="00781112">
        <w:t xml:space="preserve"> </w:t>
      </w:r>
      <w:r w:rsidRPr="00781112">
        <w:t xml:space="preserve">- </w:t>
      </w:r>
      <w:r w:rsidR="00D90B7C" w:rsidRPr="00781112">
        <w:t>Indicator Data</w:t>
      </w:r>
    </w:p>
    <w:p w14:paraId="435C0FC5" w14:textId="77777777" w:rsidR="0091098C" w:rsidRPr="00781112" w:rsidRDefault="0091098C" w:rsidP="004369B2">
      <w:pPr>
        <w:rPr>
          <w:color w:val="000000" w:themeColor="text1"/>
        </w:rPr>
      </w:pPr>
    </w:p>
    <w:p w14:paraId="113E64CF" w14:textId="7EACB9AD" w:rsidR="00CA0009" w:rsidRPr="00781112" w:rsidRDefault="0091098C" w:rsidP="004369B2">
      <w:pPr>
        <w:rPr>
          <w:color w:val="000000" w:themeColor="text1"/>
        </w:rPr>
      </w:pPr>
      <w:r w:rsidRPr="00781112">
        <w:rPr>
          <w:b/>
          <w:color w:val="000000" w:themeColor="text1"/>
        </w:rPr>
        <w:t>Not Applicable</w:t>
      </w:r>
    </w:p>
    <w:p w14:paraId="01A6DC15" w14:textId="244F6F21" w:rsidR="00F9524E" w:rsidRPr="00781112" w:rsidRDefault="00C144E3" w:rsidP="004369B2">
      <w:pPr>
        <w:rPr>
          <w:b/>
          <w:color w:val="000000" w:themeColor="text1"/>
        </w:rPr>
      </w:pPr>
      <w:r w:rsidRPr="00781112">
        <w:rPr>
          <w:b/>
          <w:color w:val="000000" w:themeColor="text1"/>
        </w:rPr>
        <w:t>Select yes if this indicator is not applicable.</w:t>
      </w:r>
    </w:p>
    <w:p w14:paraId="53F0BC7A" w14:textId="32C15B12" w:rsidR="00F85593" w:rsidRPr="00781112" w:rsidRDefault="00F85593" w:rsidP="004369B2">
      <w:pPr>
        <w:rPr>
          <w:rFonts w:cs="Arial"/>
          <w:color w:val="000000" w:themeColor="text1"/>
          <w:szCs w:val="16"/>
        </w:rPr>
      </w:pPr>
      <w:r w:rsidRPr="00781112">
        <w:rPr>
          <w:rFonts w:cs="Arial"/>
          <w:color w:val="000000" w:themeColor="text1"/>
          <w:szCs w:val="16"/>
        </w:rPr>
        <w:t>NO</w:t>
      </w:r>
    </w:p>
    <w:p w14:paraId="2A73B0E0" w14:textId="77777777" w:rsidR="00CF0A73" w:rsidRPr="00781112" w:rsidRDefault="00CF0A73" w:rsidP="004369B2">
      <w:pPr>
        <w:rPr>
          <w:color w:val="000000" w:themeColor="text1"/>
        </w:rPr>
      </w:pPr>
    </w:p>
    <w:p w14:paraId="069D75E9" w14:textId="5200D253" w:rsidR="00BB7BC9" w:rsidRPr="00781112" w:rsidRDefault="00BB7BC9"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BBASELINEDATA"/>
      </w:tblPr>
      <w:tblGrid>
        <w:gridCol w:w="2562"/>
        <w:gridCol w:w="2563"/>
      </w:tblGrid>
      <w:tr w:rsidR="001F64DB" w:rsidRPr="00781112" w14:paraId="79576181" w14:textId="77777777" w:rsidTr="00123D76">
        <w:trPr>
          <w:trHeight w:val="311"/>
          <w:tblHeader/>
        </w:trPr>
        <w:tc>
          <w:tcPr>
            <w:tcW w:w="2562" w:type="dxa"/>
          </w:tcPr>
          <w:p w14:paraId="3F975A24" w14:textId="77777777" w:rsidR="001F64DB" w:rsidRPr="00781112" w:rsidRDefault="001F64DB" w:rsidP="00123D76">
            <w:pPr>
              <w:jc w:val="center"/>
              <w:rPr>
                <w:b/>
                <w:color w:val="000000" w:themeColor="text1"/>
              </w:rPr>
            </w:pPr>
            <w:r w:rsidRPr="00781112">
              <w:rPr>
                <w:rFonts w:cs="Arial"/>
                <w:b/>
                <w:color w:val="000000" w:themeColor="text1"/>
                <w:szCs w:val="16"/>
              </w:rPr>
              <w:lastRenderedPageBreak/>
              <w:t>Baseline Year</w:t>
            </w:r>
          </w:p>
        </w:tc>
        <w:tc>
          <w:tcPr>
            <w:tcW w:w="2563" w:type="dxa"/>
          </w:tcPr>
          <w:p w14:paraId="2C69FE8E" w14:textId="77777777" w:rsidR="001F64DB" w:rsidRPr="00781112" w:rsidRDefault="001F64DB" w:rsidP="00123D76">
            <w:pPr>
              <w:jc w:val="center"/>
              <w:rPr>
                <w:b/>
                <w:color w:val="000000" w:themeColor="text1"/>
              </w:rPr>
            </w:pPr>
            <w:r w:rsidRPr="00781112">
              <w:rPr>
                <w:b/>
                <w:color w:val="000000" w:themeColor="text1"/>
              </w:rPr>
              <w:t>Baseline Data</w:t>
            </w:r>
          </w:p>
        </w:tc>
      </w:tr>
      <w:tr w:rsidR="001F64DB" w:rsidRPr="00781112" w14:paraId="53FC8895" w14:textId="77777777" w:rsidTr="00123D76">
        <w:trPr>
          <w:trHeight w:val="311"/>
        </w:trPr>
        <w:tc>
          <w:tcPr>
            <w:tcW w:w="2562" w:type="dxa"/>
            <w:vAlign w:val="center"/>
          </w:tcPr>
          <w:p w14:paraId="28447C7D" w14:textId="6D0F8050" w:rsidR="001F64DB" w:rsidRPr="00781112" w:rsidRDefault="001F64DB" w:rsidP="00123D76">
            <w:pPr>
              <w:jc w:val="center"/>
              <w:rPr>
                <w:b/>
                <w:color w:val="000000" w:themeColor="text1"/>
              </w:rPr>
            </w:pPr>
            <w:r w:rsidRPr="00781112">
              <w:rPr>
                <w:rFonts w:cs="Arial"/>
                <w:color w:val="000000" w:themeColor="text1"/>
                <w:szCs w:val="16"/>
              </w:rPr>
              <w:t>2009</w:t>
            </w:r>
          </w:p>
        </w:tc>
        <w:tc>
          <w:tcPr>
            <w:tcW w:w="2563" w:type="dxa"/>
            <w:vAlign w:val="center"/>
          </w:tcPr>
          <w:p w14:paraId="66688D2B" w14:textId="7F6A1027" w:rsidR="001F64DB" w:rsidRPr="00781112" w:rsidRDefault="001F64DB" w:rsidP="00123D76">
            <w:pPr>
              <w:jc w:val="center"/>
              <w:rPr>
                <w:b/>
                <w:color w:val="000000" w:themeColor="text1"/>
              </w:rPr>
            </w:pPr>
            <w:r w:rsidRPr="00781112">
              <w:rPr>
                <w:rFonts w:cs="Arial"/>
                <w:color w:val="000000" w:themeColor="text1"/>
                <w:szCs w:val="16"/>
              </w:rPr>
              <w:t>0.00%</w:t>
            </w:r>
          </w:p>
        </w:tc>
      </w:tr>
    </w:tbl>
    <w:p w14:paraId="0491A3BB" w14:textId="7F542BF4" w:rsidR="001F64DB" w:rsidRPr="00781112" w:rsidRDefault="001F64DB" w:rsidP="004369B2">
      <w:pPr>
        <w:rPr>
          <w:color w:val="000000" w:themeColor="text1"/>
        </w:rPr>
      </w:pPr>
    </w:p>
    <w:p w14:paraId="5B271C5C" w14:textId="77777777" w:rsidR="001F64DB" w:rsidRPr="00781112" w:rsidRDefault="001F64DB"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BHISTDATA"/>
      </w:tblPr>
      <w:tblGrid>
        <w:gridCol w:w="1798"/>
        <w:gridCol w:w="1798"/>
        <w:gridCol w:w="1798"/>
        <w:gridCol w:w="1798"/>
        <w:gridCol w:w="1798"/>
        <w:gridCol w:w="1800"/>
      </w:tblGrid>
      <w:tr w:rsidR="005C29F8" w:rsidRPr="00781112" w14:paraId="6E379028" w14:textId="77777777" w:rsidTr="00F90636">
        <w:trPr>
          <w:trHeight w:val="350"/>
        </w:trPr>
        <w:tc>
          <w:tcPr>
            <w:tcW w:w="833" w:type="pct"/>
            <w:tcBorders>
              <w:bottom w:val="single" w:sz="4" w:space="0" w:color="auto"/>
            </w:tcBorders>
            <w:shd w:val="clear" w:color="auto" w:fill="auto"/>
          </w:tcPr>
          <w:p w14:paraId="23D7B707" w14:textId="77777777" w:rsidR="00BB7BC9" w:rsidRPr="00781112" w:rsidRDefault="00BB7BC9" w:rsidP="004369B2">
            <w:pPr>
              <w:jc w:val="center"/>
              <w:rPr>
                <w:b/>
                <w:color w:val="000000" w:themeColor="text1"/>
              </w:rPr>
            </w:pPr>
            <w:r w:rsidRPr="00781112">
              <w:rPr>
                <w:b/>
                <w:color w:val="000000" w:themeColor="text1"/>
              </w:rPr>
              <w:t>FFY</w:t>
            </w:r>
          </w:p>
        </w:tc>
        <w:tc>
          <w:tcPr>
            <w:tcW w:w="833" w:type="pct"/>
            <w:shd w:val="clear" w:color="auto" w:fill="auto"/>
          </w:tcPr>
          <w:p w14:paraId="25954044" w14:textId="160ED41F" w:rsidR="00BB7BC9" w:rsidRPr="00781112" w:rsidRDefault="002B7490">
            <w:pPr>
              <w:jc w:val="center"/>
              <w:rPr>
                <w:b/>
                <w:color w:val="000000" w:themeColor="text1"/>
              </w:rPr>
            </w:pPr>
            <w:r w:rsidRPr="00781112">
              <w:rPr>
                <w:b/>
                <w:color w:val="000000" w:themeColor="text1"/>
              </w:rPr>
              <w:t>2015</w:t>
            </w:r>
          </w:p>
        </w:tc>
        <w:tc>
          <w:tcPr>
            <w:tcW w:w="833" w:type="pct"/>
            <w:shd w:val="clear" w:color="auto" w:fill="auto"/>
          </w:tcPr>
          <w:p w14:paraId="69CF376F" w14:textId="7375A3F7" w:rsidR="00BB7BC9" w:rsidRPr="00781112" w:rsidRDefault="002B7490">
            <w:pPr>
              <w:jc w:val="center"/>
              <w:rPr>
                <w:b/>
                <w:color w:val="000000" w:themeColor="text1"/>
              </w:rPr>
            </w:pPr>
            <w:r w:rsidRPr="00781112">
              <w:rPr>
                <w:b/>
                <w:color w:val="000000" w:themeColor="text1"/>
              </w:rPr>
              <w:t>2016</w:t>
            </w:r>
          </w:p>
        </w:tc>
        <w:tc>
          <w:tcPr>
            <w:tcW w:w="833" w:type="pct"/>
            <w:shd w:val="clear" w:color="auto" w:fill="auto"/>
          </w:tcPr>
          <w:p w14:paraId="4D8E8925" w14:textId="689058A4" w:rsidR="00BB7BC9"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703038E4" w14:textId="1BE5FB5A" w:rsidR="00BB7BC9" w:rsidRPr="00781112" w:rsidRDefault="002B7490">
            <w:pPr>
              <w:jc w:val="center"/>
              <w:rPr>
                <w:b/>
                <w:color w:val="000000" w:themeColor="text1"/>
              </w:rPr>
            </w:pPr>
            <w:r w:rsidRPr="00781112">
              <w:rPr>
                <w:b/>
                <w:color w:val="000000" w:themeColor="text1"/>
              </w:rPr>
              <w:t>2018</w:t>
            </w:r>
          </w:p>
        </w:tc>
        <w:tc>
          <w:tcPr>
            <w:tcW w:w="834" w:type="pct"/>
            <w:shd w:val="clear" w:color="auto" w:fill="auto"/>
          </w:tcPr>
          <w:p w14:paraId="0503649D" w14:textId="176B5064" w:rsidR="00BB7BC9" w:rsidRPr="00781112" w:rsidRDefault="002B7490">
            <w:pPr>
              <w:jc w:val="center"/>
              <w:rPr>
                <w:b/>
                <w:color w:val="000000" w:themeColor="text1"/>
              </w:rPr>
            </w:pPr>
            <w:r w:rsidRPr="00781112">
              <w:rPr>
                <w:b/>
                <w:color w:val="000000" w:themeColor="text1"/>
              </w:rPr>
              <w:t>2019</w:t>
            </w:r>
          </w:p>
        </w:tc>
      </w:tr>
      <w:tr w:rsidR="005C29F8" w:rsidRPr="00781112" w14:paraId="39522776" w14:textId="77777777" w:rsidTr="00F90636">
        <w:trPr>
          <w:trHeight w:val="357"/>
        </w:trPr>
        <w:tc>
          <w:tcPr>
            <w:tcW w:w="833" w:type="pct"/>
            <w:shd w:val="clear" w:color="auto" w:fill="auto"/>
            <w:vAlign w:val="center"/>
          </w:tcPr>
          <w:p w14:paraId="64A2466A" w14:textId="3DCD7D97" w:rsidR="00BB7BC9" w:rsidRPr="00781112" w:rsidRDefault="00BB7BC9" w:rsidP="001F692C">
            <w:pP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14:paraId="40744253" w14:textId="30F05132"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4721409F" w14:textId="0E67B113"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61B8DEC3" w14:textId="3B00EB70"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0C46D83A" w14:textId="2D54F0BE"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vAlign w:val="center"/>
          </w:tcPr>
          <w:p w14:paraId="14E1E671" w14:textId="1E800737" w:rsidR="00BB7BC9"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2F4BE991" w14:textId="77777777" w:rsidTr="00F90636">
        <w:trPr>
          <w:trHeight w:val="85"/>
        </w:trPr>
        <w:tc>
          <w:tcPr>
            <w:tcW w:w="833" w:type="pct"/>
            <w:shd w:val="clear" w:color="auto" w:fill="auto"/>
            <w:vAlign w:val="center"/>
          </w:tcPr>
          <w:p w14:paraId="1FC0AC5E" w14:textId="77777777" w:rsidR="00BB7BC9" w:rsidRPr="00781112" w:rsidRDefault="00BB7BC9" w:rsidP="001F692C">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3DA1451A" w14:textId="7F17AC6B"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6EE4BDB3" w14:textId="2442769C"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84E7243" w14:textId="6DD2B85E"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4826674" w14:textId="13F0F281"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9A1627C" w14:textId="5AC2DD55"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746FB06B" w14:textId="77777777" w:rsidR="00C15355" w:rsidRPr="00781112" w:rsidRDefault="00C15355" w:rsidP="004369B2">
      <w:pPr>
        <w:rPr>
          <w:color w:val="000000" w:themeColor="text1"/>
        </w:rPr>
      </w:pPr>
    </w:p>
    <w:p w14:paraId="31722FA9" w14:textId="62FF3A62" w:rsidR="0016730D" w:rsidRPr="00781112" w:rsidRDefault="0016730D" w:rsidP="004369B2">
      <w:pPr>
        <w:rPr>
          <w:color w:val="000000" w:themeColor="text1"/>
        </w:rPr>
      </w:pPr>
      <w:r w:rsidRPr="00781112">
        <w:rPr>
          <w:b/>
          <w:color w:val="000000" w:themeColor="text1"/>
        </w:rPr>
        <w:t>Targets</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TARGETS"/>
      </w:tblPr>
      <w:tblGrid>
        <w:gridCol w:w="679"/>
        <w:gridCol w:w="1524"/>
        <w:gridCol w:w="1654"/>
        <w:gridCol w:w="1655"/>
        <w:gridCol w:w="1655"/>
        <w:gridCol w:w="1655"/>
        <w:gridCol w:w="1651"/>
      </w:tblGrid>
      <w:tr w:rsidR="00D62058" w:rsidRPr="00781112" w14:paraId="1019C6DC" w14:textId="17898954" w:rsidTr="00F90636">
        <w:trPr>
          <w:trHeight w:val="325"/>
        </w:trPr>
        <w:tc>
          <w:tcPr>
            <w:tcW w:w="198" w:type="pct"/>
            <w:tcBorders>
              <w:bottom w:val="single" w:sz="4" w:space="0" w:color="auto"/>
            </w:tcBorders>
            <w:shd w:val="clear" w:color="auto" w:fill="auto"/>
          </w:tcPr>
          <w:p w14:paraId="049B323A" w14:textId="77777777" w:rsidR="00D62058" w:rsidRPr="00781112" w:rsidRDefault="00D62058" w:rsidP="00D62058">
            <w:pPr>
              <w:jc w:val="center"/>
              <w:rPr>
                <w:b/>
                <w:color w:val="000000" w:themeColor="text1"/>
              </w:rPr>
            </w:pPr>
            <w:r w:rsidRPr="00781112">
              <w:rPr>
                <w:b/>
                <w:color w:val="000000" w:themeColor="text1"/>
              </w:rPr>
              <w:t>FFY</w:t>
            </w:r>
          </w:p>
        </w:tc>
        <w:tc>
          <w:tcPr>
            <w:tcW w:w="749" w:type="pct"/>
            <w:shd w:val="clear" w:color="auto" w:fill="auto"/>
          </w:tcPr>
          <w:p w14:paraId="50E287A7" w14:textId="77777777" w:rsidR="00D62058" w:rsidRPr="00781112" w:rsidRDefault="00D62058" w:rsidP="00D62058">
            <w:pPr>
              <w:jc w:val="center"/>
              <w:rPr>
                <w:b/>
                <w:color w:val="000000" w:themeColor="text1"/>
              </w:rPr>
            </w:pPr>
            <w:r w:rsidRPr="00781112">
              <w:rPr>
                <w:b/>
                <w:color w:val="000000" w:themeColor="text1"/>
              </w:rPr>
              <w:t>2020</w:t>
            </w:r>
          </w:p>
        </w:tc>
        <w:tc>
          <w:tcPr>
            <w:tcW w:w="811" w:type="pct"/>
          </w:tcPr>
          <w:p w14:paraId="126623D3" w14:textId="402F1C62" w:rsidR="00D62058" w:rsidRPr="00781112" w:rsidRDefault="00D62058" w:rsidP="00D62058">
            <w:pPr>
              <w:jc w:val="center"/>
              <w:rPr>
                <w:b/>
                <w:color w:val="000000" w:themeColor="text1"/>
              </w:rPr>
            </w:pPr>
            <w:r w:rsidRPr="00781112">
              <w:rPr>
                <w:rFonts w:cs="Arial"/>
                <w:b/>
                <w:color w:val="000000" w:themeColor="text1"/>
                <w:szCs w:val="16"/>
              </w:rPr>
              <w:t>2021</w:t>
            </w:r>
          </w:p>
        </w:tc>
        <w:tc>
          <w:tcPr>
            <w:tcW w:w="811" w:type="pct"/>
          </w:tcPr>
          <w:p w14:paraId="737913FD" w14:textId="6A609FDC" w:rsidR="00D62058" w:rsidRPr="00781112" w:rsidRDefault="00D62058" w:rsidP="00D62058">
            <w:pPr>
              <w:jc w:val="center"/>
              <w:rPr>
                <w:b/>
                <w:color w:val="000000" w:themeColor="text1"/>
              </w:rPr>
            </w:pPr>
            <w:r w:rsidRPr="00781112">
              <w:rPr>
                <w:rFonts w:cs="Arial"/>
                <w:b/>
                <w:color w:val="000000" w:themeColor="text1"/>
                <w:szCs w:val="16"/>
              </w:rPr>
              <w:t>2022</w:t>
            </w:r>
          </w:p>
        </w:tc>
        <w:tc>
          <w:tcPr>
            <w:tcW w:w="811" w:type="pct"/>
          </w:tcPr>
          <w:p w14:paraId="0700D5E9" w14:textId="17E1A6F9" w:rsidR="00D62058" w:rsidRPr="00781112" w:rsidRDefault="00D62058" w:rsidP="00D62058">
            <w:pPr>
              <w:jc w:val="center"/>
              <w:rPr>
                <w:b/>
                <w:color w:val="000000" w:themeColor="text1"/>
              </w:rPr>
            </w:pPr>
            <w:r w:rsidRPr="00781112">
              <w:rPr>
                <w:rFonts w:cs="Arial"/>
                <w:b/>
                <w:color w:val="000000" w:themeColor="text1"/>
                <w:szCs w:val="16"/>
              </w:rPr>
              <w:t>2023</w:t>
            </w:r>
          </w:p>
        </w:tc>
        <w:tc>
          <w:tcPr>
            <w:tcW w:w="811" w:type="pct"/>
          </w:tcPr>
          <w:p w14:paraId="461B0F01" w14:textId="46CF4F16" w:rsidR="00D62058" w:rsidRPr="00781112" w:rsidRDefault="00D62058" w:rsidP="00D62058">
            <w:pPr>
              <w:jc w:val="center"/>
              <w:rPr>
                <w:b/>
                <w:color w:val="000000" w:themeColor="text1"/>
              </w:rPr>
            </w:pPr>
            <w:r w:rsidRPr="00781112">
              <w:rPr>
                <w:rFonts w:cs="Arial"/>
                <w:b/>
                <w:color w:val="000000" w:themeColor="text1"/>
                <w:szCs w:val="16"/>
              </w:rPr>
              <w:t>2024</w:t>
            </w:r>
          </w:p>
        </w:tc>
        <w:tc>
          <w:tcPr>
            <w:tcW w:w="811" w:type="pct"/>
          </w:tcPr>
          <w:p w14:paraId="171B7E85" w14:textId="1A19D46A" w:rsidR="00D62058" w:rsidRPr="00781112" w:rsidRDefault="00D62058" w:rsidP="00D62058">
            <w:pPr>
              <w:jc w:val="center"/>
              <w:rPr>
                <w:b/>
                <w:color w:val="000000" w:themeColor="text1"/>
              </w:rPr>
            </w:pPr>
            <w:r w:rsidRPr="00781112">
              <w:rPr>
                <w:rFonts w:cs="Arial"/>
                <w:b/>
                <w:color w:val="000000" w:themeColor="text1"/>
                <w:szCs w:val="16"/>
              </w:rPr>
              <w:t>2025</w:t>
            </w:r>
          </w:p>
        </w:tc>
      </w:tr>
      <w:tr w:rsidR="00D62058" w:rsidRPr="00781112" w14:paraId="090BA5B6" w14:textId="14D1700A" w:rsidTr="00F90636">
        <w:trPr>
          <w:trHeight w:val="332"/>
        </w:trPr>
        <w:tc>
          <w:tcPr>
            <w:tcW w:w="198" w:type="pct"/>
            <w:shd w:val="clear" w:color="auto" w:fill="auto"/>
            <w:vAlign w:val="center"/>
          </w:tcPr>
          <w:p w14:paraId="47EE91AE" w14:textId="1203380B" w:rsidR="00D62058" w:rsidRPr="00781112" w:rsidRDefault="00D62058" w:rsidP="00D62058">
            <w:pPr>
              <w:rPr>
                <w:rFonts w:cs="Arial"/>
                <w:color w:val="000000" w:themeColor="text1"/>
                <w:szCs w:val="16"/>
              </w:rPr>
            </w:pPr>
            <w:r w:rsidRPr="00781112">
              <w:rPr>
                <w:rFonts w:cs="Arial"/>
                <w:color w:val="000000" w:themeColor="text1"/>
                <w:szCs w:val="16"/>
              </w:rPr>
              <w:t xml:space="preserve">Target </w:t>
            </w:r>
          </w:p>
        </w:tc>
        <w:tc>
          <w:tcPr>
            <w:tcW w:w="749" w:type="pct"/>
            <w:shd w:val="clear" w:color="auto" w:fill="auto"/>
            <w:vAlign w:val="center"/>
          </w:tcPr>
          <w:p w14:paraId="26579D0D" w14:textId="55868DD1" w:rsidR="00D62058" w:rsidRPr="00781112" w:rsidRDefault="00D62058" w:rsidP="00D62058">
            <w:pPr>
              <w:jc w:val="center"/>
              <w:rPr>
                <w:rFonts w:cs="Arial"/>
                <w:color w:val="000000" w:themeColor="text1"/>
                <w:szCs w:val="16"/>
              </w:rPr>
            </w:pPr>
            <w:r w:rsidRPr="00781112">
              <w:rPr>
                <w:rFonts w:cs="Arial"/>
                <w:color w:val="000000" w:themeColor="text1"/>
                <w:szCs w:val="16"/>
              </w:rPr>
              <w:t>0%</w:t>
            </w:r>
          </w:p>
        </w:tc>
        <w:tc>
          <w:tcPr>
            <w:tcW w:w="811" w:type="pct"/>
          </w:tcPr>
          <w:p w14:paraId="41C3DA31" w14:textId="175676CA" w:rsidR="00D62058" w:rsidRPr="00781112" w:rsidRDefault="00D62058" w:rsidP="00D62058">
            <w:pPr>
              <w:jc w:val="center"/>
              <w:rPr>
                <w:rFonts w:cs="Arial"/>
                <w:color w:val="000000" w:themeColor="text1"/>
                <w:szCs w:val="16"/>
              </w:rPr>
            </w:pPr>
            <w:r w:rsidRPr="00781112">
              <w:rPr>
                <w:color w:val="000000" w:themeColor="text1"/>
                <w:szCs w:val="16"/>
              </w:rPr>
              <w:t>0%</w:t>
            </w:r>
          </w:p>
        </w:tc>
        <w:tc>
          <w:tcPr>
            <w:tcW w:w="811" w:type="pct"/>
          </w:tcPr>
          <w:p w14:paraId="11966A3D" w14:textId="65AB7EFF" w:rsidR="00D62058" w:rsidRPr="00781112" w:rsidRDefault="00D62058" w:rsidP="00D62058">
            <w:pPr>
              <w:jc w:val="center"/>
              <w:rPr>
                <w:rFonts w:cs="Arial"/>
                <w:color w:val="000000" w:themeColor="text1"/>
                <w:szCs w:val="16"/>
              </w:rPr>
            </w:pPr>
            <w:r w:rsidRPr="00781112">
              <w:rPr>
                <w:color w:val="000000" w:themeColor="text1"/>
                <w:szCs w:val="16"/>
              </w:rPr>
              <w:t>0%</w:t>
            </w:r>
          </w:p>
        </w:tc>
        <w:tc>
          <w:tcPr>
            <w:tcW w:w="811" w:type="pct"/>
          </w:tcPr>
          <w:p w14:paraId="527650DE" w14:textId="33C5B6E9" w:rsidR="00D62058" w:rsidRPr="00781112" w:rsidRDefault="00D62058" w:rsidP="00D62058">
            <w:pPr>
              <w:jc w:val="center"/>
              <w:rPr>
                <w:rFonts w:cs="Arial"/>
                <w:color w:val="000000" w:themeColor="text1"/>
                <w:szCs w:val="16"/>
              </w:rPr>
            </w:pPr>
            <w:r w:rsidRPr="00781112">
              <w:rPr>
                <w:color w:val="000000" w:themeColor="text1"/>
                <w:szCs w:val="16"/>
              </w:rPr>
              <w:t>0%</w:t>
            </w:r>
          </w:p>
        </w:tc>
        <w:tc>
          <w:tcPr>
            <w:tcW w:w="811" w:type="pct"/>
          </w:tcPr>
          <w:p w14:paraId="20094305" w14:textId="5B15EE13" w:rsidR="00D62058" w:rsidRPr="00781112" w:rsidRDefault="00D62058" w:rsidP="00D62058">
            <w:pPr>
              <w:jc w:val="center"/>
              <w:rPr>
                <w:rFonts w:cs="Arial"/>
                <w:color w:val="000000" w:themeColor="text1"/>
                <w:szCs w:val="16"/>
              </w:rPr>
            </w:pPr>
            <w:r w:rsidRPr="00781112">
              <w:rPr>
                <w:color w:val="000000" w:themeColor="text1"/>
                <w:szCs w:val="16"/>
              </w:rPr>
              <w:t>0%</w:t>
            </w:r>
          </w:p>
        </w:tc>
        <w:tc>
          <w:tcPr>
            <w:tcW w:w="811" w:type="pct"/>
          </w:tcPr>
          <w:p w14:paraId="1E5CDFA6" w14:textId="4D1CE5C4" w:rsidR="00D62058" w:rsidRPr="00781112" w:rsidRDefault="00D62058" w:rsidP="00D62058">
            <w:pPr>
              <w:jc w:val="center"/>
              <w:rPr>
                <w:rFonts w:cs="Arial"/>
                <w:color w:val="000000" w:themeColor="text1"/>
                <w:szCs w:val="16"/>
              </w:rPr>
            </w:pPr>
            <w:r w:rsidRPr="00781112">
              <w:rPr>
                <w:color w:val="000000" w:themeColor="text1"/>
                <w:szCs w:val="16"/>
              </w:rPr>
              <w:t>0%</w:t>
            </w:r>
          </w:p>
        </w:tc>
      </w:tr>
    </w:tbl>
    <w:p w14:paraId="728AD721" w14:textId="77777777" w:rsidR="00C15355" w:rsidRPr="00781112" w:rsidRDefault="00C15355" w:rsidP="004369B2">
      <w:pPr>
        <w:rPr>
          <w:color w:val="000000" w:themeColor="text1"/>
        </w:rPr>
      </w:pPr>
    </w:p>
    <w:p w14:paraId="6C217ADA" w14:textId="6FB60C61" w:rsidR="00D03701" w:rsidRPr="00781112" w:rsidRDefault="00F6415A">
      <w:pPr>
        <w:rPr>
          <w:b/>
          <w:color w:val="000000" w:themeColor="text1"/>
        </w:rPr>
      </w:pPr>
      <w:r w:rsidRPr="00781112">
        <w:rPr>
          <w:b/>
          <w:color w:val="000000" w:themeColor="text1"/>
        </w:rPr>
        <w:t>FFY 2020 SPP/APR Data</w:t>
      </w:r>
      <w:bookmarkEnd w:id="29"/>
      <w:bookmarkEnd w:id="30"/>
    </w:p>
    <w:p w14:paraId="51C79687" w14:textId="260CFDAD" w:rsidR="00F9524E" w:rsidRPr="00781112" w:rsidRDefault="00F9524E">
      <w:pPr>
        <w:rPr>
          <w:rFonts w:cs="Arial"/>
          <w:b/>
          <w:color w:val="000000" w:themeColor="text1"/>
          <w:szCs w:val="16"/>
        </w:rPr>
      </w:pPr>
      <w:r w:rsidRPr="00781112">
        <w:rPr>
          <w:rFonts w:cs="Arial"/>
          <w:b/>
          <w:color w:val="000000" w:themeColor="text1"/>
          <w:szCs w:val="16"/>
        </w:rPr>
        <w:t>Has the state established a minimum n/cell-size requirement? (yes/no)</w:t>
      </w:r>
    </w:p>
    <w:p w14:paraId="6FC8EF80" w14:textId="63ECC90F" w:rsidR="00F9524E" w:rsidRPr="00781112" w:rsidRDefault="00F9524E">
      <w:pPr>
        <w:rPr>
          <w:rFonts w:cs="Arial"/>
          <w:color w:val="000000" w:themeColor="text1"/>
          <w:szCs w:val="16"/>
        </w:rPr>
      </w:pPr>
      <w:r w:rsidRPr="00781112">
        <w:rPr>
          <w:rFonts w:cs="Arial"/>
          <w:color w:val="000000" w:themeColor="text1"/>
          <w:szCs w:val="16"/>
        </w:rPr>
        <w:t>YES</w:t>
      </w:r>
    </w:p>
    <w:p w14:paraId="69A72720" w14:textId="20C4A4A0" w:rsidR="00F9524E" w:rsidRPr="00781112" w:rsidRDefault="00F9524E">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14:paraId="4A920DA7" w14:textId="169D365F" w:rsidR="00F9524E" w:rsidRPr="00781112" w:rsidRDefault="00F9524E" w:rsidP="004369B2">
      <w:pPr>
        <w:rPr>
          <w:rFonts w:cs="Arial"/>
          <w:color w:val="000000" w:themeColor="text1"/>
          <w:szCs w:val="16"/>
        </w:rPr>
      </w:pPr>
      <w:r w:rsidRPr="00781112">
        <w:rPr>
          <w:rFonts w:cs="Arial"/>
          <w:color w:val="000000" w:themeColor="text1"/>
          <w:szCs w:val="16"/>
        </w:rPr>
        <w:t>20</w:t>
      </w:r>
    </w:p>
    <w:p w14:paraId="4C0AC734" w14:textId="77777777" w:rsidR="0016730D" w:rsidRPr="00781112" w:rsidRDefault="0016730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CFFYAPRDATA"/>
      </w:tblPr>
      <w:tblGrid>
        <w:gridCol w:w="1328"/>
        <w:gridCol w:w="1272"/>
        <w:gridCol w:w="1757"/>
        <w:gridCol w:w="1152"/>
        <w:gridCol w:w="1675"/>
        <w:gridCol w:w="1047"/>
        <w:gridCol w:w="1299"/>
        <w:gridCol w:w="1260"/>
      </w:tblGrid>
      <w:tr w:rsidR="005C29F8" w:rsidRPr="00781112" w14:paraId="38B0A91A" w14:textId="77777777" w:rsidTr="00EC0EDB">
        <w:trPr>
          <w:trHeight w:val="994"/>
          <w:jc w:val="center"/>
        </w:trPr>
        <w:tc>
          <w:tcPr>
            <w:tcW w:w="615" w:type="pct"/>
            <w:shd w:val="clear" w:color="auto" w:fill="auto"/>
            <w:vAlign w:val="bottom"/>
          </w:tcPr>
          <w:p w14:paraId="7B29D1BD" w14:textId="32EC5502" w:rsidR="00DE45AB" w:rsidRPr="00781112" w:rsidRDefault="00DE45AB" w:rsidP="00631963">
            <w:pPr>
              <w:jc w:val="center"/>
              <w:rPr>
                <w:rFonts w:cs="Arial"/>
                <w:b/>
                <w:color w:val="000000" w:themeColor="text1"/>
                <w:szCs w:val="16"/>
              </w:rPr>
            </w:pPr>
            <w:r w:rsidRPr="00781112">
              <w:rPr>
                <w:rFonts w:cs="Arial"/>
                <w:b/>
                <w:color w:val="000000" w:themeColor="text1"/>
                <w:szCs w:val="16"/>
              </w:rPr>
              <w:t>Number of LEAs that have a significant discrepancy, by race or ethnicity</w:t>
            </w:r>
          </w:p>
        </w:tc>
        <w:tc>
          <w:tcPr>
            <w:tcW w:w="589" w:type="pct"/>
            <w:shd w:val="clear" w:color="auto" w:fill="auto"/>
            <w:vAlign w:val="bottom"/>
          </w:tcPr>
          <w:p w14:paraId="5F8F5A3F" w14:textId="0F9AAB60" w:rsidR="00DE45AB" w:rsidRPr="00781112" w:rsidRDefault="00DE45AB" w:rsidP="00631963">
            <w:pPr>
              <w:jc w:val="center"/>
              <w:rPr>
                <w:rFonts w:cs="Arial"/>
                <w:b/>
                <w:color w:val="000000" w:themeColor="text1"/>
                <w:szCs w:val="16"/>
              </w:rPr>
            </w:pPr>
            <w:r w:rsidRPr="00781112">
              <w:rPr>
                <w:rFonts w:cs="Arial"/>
                <w:b/>
                <w:color w:val="000000" w:themeColor="text1"/>
                <w:szCs w:val="16"/>
              </w:rPr>
              <w:t>Number of those LEAs that have policies, procedure or practices that contribute to the significant discrepancy and do not comply with requirements</w:t>
            </w:r>
          </w:p>
        </w:tc>
        <w:tc>
          <w:tcPr>
            <w:tcW w:w="814" w:type="pct"/>
            <w:shd w:val="clear" w:color="auto" w:fill="auto"/>
            <w:vAlign w:val="bottom"/>
          </w:tcPr>
          <w:p w14:paraId="198605CB" w14:textId="35586744" w:rsidR="00DE45AB" w:rsidRPr="00781112" w:rsidRDefault="004B2A77" w:rsidP="00631963">
            <w:pPr>
              <w:jc w:val="center"/>
              <w:rPr>
                <w:rFonts w:cs="Arial"/>
                <w:b/>
                <w:color w:val="000000" w:themeColor="text1"/>
                <w:szCs w:val="16"/>
              </w:rPr>
            </w:pPr>
            <w:r w:rsidRPr="00781112">
              <w:rPr>
                <w:rFonts w:cs="Arial"/>
                <w:b/>
                <w:color w:val="000000" w:themeColor="text1"/>
                <w:szCs w:val="16"/>
              </w:rPr>
              <w:t>Number of LEAs that met the State's minimum n/cell size</w:t>
            </w:r>
          </w:p>
        </w:tc>
        <w:tc>
          <w:tcPr>
            <w:tcW w:w="534" w:type="pct"/>
            <w:shd w:val="clear" w:color="auto" w:fill="auto"/>
            <w:vAlign w:val="bottom"/>
          </w:tcPr>
          <w:p w14:paraId="45990D98" w14:textId="3605E0A5" w:rsidR="00DE45AB" w:rsidRPr="00781112" w:rsidRDefault="00F6415A" w:rsidP="00631963">
            <w:pPr>
              <w:jc w:val="center"/>
              <w:rPr>
                <w:rFonts w:cs="Arial"/>
                <w:b/>
                <w:color w:val="000000" w:themeColor="text1"/>
                <w:szCs w:val="16"/>
              </w:rPr>
            </w:pPr>
            <w:r w:rsidRPr="00781112">
              <w:rPr>
                <w:rFonts w:cs="Arial"/>
                <w:b/>
                <w:color w:val="000000" w:themeColor="text1"/>
                <w:szCs w:val="16"/>
              </w:rPr>
              <w:t>FFY 2019 Data</w:t>
            </w:r>
          </w:p>
        </w:tc>
        <w:tc>
          <w:tcPr>
            <w:tcW w:w="776" w:type="pct"/>
            <w:shd w:val="clear" w:color="auto" w:fill="auto"/>
            <w:vAlign w:val="bottom"/>
          </w:tcPr>
          <w:p w14:paraId="1BAB59B0" w14:textId="1A87FA14" w:rsidR="00DE45AB" w:rsidRPr="00781112" w:rsidRDefault="00F6415A" w:rsidP="00631963">
            <w:pPr>
              <w:jc w:val="center"/>
              <w:rPr>
                <w:rFonts w:cs="Arial"/>
                <w:b/>
                <w:color w:val="000000" w:themeColor="text1"/>
                <w:szCs w:val="16"/>
              </w:rPr>
            </w:pPr>
            <w:r w:rsidRPr="00781112">
              <w:rPr>
                <w:rFonts w:cs="Arial"/>
                <w:b/>
                <w:color w:val="000000" w:themeColor="text1"/>
                <w:szCs w:val="16"/>
              </w:rPr>
              <w:t>FFY 2020 Target</w:t>
            </w:r>
          </w:p>
        </w:tc>
        <w:tc>
          <w:tcPr>
            <w:tcW w:w="485" w:type="pct"/>
            <w:shd w:val="clear" w:color="auto" w:fill="auto"/>
            <w:vAlign w:val="bottom"/>
          </w:tcPr>
          <w:p w14:paraId="179C63C5" w14:textId="6D918676" w:rsidR="00DE45AB" w:rsidRPr="00781112" w:rsidRDefault="00F6415A" w:rsidP="00631963">
            <w:pPr>
              <w:jc w:val="center"/>
              <w:rPr>
                <w:rFonts w:cs="Arial"/>
                <w:b/>
                <w:color w:val="000000" w:themeColor="text1"/>
                <w:szCs w:val="16"/>
              </w:rPr>
            </w:pPr>
            <w:r w:rsidRPr="00781112">
              <w:rPr>
                <w:rFonts w:cs="Arial"/>
                <w:b/>
                <w:color w:val="000000" w:themeColor="text1"/>
                <w:szCs w:val="16"/>
              </w:rPr>
              <w:t>FFY 2020 Data</w:t>
            </w:r>
          </w:p>
        </w:tc>
        <w:tc>
          <w:tcPr>
            <w:tcW w:w="602" w:type="pct"/>
            <w:shd w:val="clear" w:color="auto" w:fill="auto"/>
            <w:vAlign w:val="bottom"/>
          </w:tcPr>
          <w:p w14:paraId="65AC4432" w14:textId="77777777" w:rsidR="00DE45AB" w:rsidRPr="00781112" w:rsidRDefault="00DE45AB" w:rsidP="00631963">
            <w:pPr>
              <w:jc w:val="center"/>
              <w:rPr>
                <w:rFonts w:cs="Arial"/>
                <w:b/>
                <w:color w:val="000000" w:themeColor="text1"/>
                <w:szCs w:val="16"/>
              </w:rPr>
            </w:pPr>
            <w:r w:rsidRPr="00781112">
              <w:rPr>
                <w:rFonts w:cs="Arial"/>
                <w:b/>
                <w:color w:val="000000" w:themeColor="text1"/>
                <w:szCs w:val="16"/>
              </w:rPr>
              <w:t>Status</w:t>
            </w:r>
          </w:p>
        </w:tc>
        <w:tc>
          <w:tcPr>
            <w:tcW w:w="584" w:type="pct"/>
            <w:shd w:val="clear" w:color="auto" w:fill="auto"/>
            <w:vAlign w:val="bottom"/>
          </w:tcPr>
          <w:p w14:paraId="1CC124E2" w14:textId="77777777" w:rsidR="00DE45AB" w:rsidRPr="00781112" w:rsidRDefault="00DE45AB" w:rsidP="00631963">
            <w:pPr>
              <w:jc w:val="center"/>
              <w:rPr>
                <w:rFonts w:cs="Arial"/>
                <w:b/>
                <w:color w:val="000000" w:themeColor="text1"/>
                <w:szCs w:val="16"/>
              </w:rPr>
            </w:pPr>
            <w:r w:rsidRPr="00781112">
              <w:rPr>
                <w:rFonts w:cs="Arial"/>
                <w:b/>
                <w:color w:val="000000" w:themeColor="text1"/>
                <w:szCs w:val="16"/>
              </w:rPr>
              <w:t>Slippage</w:t>
            </w:r>
          </w:p>
        </w:tc>
      </w:tr>
      <w:tr w:rsidR="005C29F8" w:rsidRPr="00781112" w14:paraId="204CDE51" w14:textId="77777777" w:rsidTr="00EC0EDB">
        <w:trPr>
          <w:trHeight w:val="233"/>
          <w:jc w:val="center"/>
        </w:trPr>
        <w:tc>
          <w:tcPr>
            <w:tcW w:w="615" w:type="pct"/>
            <w:shd w:val="clear" w:color="auto" w:fill="auto"/>
          </w:tcPr>
          <w:p w14:paraId="1BBB876A" w14:textId="743343A5" w:rsidR="00DE45AB" w:rsidRPr="00781112" w:rsidRDefault="002B7490" w:rsidP="00A018D4">
            <w:pPr>
              <w:jc w:val="center"/>
              <w:rPr>
                <w:rFonts w:cs="Arial"/>
                <w:color w:val="000000" w:themeColor="text1"/>
                <w:szCs w:val="16"/>
              </w:rPr>
            </w:pPr>
            <w:r w:rsidRPr="00781112">
              <w:rPr>
                <w:rFonts w:cs="Arial"/>
                <w:color w:val="000000" w:themeColor="text1"/>
                <w:szCs w:val="16"/>
              </w:rPr>
              <w:t>7</w:t>
            </w:r>
          </w:p>
        </w:tc>
        <w:tc>
          <w:tcPr>
            <w:tcW w:w="589" w:type="pct"/>
            <w:shd w:val="clear" w:color="auto" w:fill="auto"/>
            <w:vAlign w:val="center"/>
          </w:tcPr>
          <w:p w14:paraId="6C540A5B" w14:textId="472541D0" w:rsidR="00DE45AB"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814" w:type="pct"/>
            <w:shd w:val="clear" w:color="auto" w:fill="auto"/>
          </w:tcPr>
          <w:p w14:paraId="6F1E42F0" w14:textId="4B631704" w:rsidR="00DE45AB" w:rsidRPr="00781112" w:rsidRDefault="002B7490" w:rsidP="00A018D4">
            <w:pPr>
              <w:jc w:val="center"/>
              <w:rPr>
                <w:rFonts w:cs="Arial"/>
                <w:color w:val="000000" w:themeColor="text1"/>
                <w:szCs w:val="16"/>
              </w:rPr>
            </w:pPr>
            <w:r w:rsidRPr="00781112">
              <w:rPr>
                <w:rFonts w:cs="Arial"/>
                <w:color w:val="000000" w:themeColor="text1"/>
                <w:szCs w:val="16"/>
              </w:rPr>
              <w:t>171</w:t>
            </w:r>
          </w:p>
        </w:tc>
        <w:tc>
          <w:tcPr>
            <w:tcW w:w="534" w:type="pct"/>
            <w:shd w:val="clear" w:color="auto" w:fill="auto"/>
          </w:tcPr>
          <w:p w14:paraId="76FAD105" w14:textId="6054175F"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776" w:type="pct"/>
            <w:shd w:val="clear" w:color="auto" w:fill="auto"/>
          </w:tcPr>
          <w:p w14:paraId="0F3192F2" w14:textId="289113AF" w:rsidR="00DE45AB" w:rsidRPr="00781112" w:rsidRDefault="00BA56C8">
            <w:pPr>
              <w:jc w:val="center"/>
              <w:rPr>
                <w:rFonts w:cs="Arial"/>
                <w:color w:val="000000" w:themeColor="text1"/>
                <w:szCs w:val="16"/>
              </w:rPr>
            </w:pPr>
            <w:r w:rsidRPr="00781112">
              <w:rPr>
                <w:rFonts w:cs="Arial"/>
                <w:color w:val="000000" w:themeColor="text1"/>
                <w:szCs w:val="16"/>
              </w:rPr>
              <w:t>0%</w:t>
            </w:r>
          </w:p>
        </w:tc>
        <w:tc>
          <w:tcPr>
            <w:tcW w:w="485" w:type="pct"/>
            <w:shd w:val="clear" w:color="auto" w:fill="auto"/>
          </w:tcPr>
          <w:p w14:paraId="7BDF1791" w14:textId="2192A561"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602" w:type="pct"/>
            <w:shd w:val="clear" w:color="auto" w:fill="auto"/>
          </w:tcPr>
          <w:p w14:paraId="389804B8" w14:textId="23C75A7D" w:rsidR="00DE45AB"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84" w:type="pct"/>
            <w:shd w:val="clear" w:color="auto" w:fill="auto"/>
          </w:tcPr>
          <w:p w14:paraId="3AF9E82D" w14:textId="6AA616AB" w:rsidR="00DE45AB"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0DD3F41" w14:textId="31F46ACB" w:rsidR="00F9524E" w:rsidRPr="00781112" w:rsidRDefault="004B3E74" w:rsidP="000E33D0">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F24C674" w14:textId="1B9869B3" w:rsidR="00F9524E" w:rsidRPr="00781112" w:rsidRDefault="00F9524E" w:rsidP="000E33D0">
      <w:pPr>
        <w:rPr>
          <w:rFonts w:cs="Arial"/>
          <w:color w:val="000000" w:themeColor="text1"/>
          <w:szCs w:val="16"/>
        </w:rPr>
      </w:pPr>
      <w:r w:rsidRPr="00781112">
        <w:rPr>
          <w:rFonts w:cs="Arial"/>
          <w:color w:val="000000" w:themeColor="text1"/>
          <w:szCs w:val="16"/>
        </w:rPr>
        <w:t>YES</w:t>
      </w:r>
    </w:p>
    <w:p w14:paraId="6DB014CF" w14:textId="6C5A068F" w:rsidR="001F6A28" w:rsidRPr="00781112" w:rsidRDefault="001F6A28" w:rsidP="009A755E">
      <w:pPr>
        <w:rPr>
          <w:rFonts w:cs="Arial"/>
          <w:b/>
          <w:color w:val="000000" w:themeColor="text1"/>
          <w:szCs w:val="16"/>
        </w:rPr>
      </w:pPr>
      <w:bookmarkStart w:id="31" w:name="_Toc392159294"/>
      <w:r w:rsidRPr="00781112">
        <w:rPr>
          <w:rFonts w:cs="Arial"/>
          <w:b/>
          <w:color w:val="000000" w:themeColor="text1"/>
          <w:szCs w:val="16"/>
        </w:rPr>
        <w:t>State’s definition of “significant discrepancy” and methodology</w:t>
      </w:r>
    </w:p>
    <w:p w14:paraId="68DA7D27" w14:textId="3FCFF894" w:rsidR="002D57DA" w:rsidRPr="00781112" w:rsidRDefault="002B7490" w:rsidP="009C613A">
      <w:pPr>
        <w:rPr>
          <w:rFonts w:cs="Arial"/>
          <w:b/>
          <w:color w:val="000000" w:themeColor="text1"/>
          <w:szCs w:val="16"/>
        </w:rPr>
      </w:pPr>
      <w:r w:rsidRPr="00781112">
        <w:rPr>
          <w:rFonts w:cs="Arial"/>
          <w:color w:val="000000" w:themeColor="text1"/>
          <w:szCs w:val="16"/>
        </w:rPr>
        <w:t>Louisiana defines significant discrepancy as the percent of all students with disabilities who were suspended or expelled for greater than 10 days at a rate 1.5 times greater than the state average not to exceed 3%. To be considered for this indicator, an LEA must meet the State-established minimum N size of 25 and have at least 3 students in the racial/ethnic group being considered with disciplinary removals greater than 10 days. As in the calculation for Indicator 4A, the state average was 1.02%. Thus, any LEA with a percentage greater than 1.02% for any racial/ethnic group who met the above criteria was considered significantly discrepant.</w:t>
      </w:r>
    </w:p>
    <w:p w14:paraId="3EC3FBFA" w14:textId="77777777" w:rsidR="006C575D" w:rsidRPr="00781112" w:rsidRDefault="006C575D" w:rsidP="004369B2">
      <w:pPr>
        <w:rPr>
          <w:b/>
          <w:color w:val="000000" w:themeColor="text1"/>
        </w:rPr>
      </w:pPr>
      <w:r w:rsidRPr="00781112">
        <w:rPr>
          <w:b/>
          <w:color w:val="000000" w:themeColor="text1"/>
        </w:rPr>
        <w:t>Provide additional information about this indicator (optional)</w:t>
      </w:r>
    </w:p>
    <w:p w14:paraId="35896747" w14:textId="5B1C78C3" w:rsidR="002D57DA" w:rsidRPr="00781112" w:rsidRDefault="002B7490" w:rsidP="000E33D0">
      <w:pPr>
        <w:rPr>
          <w:rFonts w:cs="Arial"/>
          <w:color w:val="000000" w:themeColor="text1"/>
          <w:szCs w:val="16"/>
        </w:rPr>
      </w:pPr>
      <w:r w:rsidRPr="00781112">
        <w:rPr>
          <w:rFonts w:cs="Arial"/>
          <w:color w:val="000000" w:themeColor="text1"/>
          <w:szCs w:val="16"/>
        </w:rPr>
        <w:t>The FFY 2020 APR generally reflects data from school year 2020-2021. However, indicators 4A and 4B reflect data from school year 2019-2020.</w:t>
      </w:r>
    </w:p>
    <w:p w14:paraId="4B905245" w14:textId="77777777" w:rsidR="005E2440" w:rsidRPr="00781112" w:rsidRDefault="005E2440" w:rsidP="004369B2">
      <w:pPr>
        <w:rPr>
          <w:color w:val="000000" w:themeColor="text1"/>
        </w:rPr>
      </w:pPr>
    </w:p>
    <w:p w14:paraId="248087F7" w14:textId="463157D9" w:rsidR="001F6A28" w:rsidRPr="00781112" w:rsidRDefault="001F6A28" w:rsidP="004369B2">
      <w:pPr>
        <w:rPr>
          <w:color w:val="000000" w:themeColor="text1"/>
        </w:rPr>
      </w:pPr>
      <w:r w:rsidRPr="00781112">
        <w:rPr>
          <w:b/>
          <w:color w:val="000000" w:themeColor="text1"/>
        </w:rPr>
        <w:t>Review of Policies, Procedures, and Practices (completed in FFY 2020 using 2019-2020 data)</w:t>
      </w:r>
    </w:p>
    <w:p w14:paraId="71ECDBC1" w14:textId="77777777" w:rsidR="001F6A28" w:rsidRPr="00781112" w:rsidRDefault="001F6A28" w:rsidP="009A755E">
      <w:pPr>
        <w:rPr>
          <w:rFonts w:cs="Arial"/>
          <w:b/>
          <w:color w:val="000000" w:themeColor="text1"/>
          <w:szCs w:val="16"/>
        </w:rPr>
      </w:pPr>
      <w:r w:rsidRPr="00781112">
        <w:rPr>
          <w:rFonts w:cs="Arial"/>
          <w:b/>
          <w:color w:val="000000" w:themeColor="text1"/>
          <w:szCs w:val="16"/>
        </w:rPr>
        <w:t>Provide a description of the review of policies, procedures, and practices relating to the development and implementation of IEPs, the use of positive behavioral interventions and supports, and procedural safeguards.</w:t>
      </w:r>
    </w:p>
    <w:p w14:paraId="7C9E83E6" w14:textId="40DED240" w:rsidR="00616510" w:rsidRPr="00781112" w:rsidRDefault="002B7490" w:rsidP="009C613A">
      <w:pPr>
        <w:rPr>
          <w:rFonts w:cs="Arial"/>
          <w:color w:val="000000" w:themeColor="text1"/>
          <w:szCs w:val="16"/>
        </w:rPr>
      </w:pPr>
      <w:r w:rsidRPr="00781112">
        <w:rPr>
          <w:rFonts w:cs="Arial"/>
          <w:color w:val="000000" w:themeColor="text1"/>
          <w:szCs w:val="16"/>
        </w:rPr>
        <w:t xml:space="preserve">1. LEAs identified with significant discrepancies were required to establish a team of personnel involved in disciplinary actions for students with disabilities to complete a self-review of the LEA's discipline policies, procedures, and practices. LEAs reviewed areas including: </w:t>
      </w:r>
      <w:r w:rsidRPr="00781112">
        <w:rPr>
          <w:rFonts w:cs="Arial"/>
          <w:color w:val="000000" w:themeColor="text1"/>
          <w:szCs w:val="16"/>
        </w:rPr>
        <w:br/>
      </w:r>
      <w:r w:rsidRPr="00781112">
        <w:rPr>
          <w:rFonts w:cs="Arial"/>
          <w:color w:val="000000" w:themeColor="text1"/>
          <w:szCs w:val="16"/>
        </w:rPr>
        <w:br/>
        <w:t xml:space="preserve">a. the LEA's code of conduct; </w:t>
      </w:r>
      <w:r w:rsidRPr="00781112">
        <w:rPr>
          <w:rFonts w:cs="Arial"/>
          <w:color w:val="000000" w:themeColor="text1"/>
          <w:szCs w:val="16"/>
        </w:rPr>
        <w:br/>
        <w:t xml:space="preserve">b. the referral and evaluation process for students suspected of having a disability; </w:t>
      </w:r>
      <w:r w:rsidRPr="00781112">
        <w:rPr>
          <w:rFonts w:cs="Arial"/>
          <w:color w:val="000000" w:themeColor="text1"/>
          <w:szCs w:val="16"/>
        </w:rPr>
        <w:br/>
        <w:t xml:space="preserve">c. the development of IEPs for students whose behavior impedes the child's learning, including the use of PBIS or other strategies to address the child's behavior; </w:t>
      </w:r>
      <w:r w:rsidRPr="00781112">
        <w:rPr>
          <w:rFonts w:cs="Arial"/>
          <w:color w:val="000000" w:themeColor="text1"/>
          <w:szCs w:val="16"/>
        </w:rPr>
        <w:br/>
        <w:t xml:space="preserve">d. the LEA's general procedures for disciplinary removal for students with disabilities; </w:t>
      </w:r>
      <w:r w:rsidRPr="00781112">
        <w:rPr>
          <w:rFonts w:cs="Arial"/>
          <w:color w:val="000000" w:themeColor="text1"/>
          <w:szCs w:val="16"/>
        </w:rPr>
        <w:br/>
        <w:t xml:space="preserve">e. the procedures for conducting a manifestation determination; and </w:t>
      </w:r>
      <w:r w:rsidRPr="00781112">
        <w:rPr>
          <w:rFonts w:cs="Arial"/>
          <w:color w:val="000000" w:themeColor="text1"/>
          <w:szCs w:val="16"/>
        </w:rPr>
        <w:br/>
        <w:t xml:space="preserve">f. the procedures for conducting a functional behavioral assessment and the development of a behavioral intervention plan. </w:t>
      </w:r>
      <w:r w:rsidRPr="00781112">
        <w:rPr>
          <w:rFonts w:cs="Arial"/>
          <w:color w:val="000000" w:themeColor="text1"/>
          <w:szCs w:val="16"/>
        </w:rPr>
        <w:br/>
      </w:r>
      <w:r w:rsidRPr="00781112">
        <w:rPr>
          <w:rFonts w:cs="Arial"/>
          <w:color w:val="000000" w:themeColor="text1"/>
          <w:szCs w:val="16"/>
        </w:rPr>
        <w:br/>
        <w:t xml:space="preserve">2. LEAs that were discrepant were required to use a self-review instrument to review, and, if necessary, revise their policies, practices, and procedures with regard to the implementation of IEPs, the use of positive behavior interventions and procedural safeguards and submit a plan of action to the LDOE. </w:t>
      </w:r>
      <w:r w:rsidRPr="00781112">
        <w:rPr>
          <w:rFonts w:cs="Arial"/>
          <w:color w:val="000000" w:themeColor="text1"/>
          <w:szCs w:val="16"/>
        </w:rPr>
        <w:br/>
      </w:r>
      <w:r w:rsidRPr="00781112">
        <w:rPr>
          <w:rFonts w:cs="Arial"/>
          <w:color w:val="000000" w:themeColor="text1"/>
          <w:szCs w:val="16"/>
        </w:rPr>
        <w:br/>
        <w:t xml:space="preserve">3. LDOE reviewed the self-review rubric for compliance with IDEA discipline requirements. If any rubrics indicated non-compliance with IDEA </w:t>
      </w:r>
      <w:r w:rsidRPr="00781112">
        <w:rPr>
          <w:rFonts w:cs="Arial"/>
          <w:color w:val="000000" w:themeColor="text1"/>
          <w:szCs w:val="16"/>
        </w:rPr>
        <w:lastRenderedPageBreak/>
        <w:t xml:space="preserve">requirements, LDOE issued a finding of non-compliance. </w:t>
      </w:r>
      <w:r w:rsidRPr="00781112">
        <w:rPr>
          <w:rFonts w:cs="Arial"/>
          <w:color w:val="000000" w:themeColor="text1"/>
          <w:szCs w:val="16"/>
        </w:rPr>
        <w:br/>
      </w:r>
      <w:r w:rsidRPr="00781112">
        <w:rPr>
          <w:rFonts w:cs="Arial"/>
          <w:color w:val="000000" w:themeColor="text1"/>
          <w:szCs w:val="16"/>
        </w:rPr>
        <w:br/>
        <w:t xml:space="preserve">4. To demonstrate correction of the identified non-compliance, each LEA must: a. revise their noncompliant policies, procedures, and practices through training and revision of appropriate forms; and b. demonstrate that they are correctly implementing the specific regulatory requirements, through the review of state records from a subsequent reporting period. </w:t>
      </w:r>
      <w:r w:rsidRPr="00781112">
        <w:rPr>
          <w:rFonts w:cs="Arial"/>
          <w:color w:val="000000" w:themeColor="text1"/>
          <w:szCs w:val="16"/>
        </w:rPr>
        <w:br/>
      </w:r>
      <w:r w:rsidRPr="00781112">
        <w:rPr>
          <w:rFonts w:cs="Arial"/>
          <w:color w:val="000000" w:themeColor="text1"/>
          <w:szCs w:val="16"/>
        </w:rPr>
        <w:br/>
        <w:t>5. The State reports on the verification of correction of this non-compliance, consistent with OSEP Memo 09-02, in the FFY 2020 APR, due February 1, 2021. The State DID NOT identify non-compliance with Part B requirements as a result of the review required by 34 CFR §300.170(b).</w:t>
      </w:r>
    </w:p>
    <w:p w14:paraId="3F34C37B" w14:textId="77777777" w:rsidR="00616510" w:rsidRPr="00781112" w:rsidRDefault="00616510" w:rsidP="009C613A">
      <w:pPr>
        <w:rPr>
          <w:rFonts w:cs="Arial"/>
          <w:color w:val="000000" w:themeColor="text1"/>
          <w:szCs w:val="16"/>
        </w:rPr>
      </w:pPr>
    </w:p>
    <w:p w14:paraId="23CDB3C2" w14:textId="04EDADC3" w:rsidR="00616510" w:rsidRPr="00781112" w:rsidRDefault="00616510" w:rsidP="009C613A">
      <w:pPr>
        <w:rPr>
          <w:rFonts w:cs="Arial"/>
          <w:color w:val="000000" w:themeColor="text1"/>
          <w:szCs w:val="16"/>
        </w:rPr>
      </w:pPr>
      <w:r w:rsidRPr="00781112">
        <w:rPr>
          <w:rFonts w:cs="Arial"/>
          <w:color w:val="000000" w:themeColor="text1"/>
          <w:szCs w:val="16"/>
        </w:rPr>
        <w:t>The State DID NOT identify noncompliance with Part B requirements as a result of the review required by 34 CFR §300.170(b)</w:t>
      </w:r>
    </w:p>
    <w:p w14:paraId="3A779219" w14:textId="77777777" w:rsidR="00F9524E" w:rsidRPr="00781112" w:rsidRDefault="00F9524E">
      <w:pPr>
        <w:rPr>
          <w:b/>
          <w:color w:val="000000" w:themeColor="text1"/>
        </w:rPr>
      </w:pPr>
    </w:p>
    <w:p w14:paraId="54A274E0" w14:textId="6E03FA45"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04BPFFYNCFINDINGS"/>
      </w:tblPr>
      <w:tblGrid>
        <w:gridCol w:w="2613"/>
        <w:gridCol w:w="2743"/>
        <w:gridCol w:w="2620"/>
        <w:gridCol w:w="2814"/>
      </w:tblGrid>
      <w:tr w:rsidR="005C29F8" w:rsidRPr="00781112" w14:paraId="114A5055" w14:textId="77777777" w:rsidTr="00C570AA">
        <w:trPr>
          <w:trHeight w:val="389"/>
          <w:tblHeader/>
        </w:trPr>
        <w:tc>
          <w:tcPr>
            <w:tcW w:w="1211" w:type="pct"/>
            <w:shd w:val="clear" w:color="auto" w:fill="auto"/>
            <w:vAlign w:val="bottom"/>
          </w:tcPr>
          <w:p w14:paraId="776A9C2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4FF64C47"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36D9293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440F12A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6AB2FBF" w14:textId="77777777" w:rsidTr="00C570AA">
        <w:tc>
          <w:tcPr>
            <w:tcW w:w="1211" w:type="pct"/>
            <w:shd w:val="clear" w:color="auto" w:fill="auto"/>
          </w:tcPr>
          <w:p w14:paraId="6AF875F0" w14:textId="0FD8621B"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71" w:type="pct"/>
            <w:shd w:val="clear" w:color="auto" w:fill="auto"/>
          </w:tcPr>
          <w:p w14:paraId="58D166B5" w14:textId="6ADFFC1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14" w:type="pct"/>
            <w:shd w:val="clear" w:color="auto" w:fill="auto"/>
          </w:tcPr>
          <w:p w14:paraId="745E0498" w14:textId="77F90D3F"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304" w:type="pct"/>
            <w:shd w:val="clear" w:color="auto" w:fill="auto"/>
          </w:tcPr>
          <w:p w14:paraId="55E32910" w14:textId="7F6FD66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6CFB1826" w14:textId="481AE6DA"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04BPPFFYNCFINDINGS"/>
      </w:tblPr>
      <w:tblGrid>
        <w:gridCol w:w="1995"/>
        <w:gridCol w:w="2998"/>
        <w:gridCol w:w="2989"/>
        <w:gridCol w:w="2808"/>
      </w:tblGrid>
      <w:tr w:rsidR="005C29F8" w:rsidRPr="00781112" w14:paraId="00324CEE" w14:textId="77777777" w:rsidTr="00C570AA">
        <w:trPr>
          <w:tblHeader/>
        </w:trPr>
        <w:tc>
          <w:tcPr>
            <w:tcW w:w="924" w:type="pct"/>
            <w:shd w:val="clear" w:color="auto" w:fill="auto"/>
            <w:vAlign w:val="bottom"/>
          </w:tcPr>
          <w:p w14:paraId="77DA67D5" w14:textId="149F9136" w:rsidR="009A755E" w:rsidRPr="00781112" w:rsidRDefault="0016730D"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89" w:type="pct"/>
            <w:shd w:val="clear" w:color="auto" w:fill="auto"/>
            <w:vAlign w:val="bottom"/>
          </w:tcPr>
          <w:p w14:paraId="10CE444D" w14:textId="4B1720E5"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385" w:type="pct"/>
            <w:shd w:val="clear" w:color="auto" w:fill="auto"/>
            <w:vAlign w:val="bottom"/>
          </w:tcPr>
          <w:p w14:paraId="541F03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1" w:type="pct"/>
            <w:shd w:val="clear" w:color="auto" w:fill="auto"/>
            <w:vAlign w:val="bottom"/>
          </w:tcPr>
          <w:p w14:paraId="44D37B6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FE0165" w14:textId="77777777" w:rsidTr="00C570AA">
        <w:tc>
          <w:tcPr>
            <w:tcW w:w="924" w:type="pct"/>
            <w:shd w:val="clear" w:color="auto" w:fill="auto"/>
          </w:tcPr>
          <w:p w14:paraId="24BDFB83" w14:textId="477472C3" w:rsidR="009A755E" w:rsidRPr="00781112" w:rsidRDefault="009A755E" w:rsidP="00A018D4">
            <w:pPr>
              <w:jc w:val="center"/>
              <w:rPr>
                <w:rFonts w:cs="Arial"/>
                <w:color w:val="000000" w:themeColor="text1"/>
                <w:szCs w:val="16"/>
              </w:rPr>
            </w:pPr>
          </w:p>
        </w:tc>
        <w:tc>
          <w:tcPr>
            <w:tcW w:w="1389" w:type="pct"/>
            <w:shd w:val="clear" w:color="auto" w:fill="auto"/>
          </w:tcPr>
          <w:p w14:paraId="27669B26" w14:textId="57CAFD92" w:rsidR="009A755E" w:rsidRPr="00781112" w:rsidRDefault="009A755E">
            <w:pPr>
              <w:jc w:val="center"/>
              <w:rPr>
                <w:rFonts w:cs="Arial"/>
                <w:noProof/>
                <w:color w:val="000000" w:themeColor="text1"/>
                <w:szCs w:val="16"/>
              </w:rPr>
            </w:pPr>
          </w:p>
        </w:tc>
        <w:tc>
          <w:tcPr>
            <w:tcW w:w="1385" w:type="pct"/>
            <w:shd w:val="clear" w:color="auto" w:fill="auto"/>
          </w:tcPr>
          <w:p w14:paraId="265AB867" w14:textId="6DD4A6E4" w:rsidR="009A755E" w:rsidRPr="00781112" w:rsidRDefault="009A755E">
            <w:pPr>
              <w:jc w:val="center"/>
              <w:rPr>
                <w:rFonts w:cs="Arial"/>
                <w:noProof/>
                <w:color w:val="000000" w:themeColor="text1"/>
                <w:szCs w:val="16"/>
              </w:rPr>
            </w:pPr>
          </w:p>
        </w:tc>
        <w:tc>
          <w:tcPr>
            <w:tcW w:w="1301" w:type="pct"/>
            <w:shd w:val="clear" w:color="auto" w:fill="auto"/>
          </w:tcPr>
          <w:p w14:paraId="016118B8" w14:textId="60E0958F" w:rsidR="009A755E" w:rsidRPr="00781112" w:rsidRDefault="009A755E">
            <w:pPr>
              <w:jc w:val="center"/>
              <w:rPr>
                <w:rFonts w:cs="Arial"/>
                <w:noProof/>
                <w:color w:val="000000" w:themeColor="text1"/>
                <w:szCs w:val="16"/>
              </w:rPr>
            </w:pPr>
          </w:p>
        </w:tc>
      </w:tr>
      <w:tr w:rsidR="005C29F8" w:rsidRPr="00781112" w14:paraId="06C2E448" w14:textId="77777777" w:rsidTr="00C570AA">
        <w:tc>
          <w:tcPr>
            <w:tcW w:w="924" w:type="pct"/>
            <w:shd w:val="clear" w:color="auto" w:fill="auto"/>
          </w:tcPr>
          <w:p w14:paraId="1F883C29" w14:textId="16901E48" w:rsidR="009A755E" w:rsidRPr="00781112" w:rsidRDefault="009A755E" w:rsidP="00A018D4">
            <w:pPr>
              <w:jc w:val="center"/>
              <w:rPr>
                <w:rFonts w:cs="Arial"/>
                <w:color w:val="000000" w:themeColor="text1"/>
                <w:szCs w:val="16"/>
              </w:rPr>
            </w:pPr>
          </w:p>
        </w:tc>
        <w:tc>
          <w:tcPr>
            <w:tcW w:w="1389" w:type="pct"/>
            <w:shd w:val="clear" w:color="auto" w:fill="auto"/>
          </w:tcPr>
          <w:p w14:paraId="4878C645" w14:textId="6B8E2DD3" w:rsidR="009A755E" w:rsidRPr="00781112" w:rsidRDefault="009A755E">
            <w:pPr>
              <w:jc w:val="center"/>
              <w:rPr>
                <w:rFonts w:cs="Arial"/>
                <w:noProof/>
                <w:color w:val="000000" w:themeColor="text1"/>
                <w:szCs w:val="16"/>
              </w:rPr>
            </w:pPr>
          </w:p>
        </w:tc>
        <w:tc>
          <w:tcPr>
            <w:tcW w:w="1385" w:type="pct"/>
            <w:shd w:val="clear" w:color="auto" w:fill="auto"/>
          </w:tcPr>
          <w:p w14:paraId="5C5B29A8" w14:textId="4F847347" w:rsidR="009A755E" w:rsidRPr="00781112" w:rsidRDefault="009A755E">
            <w:pPr>
              <w:jc w:val="center"/>
              <w:rPr>
                <w:rFonts w:cs="Arial"/>
                <w:noProof/>
                <w:color w:val="000000" w:themeColor="text1"/>
                <w:szCs w:val="16"/>
              </w:rPr>
            </w:pPr>
          </w:p>
        </w:tc>
        <w:tc>
          <w:tcPr>
            <w:tcW w:w="1301" w:type="pct"/>
            <w:shd w:val="clear" w:color="auto" w:fill="auto"/>
          </w:tcPr>
          <w:p w14:paraId="3059F96F" w14:textId="54D2C196" w:rsidR="009A755E" w:rsidRPr="00781112" w:rsidRDefault="009A755E">
            <w:pPr>
              <w:jc w:val="center"/>
              <w:rPr>
                <w:rFonts w:cs="Arial"/>
                <w:noProof/>
                <w:color w:val="000000" w:themeColor="text1"/>
                <w:szCs w:val="16"/>
              </w:rPr>
            </w:pPr>
          </w:p>
        </w:tc>
      </w:tr>
      <w:tr w:rsidR="005C29F8" w:rsidRPr="00781112" w14:paraId="270D86DF" w14:textId="77777777" w:rsidTr="00C570AA">
        <w:tc>
          <w:tcPr>
            <w:tcW w:w="924" w:type="pct"/>
            <w:shd w:val="clear" w:color="auto" w:fill="auto"/>
          </w:tcPr>
          <w:p w14:paraId="7DBC402C" w14:textId="659D0437" w:rsidR="009A755E" w:rsidRPr="00781112" w:rsidRDefault="009A755E" w:rsidP="00A018D4">
            <w:pPr>
              <w:jc w:val="center"/>
              <w:rPr>
                <w:rFonts w:cs="Arial"/>
                <w:color w:val="000000" w:themeColor="text1"/>
                <w:szCs w:val="16"/>
              </w:rPr>
            </w:pPr>
          </w:p>
        </w:tc>
        <w:tc>
          <w:tcPr>
            <w:tcW w:w="1389" w:type="pct"/>
            <w:shd w:val="clear" w:color="auto" w:fill="auto"/>
          </w:tcPr>
          <w:p w14:paraId="39F6C3A8" w14:textId="6AFAAA5E" w:rsidR="009A755E" w:rsidRPr="00781112" w:rsidRDefault="009A755E">
            <w:pPr>
              <w:jc w:val="center"/>
              <w:rPr>
                <w:rFonts w:cs="Arial"/>
                <w:noProof/>
                <w:color w:val="000000" w:themeColor="text1"/>
                <w:szCs w:val="16"/>
              </w:rPr>
            </w:pPr>
          </w:p>
        </w:tc>
        <w:tc>
          <w:tcPr>
            <w:tcW w:w="1385" w:type="pct"/>
            <w:shd w:val="clear" w:color="auto" w:fill="auto"/>
          </w:tcPr>
          <w:p w14:paraId="4ABCDE9F" w14:textId="61A85266" w:rsidR="009A755E" w:rsidRPr="00781112" w:rsidRDefault="009A755E">
            <w:pPr>
              <w:jc w:val="center"/>
              <w:rPr>
                <w:rFonts w:cs="Arial"/>
                <w:noProof/>
                <w:color w:val="000000" w:themeColor="text1"/>
                <w:szCs w:val="16"/>
              </w:rPr>
            </w:pPr>
          </w:p>
        </w:tc>
        <w:tc>
          <w:tcPr>
            <w:tcW w:w="1301" w:type="pct"/>
            <w:shd w:val="clear" w:color="auto" w:fill="auto"/>
          </w:tcPr>
          <w:p w14:paraId="4AB54464" w14:textId="0D8F01A9" w:rsidR="009A755E" w:rsidRPr="00781112" w:rsidRDefault="009A755E">
            <w:pPr>
              <w:jc w:val="center"/>
              <w:rPr>
                <w:rFonts w:cs="Arial"/>
                <w:noProof/>
                <w:color w:val="000000" w:themeColor="text1"/>
                <w:szCs w:val="16"/>
              </w:rPr>
            </w:pPr>
          </w:p>
        </w:tc>
      </w:tr>
    </w:tbl>
    <w:p w14:paraId="7BCEF85B" w14:textId="62F9E93D" w:rsidR="004E2151" w:rsidRPr="00781112" w:rsidRDefault="00D11730" w:rsidP="008645AD">
      <w:pPr>
        <w:pStyle w:val="Heading2"/>
      </w:pPr>
      <w:r w:rsidRPr="00781112">
        <w:t>4B</w:t>
      </w:r>
      <w:r w:rsidR="00E90DE9" w:rsidRPr="00781112">
        <w:t xml:space="preserve"> </w:t>
      </w:r>
      <w:r w:rsidRPr="00781112">
        <w:t xml:space="preserve">- </w:t>
      </w:r>
      <w:r w:rsidR="004E2151" w:rsidRPr="00781112">
        <w:t>Prior FFY Required Actions</w:t>
      </w:r>
    </w:p>
    <w:p w14:paraId="60DC97B4" w14:textId="67376465" w:rsidR="009B02BC" w:rsidRPr="00781112" w:rsidRDefault="002B7490" w:rsidP="004E2151">
      <w:pPr>
        <w:rPr>
          <w:rFonts w:cs="Arial"/>
          <w:color w:val="000000" w:themeColor="text1"/>
          <w:szCs w:val="16"/>
        </w:rPr>
      </w:pPr>
      <w:r w:rsidRPr="00781112">
        <w:rPr>
          <w:rFonts w:cs="Arial"/>
          <w:color w:val="000000" w:themeColor="text1"/>
          <w:szCs w:val="16"/>
        </w:rPr>
        <w:t>None</w:t>
      </w:r>
    </w:p>
    <w:p w14:paraId="7562BCA8" w14:textId="2875B1E9" w:rsidR="005115D6" w:rsidRPr="00781112" w:rsidRDefault="00D11730" w:rsidP="008645AD">
      <w:pPr>
        <w:pStyle w:val="Heading2"/>
      </w:pPr>
      <w:r w:rsidRPr="00781112">
        <w:t>4B - OSEP Response</w:t>
      </w:r>
    </w:p>
    <w:p w14:paraId="489BF62D" w14:textId="19458AE8" w:rsidR="003C308E" w:rsidRPr="00781112" w:rsidRDefault="003C308E" w:rsidP="00212954">
      <w:pPr>
        <w:rPr>
          <w:rFonts w:cs="Arial"/>
          <w:color w:val="000000" w:themeColor="text1"/>
          <w:szCs w:val="16"/>
        </w:rPr>
      </w:pPr>
    </w:p>
    <w:p w14:paraId="4D6C35B1" w14:textId="16E26788" w:rsidR="005115D6" w:rsidRPr="00781112" w:rsidRDefault="00D11730" w:rsidP="008645AD">
      <w:pPr>
        <w:pStyle w:val="Heading2"/>
      </w:pPr>
      <w:r w:rsidRPr="00781112">
        <w:t>4B- Required Actions</w:t>
      </w:r>
    </w:p>
    <w:p w14:paraId="5DE261E4" w14:textId="20281C98" w:rsidR="003C308E" w:rsidRPr="00781112" w:rsidRDefault="003C308E" w:rsidP="00212954">
      <w:pPr>
        <w:rPr>
          <w:rFonts w:cs="Arial"/>
          <w:color w:val="000000" w:themeColor="text1"/>
          <w:szCs w:val="16"/>
        </w:rPr>
      </w:pPr>
    </w:p>
    <w:p w14:paraId="4C9312F8"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4F968F36" w14:textId="42E5E278" w:rsidR="00D21EAA" w:rsidRPr="00781112" w:rsidRDefault="00D21EAA" w:rsidP="000444E2">
      <w:pPr>
        <w:pStyle w:val="Heading1"/>
        <w:rPr>
          <w:color w:val="000000" w:themeColor="text1"/>
          <w:sz w:val="22"/>
        </w:rPr>
      </w:pPr>
      <w:r w:rsidRPr="00781112">
        <w:rPr>
          <w:color w:val="000000" w:themeColor="text1"/>
          <w:sz w:val="22"/>
        </w:rPr>
        <w:lastRenderedPageBreak/>
        <w:t xml:space="preserve">Indicator 5: </w:t>
      </w:r>
      <w:bookmarkEnd w:id="12"/>
      <w:r w:rsidRPr="00781112">
        <w:rPr>
          <w:color w:val="000000" w:themeColor="text1"/>
          <w:sz w:val="22"/>
        </w:rPr>
        <w:t xml:space="preserve">Education Environments (children </w:t>
      </w:r>
      <w:r w:rsidR="00D35A49" w:rsidRPr="00781112">
        <w:rPr>
          <w:color w:val="000000" w:themeColor="text1"/>
          <w:sz w:val="22"/>
        </w:rPr>
        <w:t xml:space="preserve">5 (Kindergarten) </w:t>
      </w:r>
      <w:r w:rsidRPr="00781112">
        <w:rPr>
          <w:color w:val="000000" w:themeColor="text1"/>
          <w:sz w:val="22"/>
        </w:rPr>
        <w:t>-</w:t>
      </w:r>
      <w:r w:rsidR="00D35A49" w:rsidRPr="00781112">
        <w:rPr>
          <w:color w:val="000000" w:themeColor="text1"/>
          <w:sz w:val="22"/>
        </w:rPr>
        <w:t xml:space="preserve"> </w:t>
      </w:r>
      <w:r w:rsidRPr="00781112">
        <w:rPr>
          <w:color w:val="000000" w:themeColor="text1"/>
          <w:sz w:val="22"/>
        </w:rPr>
        <w:t>21)</w:t>
      </w:r>
      <w:bookmarkEnd w:id="19"/>
      <w:bookmarkEnd w:id="31"/>
    </w:p>
    <w:p w14:paraId="52AD89A1" w14:textId="77777777" w:rsidR="00775845" w:rsidRPr="00781112" w:rsidRDefault="00775845" w:rsidP="00A018D4">
      <w:pPr>
        <w:rPr>
          <w:color w:val="000000" w:themeColor="text1"/>
          <w:szCs w:val="20"/>
        </w:rPr>
      </w:pPr>
      <w:bookmarkStart w:id="32" w:name="_Toc392159295"/>
      <w:r w:rsidRPr="00781112">
        <w:rPr>
          <w:b/>
          <w:color w:val="000000" w:themeColor="text1"/>
          <w:sz w:val="20"/>
          <w:szCs w:val="20"/>
        </w:rPr>
        <w:t xml:space="preserve">Instructions and Measurement </w:t>
      </w:r>
    </w:p>
    <w:p w14:paraId="5E00F17E" w14:textId="149CBFE3"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653D57AC" w14:textId="668073FD" w:rsidR="00CC634E" w:rsidRPr="00781112" w:rsidRDefault="00CC634E" w:rsidP="009A755E">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 with IEPs aged</w:t>
      </w:r>
      <w:r w:rsidR="001E6A41" w:rsidRPr="00781112">
        <w:rPr>
          <w:rFonts w:cs="Arial"/>
          <w:color w:val="000000" w:themeColor="text1"/>
          <w:szCs w:val="16"/>
        </w:rPr>
        <w:t xml:space="preserve"> </w:t>
      </w:r>
      <w:r w:rsidR="001E6A41" w:rsidRPr="00781112">
        <w:rPr>
          <w:rFonts w:cs="Arial"/>
          <w:szCs w:val="16"/>
        </w:rPr>
        <w:t>5 who are enrolled in kindergarten and aged</w:t>
      </w:r>
      <w:r w:rsidRPr="00781112">
        <w:rPr>
          <w:rFonts w:cs="Arial"/>
          <w:color w:val="000000" w:themeColor="text1"/>
          <w:szCs w:val="16"/>
        </w:rPr>
        <w:t xml:space="preserve"> 6 through 21 served:</w:t>
      </w:r>
    </w:p>
    <w:p w14:paraId="7D5946B6" w14:textId="027B0899" w:rsidR="00CC634E" w:rsidRPr="00781112" w:rsidRDefault="00B9739D" w:rsidP="006A01BD">
      <w:pPr>
        <w:ind w:firstLine="720"/>
        <w:rPr>
          <w:rFonts w:cs="Arial"/>
          <w:color w:val="000000" w:themeColor="text1"/>
          <w:szCs w:val="16"/>
        </w:rPr>
      </w:pPr>
      <w:r w:rsidRPr="00781112">
        <w:rPr>
          <w:rFonts w:cs="Arial"/>
          <w:color w:val="000000" w:themeColor="text1"/>
          <w:szCs w:val="16"/>
        </w:rPr>
        <w:t>A. Inside the regular class 80% or more of the day;</w:t>
      </w:r>
    </w:p>
    <w:p w14:paraId="64FA9D2A" w14:textId="36742077" w:rsidR="00CC634E" w:rsidRPr="00781112" w:rsidRDefault="00B9739D" w:rsidP="006A01BD">
      <w:pPr>
        <w:ind w:firstLine="720"/>
        <w:rPr>
          <w:rFonts w:cs="Arial"/>
          <w:color w:val="000000" w:themeColor="text1"/>
          <w:szCs w:val="16"/>
        </w:rPr>
      </w:pPr>
      <w:r w:rsidRPr="00781112">
        <w:rPr>
          <w:rFonts w:cs="Arial"/>
          <w:color w:val="000000" w:themeColor="text1"/>
          <w:szCs w:val="16"/>
        </w:rPr>
        <w:t>B. Inside the regular class less than 40% of the day; and</w:t>
      </w:r>
    </w:p>
    <w:p w14:paraId="7D6C4792" w14:textId="4E458A42" w:rsidR="00CC634E" w:rsidRPr="00781112" w:rsidRDefault="00B9739D" w:rsidP="006A01BD">
      <w:pPr>
        <w:ind w:firstLine="720"/>
        <w:rPr>
          <w:rFonts w:cs="Arial"/>
          <w:color w:val="000000" w:themeColor="text1"/>
          <w:szCs w:val="16"/>
        </w:rPr>
      </w:pPr>
      <w:r w:rsidRPr="00781112">
        <w:rPr>
          <w:rFonts w:cs="Arial"/>
          <w:color w:val="000000" w:themeColor="text1"/>
          <w:szCs w:val="16"/>
        </w:rPr>
        <w:t>C. In separate schools, residential facilities, or homebound/hospital placements.</w:t>
      </w:r>
    </w:p>
    <w:p w14:paraId="7086FA15" w14:textId="47C5B9E3"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97EFC48" w14:textId="77777777" w:rsidR="001F6A28" w:rsidRPr="00781112" w:rsidRDefault="001F6A28" w:rsidP="004369B2">
      <w:pPr>
        <w:rPr>
          <w:color w:val="000000" w:themeColor="text1"/>
        </w:rPr>
      </w:pPr>
      <w:r w:rsidRPr="00781112">
        <w:rPr>
          <w:b/>
          <w:color w:val="000000" w:themeColor="text1"/>
        </w:rPr>
        <w:t>Data Source</w:t>
      </w:r>
    </w:p>
    <w:p w14:paraId="27A12343" w14:textId="1C2938A9" w:rsidR="001F6A28" w:rsidRPr="00781112" w:rsidRDefault="001F6A2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EDFacts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002.</w:t>
      </w:r>
    </w:p>
    <w:p w14:paraId="6BD2884B" w14:textId="77777777" w:rsidR="001F6A28" w:rsidRPr="00781112" w:rsidRDefault="001F6A28" w:rsidP="004369B2">
      <w:pPr>
        <w:rPr>
          <w:color w:val="000000" w:themeColor="text1"/>
        </w:rPr>
      </w:pPr>
      <w:r w:rsidRPr="00781112">
        <w:rPr>
          <w:b/>
          <w:color w:val="000000" w:themeColor="text1"/>
        </w:rPr>
        <w:t>Measurement</w:t>
      </w:r>
    </w:p>
    <w:p w14:paraId="29361C11" w14:textId="73521566" w:rsidR="001F6A28" w:rsidRPr="00781112" w:rsidRDefault="001E6A41" w:rsidP="00286BDF">
      <w:pPr>
        <w:rPr>
          <w:rFonts w:cs="Arial"/>
          <w:color w:val="000000" w:themeColor="text1"/>
          <w:szCs w:val="16"/>
        </w:rPr>
      </w:pPr>
      <w:r w:rsidRPr="00781112">
        <w:rPr>
          <w:rFonts w:cs="Arial"/>
          <w:color w:val="000000" w:themeColor="text1"/>
          <w:szCs w:val="16"/>
        </w:rPr>
        <w:tab/>
        <w:t>A. Percent</w:t>
      </w:r>
      <w:r w:rsidR="001F6A28" w:rsidRPr="00781112">
        <w:rPr>
          <w:rFonts w:cs="Arial"/>
          <w:color w:val="000000" w:themeColor="text1"/>
          <w:szCs w:val="16"/>
          <w:shd w:val="clear" w:color="auto" w:fill="FFFFFF"/>
        </w:rPr>
        <w:t xml:space="preserve">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inside the regular class 80% or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more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1AC31DB2" w14:textId="62755B33" w:rsidR="001F6A28" w:rsidRPr="00781112" w:rsidRDefault="001E6A41" w:rsidP="00286BDF">
      <w:pPr>
        <w:rPr>
          <w:rFonts w:cs="Arial"/>
          <w:color w:val="000000" w:themeColor="text1"/>
          <w:szCs w:val="16"/>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 xml:space="preserve">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of children with IEPs aged</w:t>
      </w:r>
      <w:r w:rsidR="00E97CD6" w:rsidRPr="00781112">
        <w:rPr>
          <w:rFonts w:cs="Arial"/>
          <w:color w:val="000000" w:themeColor="text1"/>
          <w:szCs w:val="16"/>
          <w:shd w:val="clear" w:color="auto" w:fill="FFFFFF"/>
        </w:rPr>
        <w:t xml:space="preserve"> </w:t>
      </w:r>
      <w:r w:rsidR="00E97CD6" w:rsidRPr="00781112">
        <w:rPr>
          <w:rFonts w:cs="Arial"/>
          <w:szCs w:val="16"/>
        </w:rPr>
        <w:t>5 who are enrolled in kindergarten and aged</w:t>
      </w:r>
      <w:r w:rsidR="001F6A28" w:rsidRPr="00781112">
        <w:rPr>
          <w:rFonts w:cs="Arial"/>
          <w:color w:val="000000" w:themeColor="text1"/>
          <w:szCs w:val="16"/>
          <w:shd w:val="clear" w:color="auto" w:fill="FFFFFF"/>
        </w:rPr>
        <w:t xml:space="preserve"> 6 through 21 served inside the regular class less than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40%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32E65458" w14:textId="2F0BF007" w:rsidR="001F6A28" w:rsidRPr="00781112" w:rsidRDefault="001E6A41" w:rsidP="00286BDF">
      <w:pPr>
        <w:rPr>
          <w:rFonts w:cs="Arial"/>
          <w:color w:val="000000" w:themeColor="text1"/>
          <w:szCs w:val="16"/>
        </w:rPr>
      </w:pPr>
      <w:r w:rsidRPr="00781112">
        <w:rPr>
          <w:rFonts w:cs="Arial"/>
          <w:color w:val="000000" w:themeColor="text1"/>
          <w:szCs w:val="16"/>
        </w:rPr>
        <w:tab/>
        <w:t>C. P</w:t>
      </w:r>
      <w:r w:rsidR="001F6A28" w:rsidRPr="00781112">
        <w:rPr>
          <w:rFonts w:cs="Arial"/>
          <w:color w:val="000000" w:themeColor="text1"/>
          <w:szCs w:val="16"/>
          <w:shd w:val="clear" w:color="auto" w:fill="FFFFFF"/>
        </w:rPr>
        <w:t xml:space="preserve">ercent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 separate schools, residential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facilities, or homebound/hospital placements)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21 with IEPs</w:t>
      </w:r>
      <w:r w:rsidR="00A33668"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times 100.</w:t>
      </w:r>
    </w:p>
    <w:p w14:paraId="06AD540D" w14:textId="77777777" w:rsidR="001F6A28" w:rsidRPr="00781112" w:rsidRDefault="001F6A28" w:rsidP="004369B2">
      <w:pPr>
        <w:rPr>
          <w:color w:val="000000" w:themeColor="text1"/>
        </w:rPr>
      </w:pPr>
      <w:r w:rsidRPr="00781112">
        <w:rPr>
          <w:b/>
          <w:color w:val="000000" w:themeColor="text1"/>
        </w:rPr>
        <w:t>Instructions</w:t>
      </w:r>
    </w:p>
    <w:p w14:paraId="37FC98B2" w14:textId="35D136AD" w:rsidR="001F6A28" w:rsidRPr="00781112" w:rsidRDefault="001F6A2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707ABAC1" w14:textId="68EE8BDF" w:rsidR="001F6A28" w:rsidRPr="00781112" w:rsidRDefault="007072DC" w:rsidP="00BB7BC9">
      <w:pPr>
        <w:rPr>
          <w:rFonts w:cs="Arial"/>
          <w:color w:val="000000" w:themeColor="text1"/>
          <w:szCs w:val="16"/>
        </w:rPr>
      </w:pPr>
      <w:r w:rsidRPr="00781112">
        <w:rPr>
          <w:rFonts w:cs="Arial"/>
          <w:szCs w:val="16"/>
        </w:rPr>
        <w:t>States must report five-year-old children with disabilities who are enrolled in kindergarten in this indicator. Five-year-old children with disabilities who are enrolled in preschool programs are included in Indicator 6.</w:t>
      </w:r>
      <w:r w:rsidR="001F6A28" w:rsidRPr="00781112">
        <w:rPr>
          <w:rFonts w:cs="Arial"/>
          <w:color w:val="000000" w:themeColor="text1"/>
          <w:szCs w:val="16"/>
        </w:rPr>
        <w:t>Describe the results of the calculations and compare the results to the target.</w:t>
      </w:r>
    </w:p>
    <w:p w14:paraId="2F5B7301" w14:textId="3493AFBE" w:rsidR="001F6A28" w:rsidRPr="00781112" w:rsidRDefault="001F6A2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section 618 of the IDEA, explain.</w:t>
      </w:r>
    </w:p>
    <w:p w14:paraId="782EB5F0" w14:textId="4775DE89" w:rsidR="00476EA2" w:rsidRPr="00781112" w:rsidRDefault="007B5383" w:rsidP="008645AD">
      <w:pPr>
        <w:pStyle w:val="Heading2"/>
      </w:pPr>
      <w:r w:rsidRPr="00781112">
        <w:t>5</w:t>
      </w:r>
      <w:r w:rsidR="002203FA" w:rsidRPr="00781112">
        <w:t xml:space="preserve"> </w:t>
      </w:r>
      <w:r w:rsidRPr="00781112">
        <w:t xml:space="preserve">- </w:t>
      </w:r>
      <w:r w:rsidR="00A44506" w:rsidRPr="00781112">
        <w:t>Indicator Data</w:t>
      </w:r>
      <w:r w:rsidR="00476EA2" w:rsidRPr="00781112">
        <w:t xml:space="preserve"> </w:t>
      </w:r>
    </w:p>
    <w:bookmarkEnd w:id="32"/>
    <w:p w14:paraId="5DFCDD59" w14:textId="5ABA842A"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5HISTDATA"/>
      </w:tblPr>
      <w:tblGrid>
        <w:gridCol w:w="536"/>
        <w:gridCol w:w="1464"/>
        <w:gridCol w:w="1465"/>
        <w:gridCol w:w="1465"/>
        <w:gridCol w:w="1465"/>
        <w:gridCol w:w="1465"/>
        <w:gridCol w:w="1465"/>
        <w:gridCol w:w="1465"/>
      </w:tblGrid>
      <w:tr w:rsidR="00483ABB" w:rsidRPr="00781112" w14:paraId="630BF46A" w14:textId="12CF291C" w:rsidTr="005F5FE9">
        <w:trPr>
          <w:trHeight w:val="35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8C47ABF" w14:textId="5FDE6273" w:rsidR="00E4112E" w:rsidRPr="00781112" w:rsidRDefault="001F64DB" w:rsidP="00E4112E">
            <w:pPr>
              <w:spacing w:line="276" w:lineRule="auto"/>
              <w:jc w:val="center"/>
              <w:rPr>
                <w:rFonts w:cs="Arial"/>
                <w:b/>
                <w:color w:val="000000" w:themeColor="text1"/>
                <w:szCs w:val="16"/>
              </w:rPr>
            </w:pPr>
            <w:r w:rsidRPr="00781112">
              <w:rPr>
                <w:rFonts w:cs="Arial"/>
                <w:b/>
                <w:color w:val="000000" w:themeColor="text1"/>
                <w:szCs w:val="16"/>
              </w:rPr>
              <w:t>Part</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34A5BBF1" w14:textId="21EFE08D"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5527DC20" w14:textId="77777777"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FFY</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5348DB7" w14:textId="31324C26"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2015</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C2D9A5E" w14:textId="1AFF80C5"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2016</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7C87EFC5" w14:textId="1BB8AC30"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2017</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060660DD" w14:textId="4387DAEB"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2018</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3DBEC159" w14:textId="109E90CD"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2019</w:t>
            </w:r>
          </w:p>
        </w:tc>
      </w:tr>
      <w:tr w:rsidR="005F0D3B" w:rsidRPr="00781112" w14:paraId="692E70F6" w14:textId="3E9D9AB4" w:rsidTr="005F5FE9">
        <w:trPr>
          <w:trHeight w:val="70"/>
        </w:trPr>
        <w:tc>
          <w:tcPr>
            <w:tcW w:w="248" w:type="pct"/>
            <w:tcBorders>
              <w:top w:val="single" w:sz="4" w:space="0" w:color="auto"/>
              <w:left w:val="single" w:sz="4" w:space="0" w:color="auto"/>
              <w:right w:val="single" w:sz="4" w:space="0" w:color="auto"/>
            </w:tcBorders>
            <w:shd w:val="clear" w:color="auto" w:fill="auto"/>
            <w:vAlign w:val="center"/>
          </w:tcPr>
          <w:p w14:paraId="5CAC6F68"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top w:val="single" w:sz="4" w:space="0" w:color="auto"/>
              <w:left w:val="single" w:sz="4" w:space="0" w:color="auto"/>
              <w:right w:val="single" w:sz="4" w:space="0" w:color="auto"/>
            </w:tcBorders>
            <w:shd w:val="clear" w:color="auto" w:fill="auto"/>
            <w:vAlign w:val="center"/>
          </w:tcPr>
          <w:p w14:paraId="5E3ACE02" w14:textId="787FECC2"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E0BC7" w14:textId="0A864988"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Target &gt;=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D169E17" w14:textId="1A4FF232" w:rsidR="00BB7BC9" w:rsidRPr="00781112" w:rsidRDefault="002B7490">
            <w:pPr>
              <w:jc w:val="center"/>
              <w:rPr>
                <w:rFonts w:cs="Arial"/>
                <w:color w:val="000000" w:themeColor="text1"/>
                <w:szCs w:val="16"/>
              </w:rPr>
            </w:pPr>
            <w:r w:rsidRPr="00781112">
              <w:rPr>
                <w:rFonts w:cs="Arial"/>
                <w:color w:val="000000" w:themeColor="text1"/>
                <w:szCs w:val="16"/>
              </w:rPr>
              <w:t>62.50%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BBDF86" w14:textId="7B8DE8AB" w:rsidR="00BB7BC9" w:rsidRPr="00781112" w:rsidRDefault="002B7490">
            <w:pPr>
              <w:jc w:val="center"/>
              <w:rPr>
                <w:rFonts w:cs="Arial"/>
                <w:color w:val="000000" w:themeColor="text1"/>
                <w:szCs w:val="16"/>
              </w:rPr>
            </w:pPr>
            <w:r w:rsidRPr="00781112">
              <w:rPr>
                <w:rFonts w:cs="Arial"/>
                <w:color w:val="000000" w:themeColor="text1"/>
                <w:szCs w:val="16"/>
              </w:rPr>
              <w:t>63.00%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D7B0B98" w14:textId="016BD4D1" w:rsidR="00BB7BC9" w:rsidRPr="00781112" w:rsidRDefault="002B7490">
            <w:pPr>
              <w:jc w:val="center"/>
              <w:rPr>
                <w:rFonts w:cs="Arial"/>
                <w:color w:val="000000" w:themeColor="text1"/>
                <w:szCs w:val="16"/>
              </w:rPr>
            </w:pPr>
            <w:r w:rsidRPr="00781112">
              <w:rPr>
                <w:rFonts w:cs="Arial"/>
                <w:color w:val="000000" w:themeColor="text1"/>
                <w:szCs w:val="16"/>
              </w:rPr>
              <w:t>63.50%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4789FFB" w14:textId="5C8E4FBE" w:rsidR="00BB7BC9" w:rsidRPr="00781112" w:rsidRDefault="002B7490">
            <w:pPr>
              <w:jc w:val="center"/>
              <w:rPr>
                <w:rFonts w:cs="Arial"/>
                <w:color w:val="000000" w:themeColor="text1"/>
                <w:szCs w:val="16"/>
              </w:rPr>
            </w:pPr>
            <w:r w:rsidRPr="00781112">
              <w:rPr>
                <w:rFonts w:cs="Arial"/>
                <w:color w:val="000000" w:themeColor="text1"/>
                <w:szCs w:val="16"/>
              </w:rPr>
              <w:t>64.00%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29E5141" w14:textId="5AEA8269" w:rsidR="00BB7BC9" w:rsidRPr="00781112" w:rsidRDefault="002B7490">
            <w:pPr>
              <w:jc w:val="center"/>
              <w:rPr>
                <w:rFonts w:cs="Arial"/>
                <w:color w:val="000000" w:themeColor="text1"/>
                <w:szCs w:val="16"/>
              </w:rPr>
            </w:pPr>
            <w:r w:rsidRPr="00781112">
              <w:rPr>
                <w:rFonts w:cs="Arial"/>
                <w:color w:val="000000" w:themeColor="text1"/>
                <w:szCs w:val="16"/>
              </w:rPr>
              <w:t>64.00%</w:t>
            </w:r>
          </w:p>
        </w:tc>
      </w:tr>
      <w:tr w:rsidR="005F0D3B" w:rsidRPr="00781112" w14:paraId="79D81D10" w14:textId="49DC964C" w:rsidTr="005F5FE9">
        <w:trPr>
          <w:trHeight w:val="85"/>
        </w:trPr>
        <w:tc>
          <w:tcPr>
            <w:tcW w:w="248" w:type="pct"/>
            <w:tcBorders>
              <w:left w:val="single" w:sz="4" w:space="0" w:color="auto"/>
              <w:right w:val="single" w:sz="4" w:space="0" w:color="auto"/>
            </w:tcBorders>
            <w:shd w:val="clear" w:color="auto" w:fill="auto"/>
            <w:vAlign w:val="center"/>
          </w:tcPr>
          <w:p w14:paraId="35B07658" w14:textId="008DA9F0"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left w:val="single" w:sz="4" w:space="0" w:color="auto"/>
              <w:right w:val="single" w:sz="4" w:space="0" w:color="auto"/>
            </w:tcBorders>
            <w:shd w:val="clear" w:color="auto" w:fill="auto"/>
            <w:vAlign w:val="center"/>
          </w:tcPr>
          <w:p w14:paraId="4DB8D3CD" w14:textId="0227B1FD" w:rsidR="00BB7BC9" w:rsidRPr="00781112" w:rsidRDefault="002B7490" w:rsidP="00A018D4">
            <w:pPr>
              <w:jc w:val="center"/>
              <w:rPr>
                <w:rFonts w:cs="Arial"/>
                <w:color w:val="000000" w:themeColor="text1"/>
                <w:szCs w:val="16"/>
              </w:rPr>
            </w:pPr>
            <w:r w:rsidRPr="00781112">
              <w:rPr>
                <w:rFonts w:cs="Arial"/>
                <w:color w:val="000000" w:themeColor="text1"/>
                <w:szCs w:val="16"/>
              </w:rPr>
              <w:t>71.98%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24467" w14:textId="777777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A26F098" w14:textId="47E3F3D4" w:rsidR="00BB7BC9" w:rsidRPr="00781112" w:rsidRDefault="002B7490">
            <w:pPr>
              <w:jc w:val="center"/>
              <w:rPr>
                <w:rFonts w:cs="Arial"/>
                <w:color w:val="000000" w:themeColor="text1"/>
                <w:szCs w:val="16"/>
              </w:rPr>
            </w:pPr>
            <w:r w:rsidRPr="00781112">
              <w:rPr>
                <w:rFonts w:cs="Arial"/>
                <w:color w:val="000000" w:themeColor="text1"/>
                <w:szCs w:val="16"/>
              </w:rPr>
              <w:t>59.67%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E8D482" w14:textId="0F0DD959" w:rsidR="00BB7BC9" w:rsidRPr="00781112" w:rsidRDefault="002B7490">
            <w:pPr>
              <w:jc w:val="center"/>
              <w:rPr>
                <w:rFonts w:cs="Arial"/>
                <w:color w:val="000000" w:themeColor="text1"/>
                <w:szCs w:val="16"/>
              </w:rPr>
            </w:pPr>
            <w:r w:rsidRPr="00781112">
              <w:rPr>
                <w:rFonts w:cs="Arial"/>
                <w:color w:val="000000" w:themeColor="text1"/>
                <w:szCs w:val="16"/>
              </w:rPr>
              <w:t>60.72%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92D382C" w14:textId="2157E0D5" w:rsidR="00BB7BC9" w:rsidRPr="00781112" w:rsidRDefault="002B7490">
            <w:pPr>
              <w:jc w:val="center"/>
              <w:rPr>
                <w:rFonts w:cs="Arial"/>
                <w:color w:val="000000" w:themeColor="text1"/>
                <w:szCs w:val="16"/>
              </w:rPr>
            </w:pPr>
            <w:r w:rsidRPr="00781112">
              <w:rPr>
                <w:rFonts w:cs="Arial"/>
                <w:color w:val="000000" w:themeColor="text1"/>
                <w:szCs w:val="16"/>
              </w:rPr>
              <w:t>60.87%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6D0CB9F" w14:textId="43591961" w:rsidR="00BB7BC9" w:rsidRPr="00781112" w:rsidRDefault="002B7490">
            <w:pPr>
              <w:jc w:val="center"/>
              <w:rPr>
                <w:rFonts w:cs="Arial"/>
                <w:color w:val="000000" w:themeColor="text1"/>
                <w:szCs w:val="16"/>
              </w:rPr>
            </w:pPr>
            <w:r w:rsidRPr="00781112">
              <w:rPr>
                <w:rFonts w:cs="Arial"/>
                <w:color w:val="000000" w:themeColor="text1"/>
                <w:szCs w:val="16"/>
              </w:rPr>
              <w:t>61.76%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207239" w14:textId="4C2F7B73" w:rsidR="00BB7BC9" w:rsidRPr="00781112" w:rsidRDefault="002B7490">
            <w:pPr>
              <w:jc w:val="center"/>
              <w:rPr>
                <w:rFonts w:cs="Arial"/>
                <w:color w:val="000000" w:themeColor="text1"/>
                <w:szCs w:val="16"/>
              </w:rPr>
            </w:pPr>
            <w:r w:rsidRPr="00781112">
              <w:rPr>
                <w:rFonts w:cs="Arial"/>
                <w:color w:val="000000" w:themeColor="text1"/>
                <w:szCs w:val="16"/>
              </w:rPr>
              <w:t>63.93%</w:t>
            </w:r>
          </w:p>
        </w:tc>
      </w:tr>
      <w:tr w:rsidR="005F0D3B" w:rsidRPr="00781112" w14:paraId="7EE51EBD" w14:textId="513FE18C"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72DFD56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top w:val="single" w:sz="4" w:space="0" w:color="auto"/>
              <w:left w:val="single" w:sz="4" w:space="0" w:color="auto"/>
              <w:right w:val="single" w:sz="4" w:space="0" w:color="auto"/>
            </w:tcBorders>
            <w:shd w:val="clear" w:color="auto" w:fill="auto"/>
            <w:vAlign w:val="center"/>
          </w:tcPr>
          <w:p w14:paraId="100A2A6F" w14:textId="100D35A9"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A945A" w14:textId="5CBFA4BF"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DEA2B18" w14:textId="75A611A3" w:rsidR="00BB7BC9" w:rsidRPr="00781112" w:rsidRDefault="002B7490">
            <w:pPr>
              <w:jc w:val="center"/>
              <w:rPr>
                <w:rFonts w:cs="Arial"/>
                <w:color w:val="000000" w:themeColor="text1"/>
                <w:szCs w:val="16"/>
              </w:rPr>
            </w:pPr>
            <w:r w:rsidRPr="00781112">
              <w:rPr>
                <w:rFonts w:cs="Arial"/>
                <w:color w:val="000000" w:themeColor="text1"/>
                <w:szCs w:val="16"/>
              </w:rPr>
              <w:t>13.65%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B840EDC" w14:textId="6514C970" w:rsidR="00BB7BC9" w:rsidRPr="00781112" w:rsidRDefault="002B7490">
            <w:pPr>
              <w:jc w:val="center"/>
              <w:rPr>
                <w:rFonts w:cs="Arial"/>
                <w:color w:val="000000" w:themeColor="text1"/>
                <w:szCs w:val="16"/>
              </w:rPr>
            </w:pPr>
            <w:r w:rsidRPr="00781112">
              <w:rPr>
                <w:rFonts w:cs="Arial"/>
                <w:color w:val="000000" w:themeColor="text1"/>
                <w:szCs w:val="16"/>
              </w:rPr>
              <w:t>13.60%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43AF146" w14:textId="07F1A374" w:rsidR="00BB7BC9" w:rsidRPr="00781112" w:rsidRDefault="002B7490">
            <w:pPr>
              <w:jc w:val="center"/>
              <w:rPr>
                <w:rFonts w:cs="Arial"/>
                <w:color w:val="000000" w:themeColor="text1"/>
                <w:szCs w:val="16"/>
              </w:rPr>
            </w:pPr>
            <w:r w:rsidRPr="00781112">
              <w:rPr>
                <w:rFonts w:cs="Arial"/>
                <w:color w:val="000000" w:themeColor="text1"/>
                <w:szCs w:val="16"/>
              </w:rPr>
              <w:t>13.56%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4470517" w14:textId="6EB26EBD" w:rsidR="00BB7BC9" w:rsidRPr="00781112" w:rsidRDefault="002B7490">
            <w:pPr>
              <w:jc w:val="center"/>
              <w:rPr>
                <w:rFonts w:cs="Arial"/>
                <w:color w:val="000000" w:themeColor="text1"/>
                <w:szCs w:val="16"/>
              </w:rPr>
            </w:pPr>
            <w:r w:rsidRPr="00781112">
              <w:rPr>
                <w:rFonts w:cs="Arial"/>
                <w:color w:val="000000" w:themeColor="text1"/>
                <w:szCs w:val="16"/>
              </w:rPr>
              <w:t>13.50%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9B042C" w14:textId="501324B8" w:rsidR="00BB7BC9" w:rsidRPr="00781112" w:rsidRDefault="002B7490">
            <w:pPr>
              <w:jc w:val="center"/>
              <w:rPr>
                <w:rFonts w:cs="Arial"/>
                <w:color w:val="000000" w:themeColor="text1"/>
                <w:szCs w:val="16"/>
              </w:rPr>
            </w:pPr>
            <w:r w:rsidRPr="00781112">
              <w:rPr>
                <w:rFonts w:cs="Arial"/>
                <w:color w:val="000000" w:themeColor="text1"/>
                <w:szCs w:val="16"/>
              </w:rPr>
              <w:t>13.50%</w:t>
            </w:r>
          </w:p>
        </w:tc>
      </w:tr>
      <w:tr w:rsidR="005F0D3B" w:rsidRPr="00781112" w14:paraId="78E6E13B" w14:textId="52E2E705" w:rsidTr="005F5FE9">
        <w:trPr>
          <w:trHeight w:val="85"/>
        </w:trPr>
        <w:tc>
          <w:tcPr>
            <w:tcW w:w="248" w:type="pct"/>
            <w:tcBorders>
              <w:left w:val="single" w:sz="4" w:space="0" w:color="auto"/>
              <w:right w:val="single" w:sz="4" w:space="0" w:color="auto"/>
            </w:tcBorders>
            <w:shd w:val="clear" w:color="auto" w:fill="auto"/>
            <w:vAlign w:val="center"/>
          </w:tcPr>
          <w:p w14:paraId="36D93B90" w14:textId="2EF21745"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left w:val="single" w:sz="4" w:space="0" w:color="auto"/>
              <w:right w:val="single" w:sz="4" w:space="0" w:color="auto"/>
            </w:tcBorders>
            <w:shd w:val="clear" w:color="auto" w:fill="auto"/>
            <w:vAlign w:val="center"/>
          </w:tcPr>
          <w:p w14:paraId="46CEC360" w14:textId="3F201206" w:rsidR="00BB7BC9" w:rsidRPr="00781112" w:rsidRDefault="002B7490" w:rsidP="00A018D4">
            <w:pPr>
              <w:jc w:val="center"/>
              <w:rPr>
                <w:rFonts w:cs="Arial"/>
                <w:color w:val="000000" w:themeColor="text1"/>
                <w:szCs w:val="16"/>
              </w:rPr>
            </w:pPr>
            <w:r w:rsidRPr="00781112">
              <w:rPr>
                <w:rFonts w:cs="Arial"/>
                <w:color w:val="000000" w:themeColor="text1"/>
                <w:szCs w:val="16"/>
              </w:rPr>
              <w:t>9.61%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A1F55" w14:textId="777777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C00B11B" w14:textId="1B815A91" w:rsidR="00BB7BC9" w:rsidRPr="00781112" w:rsidRDefault="002B7490">
            <w:pPr>
              <w:jc w:val="center"/>
              <w:rPr>
                <w:rFonts w:cs="Arial"/>
                <w:color w:val="000000" w:themeColor="text1"/>
                <w:szCs w:val="16"/>
              </w:rPr>
            </w:pPr>
            <w:r w:rsidRPr="00781112">
              <w:rPr>
                <w:rFonts w:cs="Arial"/>
                <w:color w:val="000000" w:themeColor="text1"/>
                <w:szCs w:val="16"/>
              </w:rPr>
              <w:t>13.91%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1973F9D" w14:textId="4C7C3BCD" w:rsidR="00BB7BC9" w:rsidRPr="00781112" w:rsidRDefault="002B7490">
            <w:pPr>
              <w:jc w:val="center"/>
              <w:rPr>
                <w:rFonts w:cs="Arial"/>
                <w:color w:val="000000" w:themeColor="text1"/>
                <w:szCs w:val="16"/>
              </w:rPr>
            </w:pPr>
            <w:r w:rsidRPr="00781112">
              <w:rPr>
                <w:rFonts w:cs="Arial"/>
                <w:color w:val="000000" w:themeColor="text1"/>
                <w:szCs w:val="16"/>
              </w:rPr>
              <w:t>14.71%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70259B" w14:textId="550EFA1E" w:rsidR="00BB7BC9" w:rsidRPr="00781112" w:rsidRDefault="002B7490">
            <w:pPr>
              <w:jc w:val="center"/>
              <w:rPr>
                <w:rFonts w:cs="Arial"/>
                <w:color w:val="000000" w:themeColor="text1"/>
                <w:szCs w:val="16"/>
              </w:rPr>
            </w:pPr>
            <w:r w:rsidRPr="00781112">
              <w:rPr>
                <w:rFonts w:cs="Arial"/>
                <w:color w:val="000000" w:themeColor="text1"/>
                <w:szCs w:val="16"/>
              </w:rPr>
              <w:t>14.66%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435F6E4C" w14:textId="3A9E3826" w:rsidR="00BB7BC9" w:rsidRPr="00781112" w:rsidRDefault="002B7490">
            <w:pPr>
              <w:jc w:val="center"/>
              <w:rPr>
                <w:rFonts w:cs="Arial"/>
                <w:color w:val="000000" w:themeColor="text1"/>
                <w:szCs w:val="16"/>
              </w:rPr>
            </w:pPr>
            <w:r w:rsidRPr="00781112">
              <w:rPr>
                <w:rFonts w:cs="Arial"/>
                <w:color w:val="000000" w:themeColor="text1"/>
                <w:szCs w:val="16"/>
              </w:rPr>
              <w:t>14.59%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F17276C" w14:textId="62DCEF2E" w:rsidR="00BB7BC9" w:rsidRPr="00781112" w:rsidRDefault="002B7490">
            <w:pPr>
              <w:jc w:val="center"/>
              <w:rPr>
                <w:rFonts w:cs="Arial"/>
                <w:color w:val="000000" w:themeColor="text1"/>
                <w:szCs w:val="16"/>
              </w:rPr>
            </w:pPr>
            <w:r w:rsidRPr="00781112">
              <w:rPr>
                <w:rFonts w:cs="Arial"/>
                <w:color w:val="000000" w:themeColor="text1"/>
                <w:szCs w:val="16"/>
              </w:rPr>
              <w:t>14.00%</w:t>
            </w:r>
          </w:p>
        </w:tc>
      </w:tr>
      <w:tr w:rsidR="005F0D3B" w:rsidRPr="00781112" w14:paraId="37C91828" w14:textId="68984F02"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4C5B975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top w:val="single" w:sz="4" w:space="0" w:color="auto"/>
              <w:left w:val="single" w:sz="4" w:space="0" w:color="auto"/>
              <w:right w:val="single" w:sz="4" w:space="0" w:color="auto"/>
            </w:tcBorders>
            <w:shd w:val="clear" w:color="auto" w:fill="auto"/>
            <w:vAlign w:val="center"/>
          </w:tcPr>
          <w:p w14:paraId="70C9224B" w14:textId="70CACD96"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57A99" w14:textId="4C6033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1AD3A63" w14:textId="1D90F8DD" w:rsidR="00BB7BC9" w:rsidRPr="00781112" w:rsidRDefault="002B7490">
            <w:pPr>
              <w:jc w:val="center"/>
              <w:rPr>
                <w:rFonts w:cs="Arial"/>
                <w:color w:val="000000" w:themeColor="text1"/>
                <w:szCs w:val="16"/>
              </w:rPr>
            </w:pPr>
            <w:r w:rsidRPr="00781112">
              <w:rPr>
                <w:rFonts w:cs="Arial"/>
                <w:color w:val="000000" w:themeColor="text1"/>
                <w:szCs w:val="16"/>
              </w:rPr>
              <w:t>1.30%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DA5DD15" w14:textId="499E0DC6" w:rsidR="00BB7BC9" w:rsidRPr="00781112" w:rsidRDefault="002B7490">
            <w:pPr>
              <w:jc w:val="center"/>
              <w:rPr>
                <w:rFonts w:cs="Arial"/>
                <w:color w:val="000000" w:themeColor="text1"/>
                <w:szCs w:val="16"/>
              </w:rPr>
            </w:pPr>
            <w:r w:rsidRPr="00781112">
              <w:rPr>
                <w:rFonts w:cs="Arial"/>
                <w:color w:val="000000" w:themeColor="text1"/>
                <w:szCs w:val="16"/>
              </w:rPr>
              <w:t>1.30%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F1F1E81" w14:textId="46D753CA" w:rsidR="00BB7BC9" w:rsidRPr="00781112" w:rsidRDefault="002B7490">
            <w:pPr>
              <w:jc w:val="center"/>
              <w:rPr>
                <w:rFonts w:cs="Arial"/>
                <w:color w:val="000000" w:themeColor="text1"/>
                <w:szCs w:val="16"/>
              </w:rPr>
            </w:pPr>
            <w:r w:rsidRPr="00781112">
              <w:rPr>
                <w:rFonts w:cs="Arial"/>
                <w:color w:val="000000" w:themeColor="text1"/>
                <w:szCs w:val="16"/>
              </w:rPr>
              <w:t>1.30%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E23DB0" w14:textId="434389A0" w:rsidR="00BB7BC9" w:rsidRPr="00781112" w:rsidRDefault="002B7490">
            <w:pPr>
              <w:jc w:val="center"/>
              <w:rPr>
                <w:rFonts w:cs="Arial"/>
                <w:color w:val="000000" w:themeColor="text1"/>
                <w:szCs w:val="16"/>
              </w:rPr>
            </w:pPr>
            <w:r w:rsidRPr="00781112">
              <w:rPr>
                <w:rFonts w:cs="Arial"/>
                <w:color w:val="000000" w:themeColor="text1"/>
                <w:szCs w:val="16"/>
              </w:rPr>
              <w:t>1.30%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D656878" w14:textId="58FADB64" w:rsidR="00BB7BC9" w:rsidRPr="00781112" w:rsidRDefault="002B7490">
            <w:pPr>
              <w:jc w:val="center"/>
              <w:rPr>
                <w:rFonts w:cs="Arial"/>
                <w:color w:val="000000" w:themeColor="text1"/>
                <w:szCs w:val="16"/>
              </w:rPr>
            </w:pPr>
            <w:r w:rsidRPr="00781112">
              <w:rPr>
                <w:rFonts w:cs="Arial"/>
                <w:color w:val="000000" w:themeColor="text1"/>
                <w:szCs w:val="16"/>
              </w:rPr>
              <w:t>1.30%</w:t>
            </w:r>
          </w:p>
        </w:tc>
      </w:tr>
      <w:tr w:rsidR="005F0D3B" w:rsidRPr="00781112" w14:paraId="64BAB70F" w14:textId="676A8AD8" w:rsidTr="005F5FE9">
        <w:trPr>
          <w:trHeight w:val="85"/>
        </w:trPr>
        <w:tc>
          <w:tcPr>
            <w:tcW w:w="248" w:type="pct"/>
            <w:tcBorders>
              <w:left w:val="single" w:sz="4" w:space="0" w:color="auto"/>
              <w:right w:val="single" w:sz="4" w:space="0" w:color="auto"/>
            </w:tcBorders>
            <w:shd w:val="clear" w:color="auto" w:fill="auto"/>
            <w:vAlign w:val="center"/>
          </w:tcPr>
          <w:p w14:paraId="38B08CB3" w14:textId="5CD30D2F"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left w:val="single" w:sz="4" w:space="0" w:color="auto"/>
              <w:right w:val="single" w:sz="4" w:space="0" w:color="auto"/>
            </w:tcBorders>
            <w:shd w:val="clear" w:color="auto" w:fill="auto"/>
            <w:vAlign w:val="center"/>
          </w:tcPr>
          <w:p w14:paraId="68128485" w14:textId="059E5B6B" w:rsidR="00BB7BC9" w:rsidRPr="00781112" w:rsidRDefault="002B7490" w:rsidP="00A018D4">
            <w:pPr>
              <w:jc w:val="center"/>
              <w:rPr>
                <w:rFonts w:cs="Arial"/>
                <w:color w:val="000000" w:themeColor="text1"/>
                <w:szCs w:val="16"/>
              </w:rPr>
            </w:pPr>
            <w:r w:rsidRPr="00781112">
              <w:rPr>
                <w:rFonts w:cs="Arial"/>
                <w:color w:val="000000" w:themeColor="text1"/>
                <w:szCs w:val="16"/>
              </w:rPr>
              <w:t>1.29%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2C5D3" w14:textId="777777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31BEB85" w14:textId="2725D64A" w:rsidR="00BB7BC9" w:rsidRPr="00781112" w:rsidRDefault="002B7490">
            <w:pPr>
              <w:jc w:val="center"/>
              <w:rPr>
                <w:rFonts w:cs="Arial"/>
                <w:color w:val="000000" w:themeColor="text1"/>
                <w:szCs w:val="16"/>
              </w:rPr>
            </w:pPr>
            <w:r w:rsidRPr="00781112">
              <w:rPr>
                <w:rFonts w:cs="Arial"/>
                <w:color w:val="000000" w:themeColor="text1"/>
                <w:szCs w:val="16"/>
              </w:rPr>
              <w:t>1.33%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1272C2D" w14:textId="719A941F" w:rsidR="00BB7BC9" w:rsidRPr="00781112" w:rsidRDefault="002B7490">
            <w:pPr>
              <w:jc w:val="center"/>
              <w:rPr>
                <w:rFonts w:cs="Arial"/>
                <w:color w:val="000000" w:themeColor="text1"/>
                <w:szCs w:val="16"/>
              </w:rPr>
            </w:pPr>
            <w:r w:rsidRPr="00781112">
              <w:rPr>
                <w:rFonts w:cs="Arial"/>
                <w:color w:val="000000" w:themeColor="text1"/>
                <w:szCs w:val="16"/>
              </w:rPr>
              <w:t>1.25%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6D69289" w14:textId="52314ECA" w:rsidR="00BB7BC9" w:rsidRPr="00781112" w:rsidRDefault="002B7490">
            <w:pPr>
              <w:jc w:val="center"/>
              <w:rPr>
                <w:rFonts w:cs="Arial"/>
                <w:color w:val="000000" w:themeColor="text1"/>
                <w:szCs w:val="16"/>
              </w:rPr>
            </w:pPr>
            <w:r w:rsidRPr="00781112">
              <w:rPr>
                <w:rFonts w:cs="Arial"/>
                <w:color w:val="000000" w:themeColor="text1"/>
                <w:szCs w:val="16"/>
              </w:rPr>
              <w:t>1.24%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0C089F4" w14:textId="48A87A04" w:rsidR="00BB7BC9" w:rsidRPr="00781112" w:rsidRDefault="002B7490">
            <w:pPr>
              <w:jc w:val="center"/>
              <w:rPr>
                <w:rFonts w:cs="Arial"/>
                <w:color w:val="000000" w:themeColor="text1"/>
                <w:szCs w:val="16"/>
              </w:rPr>
            </w:pPr>
            <w:r w:rsidRPr="00781112">
              <w:rPr>
                <w:rFonts w:cs="Arial"/>
                <w:color w:val="000000" w:themeColor="text1"/>
                <w:szCs w:val="16"/>
              </w:rPr>
              <w:t>1.20%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5793CF8" w14:textId="025DD51B" w:rsidR="00BB7BC9" w:rsidRPr="00781112" w:rsidRDefault="002B7490">
            <w:pPr>
              <w:jc w:val="center"/>
              <w:rPr>
                <w:rFonts w:cs="Arial"/>
                <w:color w:val="000000" w:themeColor="text1"/>
                <w:szCs w:val="16"/>
              </w:rPr>
            </w:pPr>
            <w:r w:rsidRPr="00781112">
              <w:rPr>
                <w:rFonts w:cs="Arial"/>
                <w:color w:val="000000" w:themeColor="text1"/>
                <w:szCs w:val="16"/>
              </w:rPr>
              <w:t>1.22%</w:t>
            </w:r>
          </w:p>
        </w:tc>
      </w:tr>
    </w:tbl>
    <w:p w14:paraId="4F18E18D" w14:textId="77777777" w:rsidR="004A4803" w:rsidRPr="00781112" w:rsidRDefault="004A4803" w:rsidP="004369B2">
      <w:pPr>
        <w:rPr>
          <w:color w:val="000000" w:themeColor="text1"/>
        </w:rPr>
      </w:pPr>
    </w:p>
    <w:p w14:paraId="4B421711" w14:textId="34B64243" w:rsidR="002C207A" w:rsidRPr="00781112" w:rsidRDefault="002C207A" w:rsidP="004369B2">
      <w:pPr>
        <w:rPr>
          <w:color w:val="000000" w:themeColor="text1"/>
        </w:rPr>
      </w:pPr>
      <w:r w:rsidRPr="00781112">
        <w:rPr>
          <w:b/>
          <w:color w:val="000000" w:themeColor="text1"/>
        </w:rPr>
        <w:t>Targets</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TARGETS"/>
      </w:tblPr>
      <w:tblGrid>
        <w:gridCol w:w="674"/>
        <w:gridCol w:w="1691"/>
        <w:gridCol w:w="1691"/>
        <w:gridCol w:w="1691"/>
        <w:gridCol w:w="1691"/>
        <w:gridCol w:w="1691"/>
        <w:gridCol w:w="1691"/>
      </w:tblGrid>
      <w:tr w:rsidR="00D62058" w:rsidRPr="00781112" w14:paraId="67121B7A" w14:textId="6B1EA8E0" w:rsidTr="005F5FE9">
        <w:trPr>
          <w:trHeight w:val="264"/>
        </w:trPr>
        <w:tc>
          <w:tcPr>
            <w:tcW w:w="311" w:type="pct"/>
            <w:tcBorders>
              <w:bottom w:val="single" w:sz="4" w:space="0" w:color="auto"/>
            </w:tcBorders>
            <w:shd w:val="clear" w:color="auto" w:fill="auto"/>
          </w:tcPr>
          <w:p w14:paraId="417BC1C4" w14:textId="77777777" w:rsidR="00D62058" w:rsidRPr="00781112" w:rsidRDefault="00D62058" w:rsidP="00D62058">
            <w:pPr>
              <w:jc w:val="center"/>
              <w:rPr>
                <w:b/>
                <w:color w:val="000000" w:themeColor="text1"/>
              </w:rPr>
            </w:pPr>
            <w:r w:rsidRPr="00781112">
              <w:rPr>
                <w:b/>
                <w:color w:val="000000" w:themeColor="text1"/>
              </w:rPr>
              <w:t>FFY</w:t>
            </w:r>
          </w:p>
        </w:tc>
        <w:tc>
          <w:tcPr>
            <w:tcW w:w="781" w:type="pct"/>
            <w:shd w:val="clear" w:color="auto" w:fill="auto"/>
          </w:tcPr>
          <w:p w14:paraId="43C546D5" w14:textId="7A1B1AB1" w:rsidR="00D62058" w:rsidRPr="00781112" w:rsidRDefault="00D62058" w:rsidP="00D62058">
            <w:pPr>
              <w:jc w:val="center"/>
              <w:rPr>
                <w:b/>
                <w:color w:val="000000" w:themeColor="text1"/>
              </w:rPr>
            </w:pPr>
            <w:r w:rsidRPr="00781112">
              <w:rPr>
                <w:b/>
                <w:color w:val="000000" w:themeColor="text1"/>
              </w:rPr>
              <w:t>2020</w:t>
            </w:r>
          </w:p>
        </w:tc>
        <w:tc>
          <w:tcPr>
            <w:tcW w:w="781" w:type="pct"/>
          </w:tcPr>
          <w:p w14:paraId="12417F21" w14:textId="04859FD1" w:rsidR="00D62058" w:rsidRPr="00781112" w:rsidRDefault="00D62058" w:rsidP="00D62058">
            <w:pPr>
              <w:jc w:val="center"/>
              <w:rPr>
                <w:b/>
                <w:color w:val="000000" w:themeColor="text1"/>
              </w:rPr>
            </w:pPr>
            <w:r w:rsidRPr="00781112">
              <w:rPr>
                <w:rFonts w:cs="Arial"/>
                <w:b/>
                <w:color w:val="000000" w:themeColor="text1"/>
                <w:szCs w:val="16"/>
              </w:rPr>
              <w:t>2021</w:t>
            </w:r>
          </w:p>
        </w:tc>
        <w:tc>
          <w:tcPr>
            <w:tcW w:w="781" w:type="pct"/>
          </w:tcPr>
          <w:p w14:paraId="75B6E23D" w14:textId="1550C183" w:rsidR="00D62058" w:rsidRPr="00781112" w:rsidRDefault="00D62058" w:rsidP="00D62058">
            <w:pPr>
              <w:jc w:val="center"/>
              <w:rPr>
                <w:b/>
                <w:color w:val="000000" w:themeColor="text1"/>
              </w:rPr>
            </w:pPr>
            <w:r w:rsidRPr="00781112">
              <w:rPr>
                <w:rFonts w:cs="Arial"/>
                <w:b/>
                <w:color w:val="000000" w:themeColor="text1"/>
                <w:szCs w:val="16"/>
              </w:rPr>
              <w:t>2022</w:t>
            </w:r>
          </w:p>
        </w:tc>
        <w:tc>
          <w:tcPr>
            <w:tcW w:w="781" w:type="pct"/>
          </w:tcPr>
          <w:p w14:paraId="0412226B" w14:textId="561C74FD" w:rsidR="00D62058" w:rsidRPr="00781112" w:rsidRDefault="00D62058" w:rsidP="00D62058">
            <w:pPr>
              <w:jc w:val="center"/>
              <w:rPr>
                <w:b/>
                <w:color w:val="000000" w:themeColor="text1"/>
              </w:rPr>
            </w:pPr>
            <w:r w:rsidRPr="00781112">
              <w:rPr>
                <w:rFonts w:cs="Arial"/>
                <w:b/>
                <w:color w:val="000000" w:themeColor="text1"/>
                <w:szCs w:val="16"/>
              </w:rPr>
              <w:t>2023</w:t>
            </w:r>
          </w:p>
        </w:tc>
        <w:tc>
          <w:tcPr>
            <w:tcW w:w="781" w:type="pct"/>
          </w:tcPr>
          <w:p w14:paraId="46BF17D8" w14:textId="1CC0E2CE" w:rsidR="00D62058" w:rsidRPr="00781112" w:rsidRDefault="00D62058" w:rsidP="00D62058">
            <w:pPr>
              <w:jc w:val="center"/>
              <w:rPr>
                <w:b/>
                <w:color w:val="000000" w:themeColor="text1"/>
              </w:rPr>
            </w:pPr>
            <w:r w:rsidRPr="00781112">
              <w:rPr>
                <w:rFonts w:cs="Arial"/>
                <w:b/>
                <w:color w:val="000000" w:themeColor="text1"/>
                <w:szCs w:val="16"/>
              </w:rPr>
              <w:t>2024</w:t>
            </w:r>
          </w:p>
        </w:tc>
        <w:tc>
          <w:tcPr>
            <w:tcW w:w="781" w:type="pct"/>
          </w:tcPr>
          <w:p w14:paraId="2C02A36B" w14:textId="2EC9CAF5" w:rsidR="00D62058" w:rsidRPr="00781112" w:rsidRDefault="00D62058" w:rsidP="00D62058">
            <w:pPr>
              <w:jc w:val="center"/>
              <w:rPr>
                <w:b/>
                <w:color w:val="000000" w:themeColor="text1"/>
              </w:rPr>
            </w:pPr>
            <w:r w:rsidRPr="00781112">
              <w:rPr>
                <w:rFonts w:cs="Arial"/>
                <w:b/>
                <w:color w:val="000000" w:themeColor="text1"/>
                <w:szCs w:val="16"/>
              </w:rPr>
              <w:t>2025</w:t>
            </w:r>
          </w:p>
        </w:tc>
      </w:tr>
      <w:tr w:rsidR="00D62058" w:rsidRPr="00781112" w14:paraId="0E725BBE" w14:textId="7C441390" w:rsidTr="005F5FE9">
        <w:trPr>
          <w:trHeight w:val="270"/>
        </w:trPr>
        <w:tc>
          <w:tcPr>
            <w:tcW w:w="311" w:type="pct"/>
            <w:shd w:val="clear" w:color="auto" w:fill="auto"/>
            <w:vAlign w:val="center"/>
          </w:tcPr>
          <w:p w14:paraId="3CB4FC66" w14:textId="21A33A6B" w:rsidR="00D62058" w:rsidRPr="00781112" w:rsidRDefault="00D62058" w:rsidP="00D62058">
            <w:pPr>
              <w:rPr>
                <w:rFonts w:cs="Arial"/>
                <w:color w:val="000000" w:themeColor="text1"/>
                <w:szCs w:val="16"/>
              </w:rPr>
            </w:pPr>
            <w:r w:rsidRPr="00781112">
              <w:rPr>
                <w:rFonts w:cs="Arial"/>
                <w:color w:val="000000" w:themeColor="text1"/>
                <w:szCs w:val="16"/>
              </w:rPr>
              <w:t>Target A &gt;=</w:t>
            </w:r>
          </w:p>
        </w:tc>
        <w:tc>
          <w:tcPr>
            <w:tcW w:w="781" w:type="pct"/>
            <w:shd w:val="clear" w:color="auto" w:fill="auto"/>
            <w:vAlign w:val="center"/>
          </w:tcPr>
          <w:p w14:paraId="0643B02C" w14:textId="7613B373" w:rsidR="00D62058" w:rsidRPr="00781112" w:rsidRDefault="00D62058" w:rsidP="00D62058">
            <w:pPr>
              <w:jc w:val="center"/>
              <w:rPr>
                <w:rFonts w:cs="Arial"/>
                <w:color w:val="000000" w:themeColor="text1"/>
                <w:szCs w:val="16"/>
              </w:rPr>
            </w:pPr>
            <w:r w:rsidRPr="00781112">
              <w:rPr>
                <w:rFonts w:cs="Arial"/>
                <w:color w:val="000000" w:themeColor="text1"/>
                <w:szCs w:val="16"/>
              </w:rPr>
              <w:t>72.00%</w:t>
            </w:r>
          </w:p>
        </w:tc>
        <w:tc>
          <w:tcPr>
            <w:tcW w:w="781" w:type="pct"/>
          </w:tcPr>
          <w:p w14:paraId="5AAF7764" w14:textId="6CE24C23" w:rsidR="00D62058" w:rsidRPr="00781112" w:rsidRDefault="00D62058" w:rsidP="00D62058">
            <w:pPr>
              <w:jc w:val="center"/>
              <w:rPr>
                <w:rFonts w:cs="Arial"/>
                <w:color w:val="000000" w:themeColor="text1"/>
                <w:szCs w:val="16"/>
              </w:rPr>
            </w:pPr>
            <w:r w:rsidRPr="00781112">
              <w:rPr>
                <w:color w:val="000000" w:themeColor="text1"/>
                <w:szCs w:val="16"/>
              </w:rPr>
              <w:t>72.00%</w:t>
            </w:r>
          </w:p>
        </w:tc>
        <w:tc>
          <w:tcPr>
            <w:tcW w:w="781" w:type="pct"/>
          </w:tcPr>
          <w:p w14:paraId="18842FBE" w14:textId="34C8AABC" w:rsidR="00D62058" w:rsidRPr="00781112" w:rsidRDefault="00D62058" w:rsidP="00D62058">
            <w:pPr>
              <w:jc w:val="center"/>
              <w:rPr>
                <w:rFonts w:cs="Arial"/>
                <w:color w:val="000000" w:themeColor="text1"/>
                <w:szCs w:val="16"/>
              </w:rPr>
            </w:pPr>
            <w:r w:rsidRPr="00781112">
              <w:rPr>
                <w:color w:val="000000" w:themeColor="text1"/>
                <w:szCs w:val="16"/>
              </w:rPr>
              <w:t>72.50%</w:t>
            </w:r>
          </w:p>
        </w:tc>
        <w:tc>
          <w:tcPr>
            <w:tcW w:w="781" w:type="pct"/>
          </w:tcPr>
          <w:p w14:paraId="22283B88" w14:textId="78C8081B" w:rsidR="00D62058" w:rsidRPr="00781112" w:rsidRDefault="00D62058" w:rsidP="00D62058">
            <w:pPr>
              <w:jc w:val="center"/>
              <w:rPr>
                <w:rFonts w:cs="Arial"/>
                <w:color w:val="000000" w:themeColor="text1"/>
                <w:szCs w:val="16"/>
              </w:rPr>
            </w:pPr>
            <w:r w:rsidRPr="00781112">
              <w:rPr>
                <w:color w:val="000000" w:themeColor="text1"/>
                <w:szCs w:val="16"/>
              </w:rPr>
              <w:t>73.00%</w:t>
            </w:r>
          </w:p>
        </w:tc>
        <w:tc>
          <w:tcPr>
            <w:tcW w:w="781" w:type="pct"/>
          </w:tcPr>
          <w:p w14:paraId="7C808A06" w14:textId="70D7E176" w:rsidR="00D62058" w:rsidRPr="00781112" w:rsidRDefault="00D62058" w:rsidP="00D62058">
            <w:pPr>
              <w:jc w:val="center"/>
              <w:rPr>
                <w:rFonts w:cs="Arial"/>
                <w:color w:val="000000" w:themeColor="text1"/>
                <w:szCs w:val="16"/>
              </w:rPr>
            </w:pPr>
            <w:r w:rsidRPr="00781112">
              <w:rPr>
                <w:color w:val="000000" w:themeColor="text1"/>
                <w:szCs w:val="16"/>
              </w:rPr>
              <w:t>73.50%</w:t>
            </w:r>
          </w:p>
        </w:tc>
        <w:tc>
          <w:tcPr>
            <w:tcW w:w="781" w:type="pct"/>
          </w:tcPr>
          <w:p w14:paraId="6A3BFC2B" w14:textId="59F48114" w:rsidR="00D62058" w:rsidRPr="00781112" w:rsidRDefault="00D62058" w:rsidP="00D62058">
            <w:pPr>
              <w:jc w:val="center"/>
              <w:rPr>
                <w:rFonts w:cs="Arial"/>
                <w:color w:val="000000" w:themeColor="text1"/>
                <w:szCs w:val="16"/>
              </w:rPr>
            </w:pPr>
            <w:r w:rsidRPr="00781112">
              <w:rPr>
                <w:color w:val="000000" w:themeColor="text1"/>
                <w:szCs w:val="16"/>
              </w:rPr>
              <w:t>74.00%</w:t>
            </w:r>
          </w:p>
        </w:tc>
      </w:tr>
      <w:tr w:rsidR="00D62058" w:rsidRPr="00781112" w14:paraId="17C12050" w14:textId="1A45DE5B" w:rsidTr="005F5FE9">
        <w:trPr>
          <w:trHeight w:val="270"/>
        </w:trPr>
        <w:tc>
          <w:tcPr>
            <w:tcW w:w="311" w:type="pct"/>
            <w:shd w:val="clear" w:color="auto" w:fill="auto"/>
            <w:vAlign w:val="center"/>
          </w:tcPr>
          <w:p w14:paraId="5FF4BE45" w14:textId="3D057CF2" w:rsidR="00D62058" w:rsidRPr="00781112" w:rsidRDefault="00D62058" w:rsidP="00D62058">
            <w:pPr>
              <w:rPr>
                <w:rFonts w:cs="Arial"/>
                <w:color w:val="000000" w:themeColor="text1"/>
                <w:szCs w:val="16"/>
              </w:rPr>
            </w:pPr>
            <w:r w:rsidRPr="00781112">
              <w:rPr>
                <w:rFonts w:cs="Arial"/>
                <w:color w:val="000000" w:themeColor="text1"/>
                <w:szCs w:val="16"/>
              </w:rPr>
              <w:t>Target B &lt;=</w:t>
            </w:r>
          </w:p>
        </w:tc>
        <w:tc>
          <w:tcPr>
            <w:tcW w:w="781" w:type="pct"/>
            <w:shd w:val="clear" w:color="auto" w:fill="auto"/>
            <w:vAlign w:val="center"/>
          </w:tcPr>
          <w:p w14:paraId="4B344C1C" w14:textId="2108066A" w:rsidR="00D62058" w:rsidRPr="00781112" w:rsidRDefault="00D62058" w:rsidP="00D62058">
            <w:pPr>
              <w:jc w:val="center"/>
              <w:rPr>
                <w:rFonts w:cs="Arial"/>
                <w:color w:val="000000" w:themeColor="text1"/>
                <w:szCs w:val="16"/>
              </w:rPr>
            </w:pPr>
            <w:r w:rsidRPr="00781112">
              <w:rPr>
                <w:rFonts w:cs="Arial"/>
                <w:color w:val="000000" w:themeColor="text1"/>
                <w:szCs w:val="16"/>
              </w:rPr>
              <w:t>9.50%</w:t>
            </w:r>
          </w:p>
        </w:tc>
        <w:tc>
          <w:tcPr>
            <w:tcW w:w="781" w:type="pct"/>
          </w:tcPr>
          <w:p w14:paraId="05700FA5" w14:textId="5CCD345F" w:rsidR="00D62058" w:rsidRPr="00781112" w:rsidRDefault="00D62058" w:rsidP="00D62058">
            <w:pPr>
              <w:jc w:val="center"/>
              <w:rPr>
                <w:rFonts w:cs="Arial"/>
                <w:color w:val="000000" w:themeColor="text1"/>
                <w:szCs w:val="16"/>
              </w:rPr>
            </w:pPr>
            <w:r w:rsidRPr="00781112">
              <w:rPr>
                <w:color w:val="000000" w:themeColor="text1"/>
                <w:szCs w:val="16"/>
              </w:rPr>
              <w:t>9.50%</w:t>
            </w:r>
          </w:p>
        </w:tc>
        <w:tc>
          <w:tcPr>
            <w:tcW w:w="781" w:type="pct"/>
          </w:tcPr>
          <w:p w14:paraId="3714E477" w14:textId="7A435890" w:rsidR="00D62058" w:rsidRPr="00781112" w:rsidRDefault="00D62058" w:rsidP="00D62058">
            <w:pPr>
              <w:jc w:val="center"/>
              <w:rPr>
                <w:rFonts w:cs="Arial"/>
                <w:color w:val="000000" w:themeColor="text1"/>
                <w:szCs w:val="16"/>
              </w:rPr>
            </w:pPr>
            <w:r w:rsidRPr="00781112">
              <w:rPr>
                <w:color w:val="000000" w:themeColor="text1"/>
                <w:szCs w:val="16"/>
              </w:rPr>
              <w:t>9.50%</w:t>
            </w:r>
          </w:p>
        </w:tc>
        <w:tc>
          <w:tcPr>
            <w:tcW w:w="781" w:type="pct"/>
          </w:tcPr>
          <w:p w14:paraId="378D738F" w14:textId="779494DE" w:rsidR="00D62058" w:rsidRPr="00781112" w:rsidRDefault="00D62058" w:rsidP="00D62058">
            <w:pPr>
              <w:jc w:val="center"/>
              <w:rPr>
                <w:rFonts w:cs="Arial"/>
                <w:color w:val="000000" w:themeColor="text1"/>
                <w:szCs w:val="16"/>
              </w:rPr>
            </w:pPr>
            <w:r w:rsidRPr="00781112">
              <w:rPr>
                <w:color w:val="000000" w:themeColor="text1"/>
                <w:szCs w:val="16"/>
              </w:rPr>
              <w:t>9.40%</w:t>
            </w:r>
          </w:p>
        </w:tc>
        <w:tc>
          <w:tcPr>
            <w:tcW w:w="781" w:type="pct"/>
          </w:tcPr>
          <w:p w14:paraId="489715FB" w14:textId="57B31F87" w:rsidR="00D62058" w:rsidRPr="00781112" w:rsidRDefault="00D62058" w:rsidP="00D62058">
            <w:pPr>
              <w:jc w:val="center"/>
              <w:rPr>
                <w:rFonts w:cs="Arial"/>
                <w:color w:val="000000" w:themeColor="text1"/>
                <w:szCs w:val="16"/>
              </w:rPr>
            </w:pPr>
            <w:r w:rsidRPr="00781112">
              <w:rPr>
                <w:color w:val="000000" w:themeColor="text1"/>
                <w:szCs w:val="16"/>
              </w:rPr>
              <w:t>9.40%</w:t>
            </w:r>
          </w:p>
        </w:tc>
        <w:tc>
          <w:tcPr>
            <w:tcW w:w="781" w:type="pct"/>
          </w:tcPr>
          <w:p w14:paraId="673320A3" w14:textId="050E59BF" w:rsidR="00D62058" w:rsidRPr="00781112" w:rsidRDefault="00D62058" w:rsidP="00D62058">
            <w:pPr>
              <w:jc w:val="center"/>
              <w:rPr>
                <w:rFonts w:cs="Arial"/>
                <w:color w:val="000000" w:themeColor="text1"/>
                <w:szCs w:val="16"/>
              </w:rPr>
            </w:pPr>
            <w:r w:rsidRPr="00781112">
              <w:rPr>
                <w:color w:val="000000" w:themeColor="text1"/>
                <w:szCs w:val="16"/>
              </w:rPr>
              <w:t>9.40%</w:t>
            </w:r>
          </w:p>
        </w:tc>
      </w:tr>
      <w:tr w:rsidR="00D62058" w:rsidRPr="00781112" w14:paraId="1C671552" w14:textId="2F7800FB" w:rsidTr="005F5FE9">
        <w:trPr>
          <w:trHeight w:val="270"/>
        </w:trPr>
        <w:tc>
          <w:tcPr>
            <w:tcW w:w="311" w:type="pct"/>
            <w:shd w:val="clear" w:color="auto" w:fill="auto"/>
            <w:vAlign w:val="center"/>
          </w:tcPr>
          <w:p w14:paraId="5D979A7F" w14:textId="57DEB4C1" w:rsidR="00D62058" w:rsidRPr="00781112" w:rsidRDefault="00D62058" w:rsidP="00D62058">
            <w:pPr>
              <w:rPr>
                <w:rFonts w:cs="Arial"/>
                <w:color w:val="000000" w:themeColor="text1"/>
                <w:szCs w:val="16"/>
              </w:rPr>
            </w:pPr>
            <w:r w:rsidRPr="00781112">
              <w:rPr>
                <w:rFonts w:cs="Arial"/>
                <w:color w:val="000000" w:themeColor="text1"/>
                <w:szCs w:val="16"/>
              </w:rPr>
              <w:t>Target C &lt;=</w:t>
            </w:r>
          </w:p>
        </w:tc>
        <w:tc>
          <w:tcPr>
            <w:tcW w:w="781" w:type="pct"/>
            <w:shd w:val="clear" w:color="auto" w:fill="auto"/>
            <w:vAlign w:val="center"/>
          </w:tcPr>
          <w:p w14:paraId="1C0EF441" w14:textId="373B29D8" w:rsidR="00D62058" w:rsidRPr="00781112" w:rsidRDefault="00D62058" w:rsidP="00D62058">
            <w:pPr>
              <w:jc w:val="center"/>
              <w:rPr>
                <w:rFonts w:cs="Arial"/>
                <w:color w:val="000000" w:themeColor="text1"/>
                <w:szCs w:val="16"/>
              </w:rPr>
            </w:pPr>
            <w:r w:rsidRPr="00781112">
              <w:rPr>
                <w:rFonts w:cs="Arial"/>
                <w:color w:val="000000" w:themeColor="text1"/>
                <w:szCs w:val="16"/>
              </w:rPr>
              <w:t>1.20%</w:t>
            </w:r>
          </w:p>
        </w:tc>
        <w:tc>
          <w:tcPr>
            <w:tcW w:w="781" w:type="pct"/>
          </w:tcPr>
          <w:p w14:paraId="29CA6903" w14:textId="7D992541" w:rsidR="00D62058" w:rsidRPr="00781112" w:rsidRDefault="00D62058" w:rsidP="00D62058">
            <w:pPr>
              <w:jc w:val="center"/>
              <w:rPr>
                <w:rFonts w:cs="Arial"/>
                <w:color w:val="000000" w:themeColor="text1"/>
                <w:szCs w:val="16"/>
              </w:rPr>
            </w:pPr>
            <w:r w:rsidRPr="00781112">
              <w:rPr>
                <w:color w:val="000000" w:themeColor="text1"/>
                <w:szCs w:val="16"/>
              </w:rPr>
              <w:t>1.20%</w:t>
            </w:r>
          </w:p>
        </w:tc>
        <w:tc>
          <w:tcPr>
            <w:tcW w:w="781" w:type="pct"/>
          </w:tcPr>
          <w:p w14:paraId="552B6B09" w14:textId="511FB8CF" w:rsidR="00D62058" w:rsidRPr="00781112" w:rsidRDefault="00D62058" w:rsidP="00D62058">
            <w:pPr>
              <w:jc w:val="center"/>
              <w:rPr>
                <w:rFonts w:cs="Arial"/>
                <w:color w:val="000000" w:themeColor="text1"/>
                <w:szCs w:val="16"/>
              </w:rPr>
            </w:pPr>
            <w:r w:rsidRPr="00781112">
              <w:rPr>
                <w:color w:val="000000" w:themeColor="text1"/>
                <w:szCs w:val="16"/>
              </w:rPr>
              <w:t>1.20%</w:t>
            </w:r>
          </w:p>
        </w:tc>
        <w:tc>
          <w:tcPr>
            <w:tcW w:w="781" w:type="pct"/>
          </w:tcPr>
          <w:p w14:paraId="7DB61507" w14:textId="60C3D8B8" w:rsidR="00D62058" w:rsidRPr="00781112" w:rsidRDefault="00D62058" w:rsidP="00D62058">
            <w:pPr>
              <w:jc w:val="center"/>
              <w:rPr>
                <w:rFonts w:cs="Arial"/>
                <w:color w:val="000000" w:themeColor="text1"/>
                <w:szCs w:val="16"/>
              </w:rPr>
            </w:pPr>
            <w:r w:rsidRPr="00781112">
              <w:rPr>
                <w:color w:val="000000" w:themeColor="text1"/>
                <w:szCs w:val="16"/>
              </w:rPr>
              <w:t>1.10%</w:t>
            </w:r>
          </w:p>
        </w:tc>
        <w:tc>
          <w:tcPr>
            <w:tcW w:w="781" w:type="pct"/>
          </w:tcPr>
          <w:p w14:paraId="4D51A8CD" w14:textId="32D58B55" w:rsidR="00D62058" w:rsidRPr="00781112" w:rsidRDefault="00D62058" w:rsidP="00D62058">
            <w:pPr>
              <w:jc w:val="center"/>
              <w:rPr>
                <w:rFonts w:cs="Arial"/>
                <w:color w:val="000000" w:themeColor="text1"/>
                <w:szCs w:val="16"/>
              </w:rPr>
            </w:pPr>
            <w:r w:rsidRPr="00781112">
              <w:rPr>
                <w:color w:val="000000" w:themeColor="text1"/>
                <w:szCs w:val="16"/>
              </w:rPr>
              <w:t>1.10%</w:t>
            </w:r>
          </w:p>
        </w:tc>
        <w:tc>
          <w:tcPr>
            <w:tcW w:w="781" w:type="pct"/>
          </w:tcPr>
          <w:p w14:paraId="50C592AB" w14:textId="02D0AA40" w:rsidR="00D62058" w:rsidRPr="00781112" w:rsidRDefault="00D62058" w:rsidP="00D62058">
            <w:pPr>
              <w:jc w:val="center"/>
              <w:rPr>
                <w:rFonts w:cs="Arial"/>
                <w:color w:val="000000" w:themeColor="text1"/>
                <w:szCs w:val="16"/>
              </w:rPr>
            </w:pPr>
            <w:r w:rsidRPr="00781112">
              <w:rPr>
                <w:color w:val="000000" w:themeColor="text1"/>
                <w:szCs w:val="16"/>
              </w:rPr>
              <w:t>1.10%</w:t>
            </w:r>
          </w:p>
        </w:tc>
      </w:tr>
    </w:tbl>
    <w:p w14:paraId="7C8EA9A0" w14:textId="74543D19" w:rsidR="002D145D" w:rsidRPr="00781112" w:rsidRDefault="002D145D" w:rsidP="004369B2">
      <w:pPr>
        <w:rPr>
          <w:b/>
          <w:color w:val="000000" w:themeColor="text1"/>
        </w:rPr>
      </w:pPr>
      <w:r w:rsidRPr="00781112">
        <w:rPr>
          <w:b/>
          <w:color w:val="000000" w:themeColor="text1"/>
        </w:rPr>
        <w:t xml:space="preserve">Targets: Description of Stakeholder Input </w:t>
      </w:r>
    </w:p>
    <w:p w14:paraId="080E6720" w14:textId="1B438EC8" w:rsidR="002D145D" w:rsidRPr="00781112" w:rsidRDefault="00D60B5F" w:rsidP="002D145D">
      <w:pPr>
        <w:rPr>
          <w:rFonts w:cs="Arial"/>
          <w:color w:val="000000" w:themeColor="text1"/>
          <w:szCs w:val="16"/>
        </w:rPr>
      </w:pPr>
      <w:r w:rsidRPr="00781112">
        <w:rPr>
          <w:rFonts w:cs="Arial"/>
          <w:color w:val="000000" w:themeColor="text1"/>
          <w:szCs w:val="16"/>
        </w:rPr>
        <w:t>Louisiana has developed a comprehensive vision for the future of education in our state—Louisiana Believes. The driving force of this vision is that every one of Louisiana’s children should be on track to a college degree or a professional career. This inclusive vision and Louisiana’s values were apparent in the development of the SPP as we solicited and received broad stakeholder input to inform the target setting process for FFY 2020 - FFY 2025. The LDOE used three phases to develop the SPP targets for FFY 2020 - FFY 2025: 1) internal review, 2) external stakeholder feedback, and 3) Special Education Advisory Panel (SEAP) integration.</w:t>
      </w:r>
      <w:r w:rsidRPr="00781112">
        <w:rPr>
          <w:rFonts w:cs="Arial"/>
          <w:color w:val="000000" w:themeColor="text1"/>
          <w:szCs w:val="16"/>
        </w:rPr>
        <w:br/>
      </w:r>
      <w:r w:rsidRPr="00781112">
        <w:rPr>
          <w:rFonts w:cs="Arial"/>
          <w:color w:val="000000" w:themeColor="text1"/>
          <w:szCs w:val="16"/>
        </w:rPr>
        <w:br/>
        <w:t xml:space="preserve">Internal Review </w:t>
      </w:r>
      <w:r w:rsidRPr="00781112">
        <w:rPr>
          <w:rFonts w:cs="Arial"/>
          <w:color w:val="000000" w:themeColor="text1"/>
          <w:szCs w:val="16"/>
        </w:rPr>
        <w:br/>
        <w:t xml:space="preserve">The LDOE's Division for Diverse Learners reviewed historical data and LDOE policies, procedures, and practices; and collaborated with internal teams to develop targets that were rigorous and attainable. </w:t>
      </w:r>
      <w:r w:rsidRPr="00781112">
        <w:rPr>
          <w:rFonts w:cs="Arial"/>
          <w:color w:val="000000" w:themeColor="text1"/>
          <w:szCs w:val="16"/>
        </w:rPr>
        <w:br/>
      </w:r>
      <w:r w:rsidRPr="00781112">
        <w:rPr>
          <w:rFonts w:cs="Arial"/>
          <w:color w:val="000000" w:themeColor="text1"/>
          <w:szCs w:val="16"/>
        </w:rPr>
        <w:br/>
        <w:t>External Stakeholder Feedback</w:t>
      </w:r>
      <w:r w:rsidRPr="00781112">
        <w:rPr>
          <w:rFonts w:cs="Arial"/>
          <w:color w:val="000000" w:themeColor="text1"/>
          <w:szCs w:val="16"/>
        </w:rPr>
        <w:br/>
        <w:t xml:space="preserve">The Division for Diverse Learners developed and executed an SPP/APR target setting engagement strategy to solicit broad stakeholder feedback on the FFY 2020 - FFY 2025 targets. The LDOE developed a State Performance Plan / Annual Performance Report Target Setting webpage on the Louisiana Believes website. The webpage contains an overview document with an explanation of each indicator, historical data for each indicator, and tables to clearly identify whether or not the State met targets for each indicator. After review of the overview document, a target setting survey was available for stakeholders to provide input on targets. </w:t>
      </w:r>
      <w:r w:rsidRPr="00781112">
        <w:rPr>
          <w:rFonts w:cs="Arial"/>
          <w:color w:val="000000" w:themeColor="text1"/>
          <w:szCs w:val="16"/>
        </w:rPr>
        <w:br/>
      </w:r>
      <w:r w:rsidRPr="00781112">
        <w:rPr>
          <w:rFonts w:cs="Arial"/>
          <w:color w:val="000000" w:themeColor="text1"/>
          <w:szCs w:val="16"/>
        </w:rPr>
        <w:lastRenderedPageBreak/>
        <w:br/>
        <w:t>SEAP Integration</w:t>
      </w:r>
      <w:r w:rsidRPr="00781112">
        <w:rPr>
          <w:rFonts w:cs="Arial"/>
          <w:color w:val="000000" w:themeColor="text1"/>
          <w:szCs w:val="16"/>
        </w:rPr>
        <w:br/>
        <w:t>The LDOE informed the SEAP on the target setting process at two separate meetings. LDOE provided an overview of each indicator along with historical data to SEAP members who provided input. SEAP's structure also allows for public comments, which were exercised at the meetings, providing external stakeholder feedback.</w:t>
      </w:r>
      <w:r w:rsidRPr="00781112">
        <w:rPr>
          <w:rFonts w:cs="Arial"/>
          <w:color w:val="000000" w:themeColor="text1"/>
          <w:szCs w:val="16"/>
        </w:rPr>
        <w:br/>
      </w:r>
      <w:r w:rsidRPr="00781112">
        <w:rPr>
          <w:rFonts w:cs="Arial"/>
          <w:color w:val="000000" w:themeColor="text1"/>
          <w:szCs w:val="16"/>
        </w:rPr>
        <w:br/>
        <w:t>The LDOE set targets based on feedback, historical data, and whether previous targets set were met. LDOE will continue to monitor data, targets, and changes to Indicator methodology, and may revise targets in the future, as necessary. Any revisions will incorporate stakeholder feedback, including, but not limited to, SEAP.</w:t>
      </w:r>
    </w:p>
    <w:p w14:paraId="2B96DDD0" w14:textId="3E2ADE72" w:rsidR="002D145D" w:rsidRPr="00781112" w:rsidRDefault="002D145D" w:rsidP="002D145D">
      <w:pPr>
        <w:rPr>
          <w:rFonts w:cs="Arial"/>
          <w:color w:val="000000" w:themeColor="text1"/>
          <w:szCs w:val="16"/>
        </w:rPr>
      </w:pPr>
    </w:p>
    <w:p w14:paraId="5251E1B0" w14:textId="77777777" w:rsidR="004A4803" w:rsidRPr="00781112" w:rsidRDefault="004A4803" w:rsidP="004369B2">
      <w:pPr>
        <w:rPr>
          <w:color w:val="000000" w:themeColor="text1"/>
        </w:rPr>
      </w:pPr>
    </w:p>
    <w:p w14:paraId="4D7BF763" w14:textId="45C93061" w:rsidR="00931A25" w:rsidRPr="00781112" w:rsidRDefault="00931A25"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PREPOPDATA"/>
      </w:tblPr>
      <w:tblGrid>
        <w:gridCol w:w="2605"/>
        <w:gridCol w:w="2969"/>
        <w:gridCol w:w="3332"/>
        <w:gridCol w:w="1884"/>
      </w:tblGrid>
      <w:tr w:rsidR="005C29F8" w:rsidRPr="00781112" w14:paraId="7DC625CA" w14:textId="77777777" w:rsidTr="0033429D">
        <w:trPr>
          <w:trHeight w:val="372"/>
          <w:tblHeader/>
        </w:trPr>
        <w:tc>
          <w:tcPr>
            <w:tcW w:w="1207" w:type="pct"/>
            <w:shd w:val="clear" w:color="auto" w:fill="auto"/>
          </w:tcPr>
          <w:p w14:paraId="27CE7D2A"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Source</w:t>
            </w:r>
          </w:p>
        </w:tc>
        <w:tc>
          <w:tcPr>
            <w:tcW w:w="1376" w:type="pct"/>
            <w:shd w:val="clear" w:color="auto" w:fill="auto"/>
          </w:tcPr>
          <w:p w14:paraId="37A472D3"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Date</w:t>
            </w:r>
          </w:p>
        </w:tc>
        <w:tc>
          <w:tcPr>
            <w:tcW w:w="1544" w:type="pct"/>
            <w:shd w:val="clear" w:color="auto" w:fill="auto"/>
          </w:tcPr>
          <w:p w14:paraId="3AD5D5D4"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Description</w:t>
            </w:r>
          </w:p>
        </w:tc>
        <w:tc>
          <w:tcPr>
            <w:tcW w:w="873" w:type="pct"/>
            <w:shd w:val="clear" w:color="auto" w:fill="auto"/>
          </w:tcPr>
          <w:p w14:paraId="3879034D"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701A6E97" w14:textId="77777777" w:rsidTr="00AB0D6A">
        <w:trPr>
          <w:trHeight w:val="380"/>
        </w:trPr>
        <w:tc>
          <w:tcPr>
            <w:tcW w:w="1207" w:type="pct"/>
            <w:shd w:val="clear" w:color="auto" w:fill="auto"/>
            <w:vAlign w:val="center"/>
          </w:tcPr>
          <w:p w14:paraId="35A4BC35" w14:textId="73E52F94" w:rsidR="003C1852" w:rsidRPr="00781112" w:rsidRDefault="002B7490">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0BD5009E" w14:textId="3A5F2E3D" w:rsidR="003C1852"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05856C31" w14:textId="605373FB" w:rsidR="003C1852" w:rsidRPr="00781112" w:rsidRDefault="003C1852" w:rsidP="00E0321D">
            <w:pPr>
              <w:jc w:val="center"/>
              <w:rPr>
                <w:rFonts w:cs="Arial"/>
                <w:color w:val="000000" w:themeColor="text1"/>
                <w:szCs w:val="16"/>
              </w:rPr>
            </w:pPr>
            <w:r w:rsidRPr="00781112">
              <w:rPr>
                <w:rFonts w:cs="Arial"/>
                <w:color w:val="000000" w:themeColor="text1"/>
                <w:szCs w:val="16"/>
              </w:rPr>
              <w:t xml:space="preserve">Total number of children with IEPs aged </w:t>
            </w:r>
            <w:r w:rsidR="00185BA9" w:rsidRPr="00781112">
              <w:rPr>
                <w:rFonts w:cs="Arial"/>
                <w:szCs w:val="16"/>
              </w:rPr>
              <w:t>5 (kindergarten)</w:t>
            </w:r>
            <w:r w:rsidRPr="00781112">
              <w:rPr>
                <w:rFonts w:cs="Arial"/>
                <w:color w:val="000000" w:themeColor="text1"/>
                <w:szCs w:val="16"/>
              </w:rPr>
              <w:t xml:space="preserve"> through 21</w:t>
            </w:r>
          </w:p>
        </w:tc>
        <w:tc>
          <w:tcPr>
            <w:tcW w:w="873" w:type="pct"/>
            <w:shd w:val="clear" w:color="auto" w:fill="auto"/>
            <w:vAlign w:val="center"/>
          </w:tcPr>
          <w:p w14:paraId="6A944F84" w14:textId="31582347" w:rsidR="003C1852" w:rsidRPr="00781112" w:rsidRDefault="002B7490" w:rsidP="00E0321D">
            <w:pPr>
              <w:jc w:val="center"/>
              <w:rPr>
                <w:rFonts w:cs="Arial"/>
                <w:color w:val="000000" w:themeColor="text1"/>
                <w:szCs w:val="16"/>
              </w:rPr>
            </w:pPr>
            <w:r w:rsidRPr="00781112">
              <w:rPr>
                <w:rFonts w:cs="Arial"/>
                <w:color w:val="000000" w:themeColor="text1"/>
                <w:szCs w:val="16"/>
              </w:rPr>
              <w:t>69,566</w:t>
            </w:r>
          </w:p>
        </w:tc>
      </w:tr>
      <w:tr w:rsidR="005C29F8" w:rsidRPr="00781112" w14:paraId="774B0393" w14:textId="77777777" w:rsidTr="00AB0D6A">
        <w:trPr>
          <w:trHeight w:val="380"/>
        </w:trPr>
        <w:tc>
          <w:tcPr>
            <w:tcW w:w="1207" w:type="pct"/>
            <w:shd w:val="clear" w:color="auto" w:fill="auto"/>
            <w:vAlign w:val="center"/>
          </w:tcPr>
          <w:p w14:paraId="41118E4B" w14:textId="707D9C2B" w:rsidR="008A3DC6" w:rsidRPr="00781112" w:rsidRDefault="00FB785D">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598C9B67" w14:textId="1DDD1ECD" w:rsidR="008A3DC6"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02329530" w14:textId="7C955459"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A. Number of children with IEPs aged </w:t>
            </w:r>
            <w:r w:rsidR="00185BA9" w:rsidRPr="00781112">
              <w:rPr>
                <w:rFonts w:cs="Arial"/>
                <w:szCs w:val="16"/>
              </w:rPr>
              <w:t>5 (kindergarten)</w:t>
            </w:r>
            <w:r w:rsidRPr="00781112">
              <w:rPr>
                <w:rFonts w:cs="Arial"/>
                <w:color w:val="000000" w:themeColor="text1"/>
                <w:szCs w:val="16"/>
              </w:rPr>
              <w:t xml:space="preserve"> through 21 inside the regular class 80% or more of the day</w:t>
            </w:r>
          </w:p>
        </w:tc>
        <w:tc>
          <w:tcPr>
            <w:tcW w:w="873" w:type="pct"/>
            <w:shd w:val="clear" w:color="auto" w:fill="auto"/>
            <w:vAlign w:val="center"/>
          </w:tcPr>
          <w:p w14:paraId="699212F3" w14:textId="450EBDBF" w:rsidR="008A3DC6" w:rsidRPr="00781112" w:rsidRDefault="002B7490" w:rsidP="00E0321D">
            <w:pPr>
              <w:jc w:val="center"/>
              <w:rPr>
                <w:rFonts w:cs="Arial"/>
                <w:color w:val="000000" w:themeColor="text1"/>
                <w:szCs w:val="16"/>
              </w:rPr>
            </w:pPr>
            <w:r w:rsidRPr="00781112">
              <w:rPr>
                <w:rFonts w:cs="Arial"/>
                <w:color w:val="000000" w:themeColor="text1"/>
                <w:szCs w:val="16"/>
              </w:rPr>
              <w:t>50,071</w:t>
            </w:r>
          </w:p>
        </w:tc>
      </w:tr>
      <w:tr w:rsidR="005C29F8" w:rsidRPr="00781112" w14:paraId="1BE24412" w14:textId="77777777" w:rsidTr="00AB0D6A">
        <w:trPr>
          <w:trHeight w:val="380"/>
        </w:trPr>
        <w:tc>
          <w:tcPr>
            <w:tcW w:w="1207" w:type="pct"/>
            <w:shd w:val="clear" w:color="auto" w:fill="auto"/>
            <w:vAlign w:val="center"/>
          </w:tcPr>
          <w:p w14:paraId="13D524C0" w14:textId="46F357A5" w:rsidR="008A3DC6" w:rsidRPr="00781112" w:rsidRDefault="00FB785D">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72EFA773" w14:textId="00761F20" w:rsidR="008A3DC6"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6EF7CE7A" w14:textId="07D1D751"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B.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inside the regular class less than 40% of the day</w:t>
            </w:r>
          </w:p>
        </w:tc>
        <w:tc>
          <w:tcPr>
            <w:tcW w:w="873" w:type="pct"/>
            <w:shd w:val="clear" w:color="auto" w:fill="auto"/>
            <w:vAlign w:val="center"/>
          </w:tcPr>
          <w:p w14:paraId="33B90725" w14:textId="1FBE54FE" w:rsidR="008A3DC6" w:rsidRPr="00781112" w:rsidRDefault="002B7490" w:rsidP="00E0321D">
            <w:pPr>
              <w:jc w:val="center"/>
              <w:rPr>
                <w:rFonts w:cs="Arial"/>
                <w:color w:val="000000" w:themeColor="text1"/>
                <w:szCs w:val="16"/>
              </w:rPr>
            </w:pPr>
            <w:r w:rsidRPr="00781112">
              <w:rPr>
                <w:rFonts w:cs="Arial"/>
                <w:color w:val="000000" w:themeColor="text1"/>
                <w:szCs w:val="16"/>
              </w:rPr>
              <w:t>6,688</w:t>
            </w:r>
          </w:p>
        </w:tc>
      </w:tr>
      <w:tr w:rsidR="005C29F8" w:rsidRPr="00781112" w14:paraId="17A5A2B3" w14:textId="77777777" w:rsidTr="00AB0D6A">
        <w:trPr>
          <w:trHeight w:val="380"/>
        </w:trPr>
        <w:tc>
          <w:tcPr>
            <w:tcW w:w="1207" w:type="pct"/>
            <w:shd w:val="clear" w:color="auto" w:fill="auto"/>
            <w:vAlign w:val="center"/>
          </w:tcPr>
          <w:p w14:paraId="525A2ED8" w14:textId="4E94BB5B" w:rsidR="008A3DC6" w:rsidRPr="00781112" w:rsidRDefault="00FB785D">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68C3F92C" w14:textId="3AE47CC2" w:rsidR="008A3DC6"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413AEB9E" w14:textId="1B537E25"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c1. Number of children with IEPs aged </w:t>
            </w:r>
            <w:r w:rsidR="00185BA9" w:rsidRPr="00781112">
              <w:rPr>
                <w:rFonts w:cs="Arial"/>
                <w:szCs w:val="16"/>
              </w:rPr>
              <w:t>5 (kindergarten)</w:t>
            </w:r>
            <w:r w:rsidRPr="00781112">
              <w:rPr>
                <w:rFonts w:cs="Arial"/>
                <w:color w:val="000000" w:themeColor="text1"/>
                <w:szCs w:val="16"/>
              </w:rPr>
              <w:t xml:space="preserve"> through 21 in separate </w:t>
            </w:r>
            <w:r w:rsidR="00185BA9" w:rsidRPr="00781112">
              <w:rPr>
                <w:rFonts w:cs="Arial"/>
                <w:color w:val="000000" w:themeColor="text1"/>
                <w:szCs w:val="16"/>
              </w:rPr>
              <w:t>s</w:t>
            </w:r>
            <w:r w:rsidRPr="00781112">
              <w:rPr>
                <w:rFonts w:cs="Arial"/>
                <w:color w:val="000000" w:themeColor="text1"/>
                <w:szCs w:val="16"/>
              </w:rPr>
              <w:t>chools</w:t>
            </w:r>
          </w:p>
        </w:tc>
        <w:tc>
          <w:tcPr>
            <w:tcW w:w="873" w:type="pct"/>
            <w:shd w:val="clear" w:color="auto" w:fill="auto"/>
            <w:vAlign w:val="center"/>
          </w:tcPr>
          <w:p w14:paraId="0C6DF60D" w14:textId="1A57B1C5" w:rsidR="008A3DC6" w:rsidRPr="00781112" w:rsidRDefault="002B7490" w:rsidP="00E0321D">
            <w:pPr>
              <w:jc w:val="center"/>
              <w:rPr>
                <w:rFonts w:cs="Arial"/>
                <w:color w:val="000000" w:themeColor="text1"/>
                <w:szCs w:val="16"/>
              </w:rPr>
            </w:pPr>
            <w:r w:rsidRPr="00781112">
              <w:rPr>
                <w:rFonts w:cs="Arial"/>
                <w:color w:val="000000" w:themeColor="text1"/>
                <w:szCs w:val="16"/>
              </w:rPr>
              <w:t>265</w:t>
            </w:r>
          </w:p>
        </w:tc>
      </w:tr>
      <w:tr w:rsidR="005C29F8" w:rsidRPr="00781112" w14:paraId="7C327020" w14:textId="77777777" w:rsidTr="00AB0D6A">
        <w:trPr>
          <w:trHeight w:val="380"/>
        </w:trPr>
        <w:tc>
          <w:tcPr>
            <w:tcW w:w="1207" w:type="pct"/>
            <w:shd w:val="clear" w:color="auto" w:fill="auto"/>
            <w:vAlign w:val="center"/>
          </w:tcPr>
          <w:p w14:paraId="485F7D93" w14:textId="6A92F697" w:rsidR="008A3DC6" w:rsidRPr="00781112" w:rsidRDefault="00FB785D">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1261545C" w14:textId="230AF013" w:rsidR="008A3DC6"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3AEE0CBD" w14:textId="6D1B0F8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c2.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 residential facilities</w:t>
            </w:r>
          </w:p>
        </w:tc>
        <w:tc>
          <w:tcPr>
            <w:tcW w:w="873" w:type="pct"/>
            <w:shd w:val="clear" w:color="auto" w:fill="auto"/>
            <w:vAlign w:val="center"/>
          </w:tcPr>
          <w:p w14:paraId="596B74CB" w14:textId="6136D9E8" w:rsidR="008A3DC6" w:rsidRPr="00781112" w:rsidRDefault="002B7490" w:rsidP="00E0321D">
            <w:pPr>
              <w:jc w:val="center"/>
              <w:rPr>
                <w:rFonts w:cs="Arial"/>
                <w:color w:val="000000" w:themeColor="text1"/>
                <w:szCs w:val="16"/>
              </w:rPr>
            </w:pPr>
            <w:r w:rsidRPr="00781112">
              <w:rPr>
                <w:rFonts w:cs="Arial"/>
                <w:color w:val="000000" w:themeColor="text1"/>
                <w:szCs w:val="16"/>
              </w:rPr>
              <w:t>79</w:t>
            </w:r>
          </w:p>
        </w:tc>
      </w:tr>
      <w:tr w:rsidR="005C29F8" w:rsidRPr="00781112" w14:paraId="16FD0FC0" w14:textId="77777777" w:rsidTr="00AB0D6A">
        <w:trPr>
          <w:trHeight w:val="380"/>
        </w:trPr>
        <w:tc>
          <w:tcPr>
            <w:tcW w:w="1207" w:type="pct"/>
            <w:shd w:val="clear" w:color="auto" w:fill="auto"/>
            <w:vAlign w:val="center"/>
          </w:tcPr>
          <w:p w14:paraId="59885F77" w14:textId="75A8CDFC" w:rsidR="008A3DC6" w:rsidRPr="00781112" w:rsidRDefault="00FB785D">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5FC32D0C" w14:textId="67F32884" w:rsidR="008A3DC6"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5DA416E0" w14:textId="4230AAA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c3. Number of children with IEPs aged </w:t>
            </w:r>
            <w:r w:rsidR="00185BA9" w:rsidRPr="00781112">
              <w:rPr>
                <w:rFonts w:cs="Arial"/>
                <w:szCs w:val="16"/>
              </w:rPr>
              <w:t>5 (kindergarten)</w:t>
            </w:r>
            <w:r w:rsidRPr="00781112">
              <w:rPr>
                <w:rFonts w:cs="Arial"/>
                <w:color w:val="000000" w:themeColor="text1"/>
                <w:szCs w:val="16"/>
              </w:rPr>
              <w:t xml:space="preserve"> through 21 in homebound/hospital placements</w:t>
            </w:r>
          </w:p>
        </w:tc>
        <w:tc>
          <w:tcPr>
            <w:tcW w:w="873" w:type="pct"/>
            <w:shd w:val="clear" w:color="auto" w:fill="auto"/>
            <w:vAlign w:val="center"/>
          </w:tcPr>
          <w:p w14:paraId="7B0E7054" w14:textId="49D56445" w:rsidR="008A3DC6" w:rsidRPr="00781112" w:rsidRDefault="002B7490" w:rsidP="00E0321D">
            <w:pPr>
              <w:jc w:val="center"/>
              <w:rPr>
                <w:rFonts w:cs="Arial"/>
                <w:color w:val="000000" w:themeColor="text1"/>
                <w:szCs w:val="16"/>
              </w:rPr>
            </w:pPr>
            <w:r w:rsidRPr="00781112">
              <w:rPr>
                <w:rFonts w:cs="Arial"/>
                <w:color w:val="000000" w:themeColor="text1"/>
                <w:szCs w:val="16"/>
              </w:rPr>
              <w:t>552</w:t>
            </w:r>
          </w:p>
        </w:tc>
      </w:tr>
    </w:tbl>
    <w:p w14:paraId="5475FEBE" w14:textId="3E3663D3" w:rsidR="004A4803" w:rsidRPr="00781112" w:rsidRDefault="004A4803">
      <w:pPr>
        <w:rPr>
          <w:color w:val="000000" w:themeColor="text1"/>
        </w:rPr>
      </w:pPr>
    </w:p>
    <w:p w14:paraId="47A0647A" w14:textId="20BD9700" w:rsidR="00D60B5F" w:rsidRPr="00781112" w:rsidRDefault="00055C7A">
      <w:pPr>
        <w:rPr>
          <w:b/>
          <w:color w:val="000000" w:themeColor="text1"/>
        </w:rPr>
      </w:pPr>
      <w:r w:rsidRPr="00781112">
        <w:rPr>
          <w:b/>
          <w:color w:val="000000" w:themeColor="text1"/>
        </w:rPr>
        <w:t>Select yes if the data reported in this indicator are not the same as the State’s data reported under section 618 of the IDEA.</w:t>
      </w:r>
    </w:p>
    <w:p w14:paraId="7B71CB67" w14:textId="6BBC3C80" w:rsidR="00D60B5F" w:rsidRPr="00781112" w:rsidRDefault="00D60B5F">
      <w:pPr>
        <w:rPr>
          <w:color w:val="000000" w:themeColor="text1"/>
        </w:rPr>
      </w:pPr>
      <w:r w:rsidRPr="00781112">
        <w:rPr>
          <w:color w:val="000000" w:themeColor="text1"/>
        </w:rPr>
        <w:t>NO</w:t>
      </w:r>
    </w:p>
    <w:p w14:paraId="14F4B2C8" w14:textId="77777777" w:rsidR="0037431B" w:rsidRPr="00781112" w:rsidRDefault="0037431B" w:rsidP="004369B2">
      <w:pPr>
        <w:rPr>
          <w:color w:val="000000" w:themeColor="text1"/>
        </w:rPr>
      </w:pPr>
    </w:p>
    <w:p w14:paraId="7EFB6535" w14:textId="423710B3" w:rsidR="00805DD3" w:rsidRPr="00781112" w:rsidRDefault="00F6415A">
      <w:pPr>
        <w:rPr>
          <w:b/>
          <w:color w:val="000000" w:themeColor="text1"/>
        </w:rPr>
      </w:pPr>
      <w:r w:rsidRPr="00781112">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CFFYAPRDATA1"/>
      </w:tblPr>
      <w:tblGrid>
        <w:gridCol w:w="2245"/>
        <w:gridCol w:w="1395"/>
        <w:gridCol w:w="1397"/>
        <w:gridCol w:w="1151"/>
        <w:gridCol w:w="1151"/>
        <w:gridCol w:w="1151"/>
        <w:gridCol w:w="1150"/>
        <w:gridCol w:w="1150"/>
      </w:tblGrid>
      <w:tr w:rsidR="005C29F8" w:rsidRPr="00781112" w14:paraId="0324DF77" w14:textId="01438934" w:rsidTr="00360DD6">
        <w:trPr>
          <w:trHeight w:val="440"/>
          <w:tblHeader/>
        </w:trPr>
        <w:tc>
          <w:tcPr>
            <w:tcW w:w="1040" w:type="pct"/>
            <w:shd w:val="clear" w:color="auto" w:fill="auto"/>
            <w:vAlign w:val="bottom"/>
          </w:tcPr>
          <w:p w14:paraId="0D668D1B" w14:textId="6BB38C6B" w:rsidR="00931A25" w:rsidRPr="00781112" w:rsidRDefault="001F64DB" w:rsidP="004369B2">
            <w:pPr>
              <w:jc w:val="center"/>
              <w:rPr>
                <w:b/>
                <w:color w:val="000000" w:themeColor="text1"/>
              </w:rPr>
            </w:pPr>
            <w:r w:rsidRPr="00781112">
              <w:rPr>
                <w:b/>
                <w:color w:val="000000" w:themeColor="text1"/>
              </w:rPr>
              <w:t>Education Environments</w:t>
            </w:r>
          </w:p>
        </w:tc>
        <w:tc>
          <w:tcPr>
            <w:tcW w:w="646" w:type="pct"/>
            <w:shd w:val="clear" w:color="auto" w:fill="auto"/>
            <w:vAlign w:val="bottom"/>
          </w:tcPr>
          <w:p w14:paraId="323FF92F" w14:textId="6010A4DC" w:rsidR="00931A25" w:rsidRPr="00781112" w:rsidRDefault="00931A25" w:rsidP="004369B2">
            <w:pPr>
              <w:jc w:val="center"/>
              <w:rPr>
                <w:b/>
                <w:color w:val="000000" w:themeColor="text1"/>
              </w:rPr>
            </w:pPr>
            <w:r w:rsidRPr="00781112">
              <w:rPr>
                <w:b/>
                <w:color w:val="000000" w:themeColor="text1"/>
              </w:rPr>
              <w:t xml:space="preserve">Number of children with IEPs aged </w:t>
            </w:r>
            <w:r w:rsidR="00134567" w:rsidRPr="00781112">
              <w:rPr>
                <w:rFonts w:cs="Arial"/>
                <w:b/>
                <w:bCs/>
                <w:szCs w:val="16"/>
              </w:rPr>
              <w:t>5 (kindergarten)</w:t>
            </w:r>
            <w:r w:rsidRPr="00781112">
              <w:rPr>
                <w:b/>
                <w:color w:val="000000" w:themeColor="text1"/>
              </w:rPr>
              <w:t xml:space="preserve"> through 21 served</w:t>
            </w:r>
          </w:p>
        </w:tc>
        <w:tc>
          <w:tcPr>
            <w:tcW w:w="647" w:type="pct"/>
            <w:shd w:val="clear" w:color="auto" w:fill="auto"/>
            <w:vAlign w:val="bottom"/>
          </w:tcPr>
          <w:p w14:paraId="5B4758A3" w14:textId="799168FB" w:rsidR="00931A25" w:rsidRPr="00781112" w:rsidRDefault="00931A25" w:rsidP="004369B2">
            <w:pPr>
              <w:jc w:val="center"/>
              <w:rPr>
                <w:b/>
                <w:color w:val="000000" w:themeColor="text1"/>
              </w:rPr>
            </w:pPr>
            <w:r w:rsidRPr="00781112">
              <w:rPr>
                <w:b/>
                <w:color w:val="000000" w:themeColor="text1"/>
              </w:rPr>
              <w:t xml:space="preserve">Total number of children with IEPs aged </w:t>
            </w:r>
            <w:r w:rsidR="00134567" w:rsidRPr="00781112">
              <w:rPr>
                <w:rFonts w:cs="Arial"/>
                <w:b/>
                <w:bCs/>
                <w:szCs w:val="16"/>
              </w:rPr>
              <w:t>5 (kindergarten)</w:t>
            </w:r>
            <w:r w:rsidRPr="00781112">
              <w:rPr>
                <w:b/>
                <w:color w:val="000000" w:themeColor="text1"/>
              </w:rPr>
              <w:t xml:space="preserve"> through 21</w:t>
            </w:r>
          </w:p>
        </w:tc>
        <w:tc>
          <w:tcPr>
            <w:tcW w:w="533" w:type="pct"/>
            <w:shd w:val="clear" w:color="auto" w:fill="auto"/>
            <w:vAlign w:val="bottom"/>
          </w:tcPr>
          <w:p w14:paraId="5B2059E0" w14:textId="55887AEB" w:rsidR="00931A25" w:rsidRPr="00781112" w:rsidRDefault="00F6415A" w:rsidP="004369B2">
            <w:pPr>
              <w:jc w:val="center"/>
              <w:rPr>
                <w:b/>
                <w:color w:val="000000" w:themeColor="text1"/>
              </w:rPr>
            </w:pPr>
            <w:r w:rsidRPr="00781112">
              <w:rPr>
                <w:b/>
                <w:color w:val="000000" w:themeColor="text1"/>
              </w:rPr>
              <w:t>FFY 2019 Data</w:t>
            </w:r>
          </w:p>
        </w:tc>
        <w:tc>
          <w:tcPr>
            <w:tcW w:w="533" w:type="pct"/>
            <w:shd w:val="clear" w:color="auto" w:fill="auto"/>
            <w:vAlign w:val="bottom"/>
          </w:tcPr>
          <w:p w14:paraId="320127EA" w14:textId="6FE065AE" w:rsidR="00931A25" w:rsidRPr="00781112" w:rsidRDefault="00F6415A" w:rsidP="004369B2">
            <w:pPr>
              <w:jc w:val="center"/>
              <w:rPr>
                <w:b/>
                <w:color w:val="000000" w:themeColor="text1"/>
              </w:rPr>
            </w:pPr>
            <w:r w:rsidRPr="00781112">
              <w:rPr>
                <w:b/>
                <w:color w:val="000000" w:themeColor="text1"/>
              </w:rPr>
              <w:t>FFY 2020 Target</w:t>
            </w:r>
          </w:p>
        </w:tc>
        <w:tc>
          <w:tcPr>
            <w:tcW w:w="533" w:type="pct"/>
            <w:shd w:val="clear" w:color="auto" w:fill="auto"/>
            <w:vAlign w:val="bottom"/>
          </w:tcPr>
          <w:p w14:paraId="150C2675" w14:textId="0EA9BC06" w:rsidR="00931A25" w:rsidRPr="00781112" w:rsidRDefault="00F6415A" w:rsidP="004369B2">
            <w:pPr>
              <w:jc w:val="center"/>
              <w:rPr>
                <w:b/>
                <w:color w:val="000000" w:themeColor="text1"/>
              </w:rPr>
            </w:pPr>
            <w:r w:rsidRPr="00781112">
              <w:rPr>
                <w:b/>
                <w:color w:val="000000" w:themeColor="text1"/>
              </w:rPr>
              <w:t>FFY 2020 Data</w:t>
            </w:r>
          </w:p>
        </w:tc>
        <w:tc>
          <w:tcPr>
            <w:tcW w:w="533" w:type="pct"/>
            <w:shd w:val="clear" w:color="auto" w:fill="auto"/>
            <w:vAlign w:val="bottom"/>
          </w:tcPr>
          <w:p w14:paraId="08F715E4" w14:textId="7BB096AF" w:rsidR="00931A25" w:rsidRPr="00781112" w:rsidRDefault="00931A25" w:rsidP="004369B2">
            <w:pPr>
              <w:jc w:val="center"/>
              <w:rPr>
                <w:b/>
                <w:color w:val="000000" w:themeColor="text1"/>
              </w:rPr>
            </w:pPr>
            <w:r w:rsidRPr="00781112">
              <w:rPr>
                <w:b/>
                <w:color w:val="000000" w:themeColor="text1"/>
              </w:rPr>
              <w:t>Status</w:t>
            </w:r>
          </w:p>
        </w:tc>
        <w:tc>
          <w:tcPr>
            <w:tcW w:w="533" w:type="pct"/>
            <w:shd w:val="clear" w:color="auto" w:fill="auto"/>
            <w:vAlign w:val="bottom"/>
          </w:tcPr>
          <w:p w14:paraId="16F336C8" w14:textId="693FB9B1" w:rsidR="00931A25" w:rsidRPr="00781112" w:rsidRDefault="00931A25" w:rsidP="004369B2">
            <w:pPr>
              <w:jc w:val="center"/>
              <w:rPr>
                <w:b/>
                <w:color w:val="000000" w:themeColor="text1"/>
              </w:rPr>
            </w:pPr>
            <w:r w:rsidRPr="00781112">
              <w:rPr>
                <w:b/>
                <w:color w:val="000000" w:themeColor="text1"/>
              </w:rPr>
              <w:t>Slippage</w:t>
            </w:r>
          </w:p>
        </w:tc>
      </w:tr>
      <w:tr w:rsidR="005C29F8" w:rsidRPr="00781112" w14:paraId="0CF0446C" w14:textId="0B89548D" w:rsidTr="00360DD6">
        <w:trPr>
          <w:trHeight w:val="361"/>
        </w:trPr>
        <w:tc>
          <w:tcPr>
            <w:tcW w:w="1040" w:type="pct"/>
            <w:shd w:val="clear" w:color="auto" w:fill="auto"/>
            <w:vAlign w:val="center"/>
          </w:tcPr>
          <w:p w14:paraId="389D79B9" w14:textId="5A7555F3" w:rsidR="00631963" w:rsidRPr="00781112" w:rsidRDefault="00631963" w:rsidP="00631963">
            <w:pPr>
              <w:rPr>
                <w:rFonts w:cs="Arial"/>
                <w:color w:val="000000" w:themeColor="text1"/>
                <w:szCs w:val="16"/>
              </w:rPr>
            </w:pPr>
            <w:r w:rsidRPr="00781112">
              <w:rPr>
                <w:rFonts w:cs="Arial"/>
                <w:color w:val="000000" w:themeColor="text1"/>
                <w:szCs w:val="16"/>
              </w:rPr>
              <w:t>A.</w:t>
            </w:r>
            <w:r w:rsidRPr="00781112">
              <w:rPr>
                <w:rFonts w:cs="Arial"/>
                <w:color w:val="000000" w:themeColor="text1"/>
                <w:szCs w:val="16"/>
                <w:shd w:val="clear" w:color="auto" w:fill="FFFFFF"/>
              </w:rPr>
              <w:t xml:space="preserve">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80% or more of the day</w:t>
            </w:r>
          </w:p>
        </w:tc>
        <w:tc>
          <w:tcPr>
            <w:tcW w:w="646" w:type="pct"/>
            <w:shd w:val="clear" w:color="auto" w:fill="auto"/>
            <w:vAlign w:val="center"/>
          </w:tcPr>
          <w:p w14:paraId="0C538F78" w14:textId="211A39AD" w:rsidR="00631963" w:rsidRPr="00781112" w:rsidRDefault="002B7490" w:rsidP="00A018D4">
            <w:pPr>
              <w:jc w:val="center"/>
              <w:rPr>
                <w:rFonts w:cs="Arial"/>
                <w:color w:val="000000" w:themeColor="text1"/>
                <w:szCs w:val="16"/>
              </w:rPr>
            </w:pPr>
            <w:r w:rsidRPr="00781112">
              <w:rPr>
                <w:rFonts w:cs="Arial"/>
                <w:color w:val="000000" w:themeColor="text1"/>
                <w:szCs w:val="16"/>
              </w:rPr>
              <w:t>50,071</w:t>
            </w:r>
          </w:p>
        </w:tc>
        <w:tc>
          <w:tcPr>
            <w:tcW w:w="647" w:type="pct"/>
            <w:shd w:val="clear" w:color="auto" w:fill="auto"/>
            <w:vAlign w:val="center"/>
          </w:tcPr>
          <w:p w14:paraId="7CB3B03A" w14:textId="4A5E294F" w:rsidR="00631963" w:rsidRPr="00781112" w:rsidRDefault="002B7490" w:rsidP="00A018D4">
            <w:pPr>
              <w:jc w:val="center"/>
              <w:rPr>
                <w:rFonts w:cs="Arial"/>
                <w:color w:val="000000" w:themeColor="text1"/>
                <w:szCs w:val="16"/>
              </w:rPr>
            </w:pPr>
            <w:r w:rsidRPr="00781112">
              <w:rPr>
                <w:rFonts w:cs="Arial"/>
                <w:color w:val="000000" w:themeColor="text1"/>
                <w:szCs w:val="16"/>
              </w:rPr>
              <w:t>69,566</w:t>
            </w:r>
          </w:p>
        </w:tc>
        <w:tc>
          <w:tcPr>
            <w:tcW w:w="533" w:type="pct"/>
            <w:shd w:val="clear" w:color="auto" w:fill="auto"/>
            <w:vAlign w:val="center"/>
          </w:tcPr>
          <w:p w14:paraId="147CA5C5" w14:textId="139C91CB" w:rsidR="00631963" w:rsidRPr="00781112" w:rsidRDefault="002B7490" w:rsidP="00A018D4">
            <w:pPr>
              <w:jc w:val="center"/>
              <w:rPr>
                <w:rFonts w:cs="Arial"/>
                <w:color w:val="000000" w:themeColor="text1"/>
                <w:szCs w:val="16"/>
              </w:rPr>
            </w:pPr>
            <w:r w:rsidRPr="00781112">
              <w:rPr>
                <w:rFonts w:cs="Arial"/>
                <w:color w:val="000000" w:themeColor="text1"/>
                <w:szCs w:val="16"/>
              </w:rPr>
              <w:t>63.93%</w:t>
            </w:r>
          </w:p>
        </w:tc>
        <w:tc>
          <w:tcPr>
            <w:tcW w:w="533" w:type="pct"/>
            <w:shd w:val="clear" w:color="auto" w:fill="auto"/>
            <w:vAlign w:val="center"/>
          </w:tcPr>
          <w:p w14:paraId="497D8B9F" w14:textId="585C0A39" w:rsidR="00631963" w:rsidRPr="00781112" w:rsidRDefault="002B7490" w:rsidP="00A018D4">
            <w:pPr>
              <w:jc w:val="center"/>
              <w:rPr>
                <w:rFonts w:cs="Arial"/>
                <w:color w:val="000000" w:themeColor="text1"/>
                <w:szCs w:val="16"/>
              </w:rPr>
            </w:pPr>
            <w:r w:rsidRPr="00781112">
              <w:rPr>
                <w:rFonts w:cs="Arial"/>
                <w:color w:val="000000" w:themeColor="text1"/>
                <w:szCs w:val="16"/>
              </w:rPr>
              <w:t>72.00%</w:t>
            </w:r>
          </w:p>
        </w:tc>
        <w:tc>
          <w:tcPr>
            <w:tcW w:w="533" w:type="pct"/>
            <w:shd w:val="clear" w:color="auto" w:fill="auto"/>
            <w:vAlign w:val="center"/>
          </w:tcPr>
          <w:p w14:paraId="4B6AC9A3" w14:textId="0D7F6AEF" w:rsidR="00631963" w:rsidRPr="00781112" w:rsidRDefault="002B7490" w:rsidP="00A018D4">
            <w:pPr>
              <w:jc w:val="center"/>
              <w:rPr>
                <w:rFonts w:cs="Arial"/>
                <w:color w:val="000000" w:themeColor="text1"/>
                <w:szCs w:val="16"/>
              </w:rPr>
            </w:pPr>
            <w:r w:rsidRPr="00781112">
              <w:rPr>
                <w:rFonts w:cs="Arial"/>
                <w:color w:val="000000" w:themeColor="text1"/>
                <w:szCs w:val="16"/>
              </w:rPr>
              <w:t>71.98%</w:t>
            </w:r>
          </w:p>
        </w:tc>
        <w:tc>
          <w:tcPr>
            <w:tcW w:w="533" w:type="pct"/>
            <w:shd w:val="clear" w:color="auto" w:fill="auto"/>
            <w:vAlign w:val="center"/>
          </w:tcPr>
          <w:p w14:paraId="0D12A1DA" w14:textId="6C35FF67" w:rsidR="00631963"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533" w:type="pct"/>
            <w:shd w:val="clear" w:color="auto" w:fill="auto"/>
            <w:vAlign w:val="center"/>
          </w:tcPr>
          <w:p w14:paraId="2E7D658D" w14:textId="6E94158A" w:rsidR="00631963" w:rsidRPr="00781112" w:rsidRDefault="002B7490" w:rsidP="00A018D4">
            <w:pPr>
              <w:jc w:val="center"/>
              <w:rPr>
                <w:rFonts w:cs="Arial"/>
                <w:color w:val="000000" w:themeColor="text1"/>
                <w:szCs w:val="16"/>
              </w:rPr>
            </w:pPr>
            <w:r w:rsidRPr="00781112">
              <w:rPr>
                <w:rFonts w:cs="Arial"/>
                <w:color w:val="000000" w:themeColor="text1"/>
                <w:szCs w:val="16"/>
              </w:rPr>
              <w:t>N/A</w:t>
            </w:r>
          </w:p>
        </w:tc>
      </w:tr>
      <w:tr w:rsidR="005C29F8" w:rsidRPr="00781112" w14:paraId="0FEF5E26" w14:textId="1BAD9686" w:rsidTr="00360DD6">
        <w:trPr>
          <w:trHeight w:val="361"/>
        </w:trPr>
        <w:tc>
          <w:tcPr>
            <w:tcW w:w="1040" w:type="pct"/>
            <w:shd w:val="clear" w:color="auto" w:fill="auto"/>
            <w:vAlign w:val="center"/>
          </w:tcPr>
          <w:p w14:paraId="787D8C24" w14:textId="626F335A" w:rsidR="00631963" w:rsidRPr="00781112" w:rsidRDefault="00631963" w:rsidP="00631963">
            <w:pPr>
              <w:rPr>
                <w:rFonts w:cs="Arial"/>
                <w:color w:val="000000" w:themeColor="text1"/>
                <w:szCs w:val="16"/>
              </w:rPr>
            </w:pPr>
            <w:r w:rsidRPr="00781112">
              <w:rPr>
                <w:rFonts w:cs="Arial"/>
                <w:color w:val="000000" w:themeColor="text1"/>
                <w:szCs w:val="16"/>
                <w:shd w:val="clear" w:color="auto" w:fill="FFFFFF"/>
              </w:rPr>
              <w:t xml:space="preserve">B.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less than 40% of the day</w:t>
            </w:r>
          </w:p>
        </w:tc>
        <w:tc>
          <w:tcPr>
            <w:tcW w:w="646" w:type="pct"/>
            <w:shd w:val="clear" w:color="auto" w:fill="auto"/>
            <w:vAlign w:val="center"/>
          </w:tcPr>
          <w:p w14:paraId="03764807" w14:textId="322EE6A5" w:rsidR="00631963" w:rsidRPr="00781112" w:rsidRDefault="002B7490" w:rsidP="00A018D4">
            <w:pPr>
              <w:jc w:val="center"/>
              <w:rPr>
                <w:rFonts w:cs="Arial"/>
                <w:color w:val="000000" w:themeColor="text1"/>
                <w:szCs w:val="16"/>
              </w:rPr>
            </w:pPr>
            <w:r w:rsidRPr="00781112">
              <w:rPr>
                <w:rFonts w:cs="Arial"/>
                <w:color w:val="000000" w:themeColor="text1"/>
                <w:szCs w:val="16"/>
              </w:rPr>
              <w:t>6,688</w:t>
            </w:r>
          </w:p>
        </w:tc>
        <w:tc>
          <w:tcPr>
            <w:tcW w:w="647" w:type="pct"/>
            <w:shd w:val="clear" w:color="auto" w:fill="auto"/>
            <w:vAlign w:val="center"/>
          </w:tcPr>
          <w:p w14:paraId="6BB5ED43" w14:textId="72BAFF29" w:rsidR="00631963" w:rsidRPr="00781112" w:rsidRDefault="002B7490" w:rsidP="00A018D4">
            <w:pPr>
              <w:jc w:val="center"/>
              <w:rPr>
                <w:rFonts w:cs="Arial"/>
                <w:color w:val="000000" w:themeColor="text1"/>
                <w:szCs w:val="16"/>
              </w:rPr>
            </w:pPr>
            <w:r w:rsidRPr="00781112">
              <w:rPr>
                <w:rFonts w:cs="Arial"/>
                <w:color w:val="000000" w:themeColor="text1"/>
                <w:szCs w:val="16"/>
              </w:rPr>
              <w:t>69,566</w:t>
            </w:r>
          </w:p>
        </w:tc>
        <w:tc>
          <w:tcPr>
            <w:tcW w:w="533" w:type="pct"/>
            <w:shd w:val="clear" w:color="auto" w:fill="auto"/>
            <w:vAlign w:val="center"/>
          </w:tcPr>
          <w:p w14:paraId="3D5C1070" w14:textId="57DABC44" w:rsidR="00631963" w:rsidRPr="00781112" w:rsidRDefault="002B7490" w:rsidP="00A018D4">
            <w:pPr>
              <w:jc w:val="center"/>
              <w:rPr>
                <w:rFonts w:cs="Arial"/>
                <w:color w:val="000000" w:themeColor="text1"/>
                <w:szCs w:val="16"/>
              </w:rPr>
            </w:pPr>
            <w:r w:rsidRPr="00781112">
              <w:rPr>
                <w:rFonts w:cs="Arial"/>
                <w:color w:val="000000" w:themeColor="text1"/>
                <w:szCs w:val="16"/>
              </w:rPr>
              <w:t>14.00%</w:t>
            </w:r>
          </w:p>
        </w:tc>
        <w:tc>
          <w:tcPr>
            <w:tcW w:w="533" w:type="pct"/>
            <w:shd w:val="clear" w:color="auto" w:fill="auto"/>
            <w:vAlign w:val="center"/>
          </w:tcPr>
          <w:p w14:paraId="02F3CF00" w14:textId="6A81B00C" w:rsidR="00631963" w:rsidRPr="00781112" w:rsidRDefault="002B7490" w:rsidP="00A018D4">
            <w:pPr>
              <w:jc w:val="center"/>
              <w:rPr>
                <w:rFonts w:cs="Arial"/>
                <w:color w:val="000000" w:themeColor="text1"/>
                <w:szCs w:val="16"/>
              </w:rPr>
            </w:pPr>
            <w:r w:rsidRPr="00781112">
              <w:rPr>
                <w:rFonts w:cs="Arial"/>
                <w:color w:val="000000" w:themeColor="text1"/>
                <w:szCs w:val="16"/>
              </w:rPr>
              <w:t>9.50%</w:t>
            </w:r>
          </w:p>
        </w:tc>
        <w:tc>
          <w:tcPr>
            <w:tcW w:w="533" w:type="pct"/>
            <w:shd w:val="clear" w:color="auto" w:fill="auto"/>
            <w:vAlign w:val="center"/>
          </w:tcPr>
          <w:p w14:paraId="07434586" w14:textId="19522680" w:rsidR="00631963" w:rsidRPr="00781112" w:rsidRDefault="002B7490" w:rsidP="00A018D4">
            <w:pPr>
              <w:jc w:val="center"/>
              <w:rPr>
                <w:rFonts w:cs="Arial"/>
                <w:color w:val="000000" w:themeColor="text1"/>
                <w:szCs w:val="16"/>
              </w:rPr>
            </w:pPr>
            <w:r w:rsidRPr="00781112">
              <w:rPr>
                <w:rFonts w:cs="Arial"/>
                <w:color w:val="000000" w:themeColor="text1"/>
                <w:szCs w:val="16"/>
              </w:rPr>
              <w:t>9.61%</w:t>
            </w:r>
          </w:p>
        </w:tc>
        <w:tc>
          <w:tcPr>
            <w:tcW w:w="533" w:type="pct"/>
            <w:shd w:val="clear" w:color="auto" w:fill="auto"/>
            <w:vAlign w:val="center"/>
          </w:tcPr>
          <w:p w14:paraId="59BFCAE8" w14:textId="7F9BACFA" w:rsidR="00631963"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533" w:type="pct"/>
            <w:shd w:val="clear" w:color="auto" w:fill="auto"/>
            <w:vAlign w:val="center"/>
          </w:tcPr>
          <w:p w14:paraId="6D7448AA" w14:textId="1247E0AB" w:rsidR="00631963" w:rsidRPr="00781112" w:rsidRDefault="002B7490" w:rsidP="00A018D4">
            <w:pPr>
              <w:jc w:val="center"/>
              <w:rPr>
                <w:rFonts w:cs="Arial"/>
                <w:color w:val="000000" w:themeColor="text1"/>
                <w:szCs w:val="16"/>
              </w:rPr>
            </w:pPr>
            <w:r w:rsidRPr="00781112">
              <w:rPr>
                <w:rFonts w:cs="Arial"/>
                <w:color w:val="000000" w:themeColor="text1"/>
                <w:szCs w:val="16"/>
              </w:rPr>
              <w:t>N/A</w:t>
            </w:r>
          </w:p>
        </w:tc>
      </w:tr>
      <w:tr w:rsidR="005C29F8" w:rsidRPr="00781112" w14:paraId="18A60D9F" w14:textId="211489DF" w:rsidTr="00360DD6">
        <w:trPr>
          <w:trHeight w:val="361"/>
        </w:trPr>
        <w:tc>
          <w:tcPr>
            <w:tcW w:w="1040" w:type="pct"/>
            <w:shd w:val="clear" w:color="auto" w:fill="auto"/>
            <w:vAlign w:val="center"/>
          </w:tcPr>
          <w:p w14:paraId="0B4BA19D" w14:textId="5F11E8FF" w:rsidR="00631963" w:rsidRPr="00781112" w:rsidRDefault="00631963" w:rsidP="00631963">
            <w:pPr>
              <w:pStyle w:val="Explanation"/>
              <w:rPr>
                <w:rFonts w:cs="Arial"/>
                <w:color w:val="000000" w:themeColor="text1"/>
                <w:szCs w:val="16"/>
              </w:rPr>
            </w:pPr>
            <w:r w:rsidRPr="00781112">
              <w:rPr>
                <w:rFonts w:cs="Arial"/>
                <w:i w:val="0"/>
                <w:color w:val="000000" w:themeColor="text1"/>
                <w:szCs w:val="16"/>
                <w:shd w:val="clear" w:color="auto" w:fill="FFFFFF"/>
              </w:rPr>
              <w:t xml:space="preserve">C. Number of children with IEPs aged 5 (kindergarten) through 21 inside separate schools, residential facilities, or homebound/hospital placements </w:t>
            </w:r>
            <w:r w:rsidR="00163FA7" w:rsidRPr="00781112">
              <w:rPr>
                <w:rFonts w:cs="Arial"/>
                <w:color w:val="000000" w:themeColor="text1"/>
                <w:szCs w:val="16"/>
              </w:rPr>
              <w:t>[</w:t>
            </w:r>
            <w:r w:rsidRPr="00781112">
              <w:rPr>
                <w:rFonts w:cs="Arial"/>
                <w:color w:val="000000" w:themeColor="text1"/>
                <w:szCs w:val="16"/>
              </w:rPr>
              <w:t>c1+c2+c3</w:t>
            </w:r>
            <w:r w:rsidR="00163FA7" w:rsidRPr="00781112">
              <w:rPr>
                <w:rFonts w:cs="Arial"/>
                <w:color w:val="000000" w:themeColor="text1"/>
                <w:szCs w:val="16"/>
              </w:rPr>
              <w:t>]</w:t>
            </w:r>
          </w:p>
        </w:tc>
        <w:tc>
          <w:tcPr>
            <w:tcW w:w="646" w:type="pct"/>
            <w:shd w:val="clear" w:color="auto" w:fill="auto"/>
            <w:vAlign w:val="center"/>
          </w:tcPr>
          <w:p w14:paraId="6F83B928" w14:textId="3C12179B" w:rsidR="00631963" w:rsidRPr="00781112" w:rsidRDefault="002B7490" w:rsidP="00A018D4">
            <w:pPr>
              <w:jc w:val="center"/>
              <w:rPr>
                <w:rFonts w:cs="Arial"/>
                <w:color w:val="000000" w:themeColor="text1"/>
                <w:szCs w:val="16"/>
              </w:rPr>
            </w:pPr>
            <w:r w:rsidRPr="00781112">
              <w:rPr>
                <w:rFonts w:cs="Arial"/>
                <w:color w:val="000000" w:themeColor="text1"/>
                <w:szCs w:val="16"/>
              </w:rPr>
              <w:t>896</w:t>
            </w:r>
          </w:p>
        </w:tc>
        <w:tc>
          <w:tcPr>
            <w:tcW w:w="647" w:type="pct"/>
            <w:shd w:val="clear" w:color="auto" w:fill="auto"/>
            <w:vAlign w:val="center"/>
          </w:tcPr>
          <w:p w14:paraId="2B632B6B" w14:textId="0ADBABA1" w:rsidR="00631963" w:rsidRPr="00781112" w:rsidRDefault="002B7490" w:rsidP="00A018D4">
            <w:pPr>
              <w:jc w:val="center"/>
              <w:rPr>
                <w:rFonts w:cs="Arial"/>
                <w:color w:val="000000" w:themeColor="text1"/>
                <w:szCs w:val="16"/>
              </w:rPr>
            </w:pPr>
            <w:r w:rsidRPr="00781112">
              <w:rPr>
                <w:rFonts w:cs="Arial"/>
                <w:color w:val="000000" w:themeColor="text1"/>
                <w:szCs w:val="16"/>
              </w:rPr>
              <w:t>69,566</w:t>
            </w:r>
          </w:p>
        </w:tc>
        <w:tc>
          <w:tcPr>
            <w:tcW w:w="533" w:type="pct"/>
            <w:shd w:val="clear" w:color="auto" w:fill="auto"/>
            <w:vAlign w:val="center"/>
          </w:tcPr>
          <w:p w14:paraId="16857354" w14:textId="17E80039" w:rsidR="00631963" w:rsidRPr="00781112" w:rsidRDefault="002B7490" w:rsidP="00A018D4">
            <w:pPr>
              <w:jc w:val="center"/>
              <w:rPr>
                <w:rFonts w:cs="Arial"/>
                <w:color w:val="000000" w:themeColor="text1"/>
                <w:szCs w:val="16"/>
              </w:rPr>
            </w:pPr>
            <w:r w:rsidRPr="00781112">
              <w:rPr>
                <w:rFonts w:cs="Arial"/>
                <w:color w:val="000000" w:themeColor="text1"/>
                <w:szCs w:val="16"/>
              </w:rPr>
              <w:t>1.22%</w:t>
            </w:r>
          </w:p>
        </w:tc>
        <w:tc>
          <w:tcPr>
            <w:tcW w:w="533" w:type="pct"/>
            <w:shd w:val="clear" w:color="auto" w:fill="auto"/>
            <w:vAlign w:val="center"/>
          </w:tcPr>
          <w:p w14:paraId="10D1478E" w14:textId="0F36466F" w:rsidR="00631963" w:rsidRPr="00781112" w:rsidRDefault="002B7490" w:rsidP="00A018D4">
            <w:pPr>
              <w:jc w:val="center"/>
              <w:rPr>
                <w:rFonts w:cs="Arial"/>
                <w:color w:val="000000" w:themeColor="text1"/>
                <w:szCs w:val="16"/>
              </w:rPr>
            </w:pPr>
            <w:r w:rsidRPr="00781112">
              <w:rPr>
                <w:rFonts w:cs="Arial"/>
                <w:color w:val="000000" w:themeColor="text1"/>
                <w:szCs w:val="16"/>
              </w:rPr>
              <w:t>1.20%</w:t>
            </w:r>
          </w:p>
        </w:tc>
        <w:tc>
          <w:tcPr>
            <w:tcW w:w="533" w:type="pct"/>
            <w:shd w:val="clear" w:color="auto" w:fill="auto"/>
            <w:vAlign w:val="center"/>
          </w:tcPr>
          <w:p w14:paraId="2E9E2BFC" w14:textId="26FEF90C" w:rsidR="00631963" w:rsidRPr="00781112" w:rsidRDefault="002B7490" w:rsidP="00A018D4">
            <w:pPr>
              <w:jc w:val="center"/>
              <w:rPr>
                <w:rFonts w:cs="Arial"/>
                <w:color w:val="000000" w:themeColor="text1"/>
                <w:szCs w:val="16"/>
              </w:rPr>
            </w:pPr>
            <w:r w:rsidRPr="00781112">
              <w:rPr>
                <w:rFonts w:cs="Arial"/>
                <w:color w:val="000000" w:themeColor="text1"/>
                <w:szCs w:val="16"/>
              </w:rPr>
              <w:t>1.29%</w:t>
            </w:r>
          </w:p>
        </w:tc>
        <w:tc>
          <w:tcPr>
            <w:tcW w:w="533" w:type="pct"/>
            <w:shd w:val="clear" w:color="auto" w:fill="auto"/>
            <w:vAlign w:val="center"/>
          </w:tcPr>
          <w:p w14:paraId="5321D014" w14:textId="1EA51894" w:rsidR="00631963"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533" w:type="pct"/>
            <w:shd w:val="clear" w:color="auto" w:fill="auto"/>
            <w:vAlign w:val="center"/>
          </w:tcPr>
          <w:p w14:paraId="2BFA05A8" w14:textId="3EACA9BA" w:rsidR="00631963"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073B208C" w14:textId="4B79EDF3" w:rsidR="006C575D" w:rsidRPr="00781112" w:rsidRDefault="006C575D" w:rsidP="004369B2">
      <w:pPr>
        <w:rPr>
          <w:b/>
          <w:color w:val="000000" w:themeColor="text1"/>
        </w:rPr>
      </w:pPr>
      <w:r w:rsidRPr="00781112">
        <w:rPr>
          <w:b/>
          <w:color w:val="000000" w:themeColor="text1"/>
        </w:rPr>
        <w:t>Provide additional information about this indicator (optional)</w:t>
      </w:r>
    </w:p>
    <w:p w14:paraId="2F810D98" w14:textId="08328771" w:rsidR="003C308E" w:rsidRPr="00781112" w:rsidRDefault="003C308E" w:rsidP="007D435F">
      <w:pPr>
        <w:rPr>
          <w:rFonts w:cs="Arial"/>
          <w:color w:val="000000" w:themeColor="text1"/>
          <w:szCs w:val="16"/>
        </w:rPr>
      </w:pPr>
    </w:p>
    <w:p w14:paraId="0B7E5CD7" w14:textId="77777777" w:rsidR="004A4803" w:rsidRPr="00781112" w:rsidRDefault="004A4803" w:rsidP="004369B2">
      <w:pPr>
        <w:rPr>
          <w:color w:val="000000" w:themeColor="text1"/>
        </w:rPr>
      </w:pPr>
    </w:p>
    <w:p w14:paraId="68DA7415" w14:textId="0FE711BA" w:rsidR="000A2C83" w:rsidRPr="00781112" w:rsidRDefault="007B5383" w:rsidP="008645AD">
      <w:pPr>
        <w:pStyle w:val="Heading2"/>
      </w:pPr>
      <w:r w:rsidRPr="00781112">
        <w:t>5</w:t>
      </w:r>
      <w:r w:rsidR="002203FA" w:rsidRPr="00781112">
        <w:t xml:space="preserve"> </w:t>
      </w:r>
      <w:r w:rsidRPr="00781112">
        <w:t xml:space="preserve">- </w:t>
      </w:r>
      <w:r w:rsidR="000A2C83" w:rsidRPr="00781112">
        <w:t>Prior FFY Required Actions</w:t>
      </w:r>
    </w:p>
    <w:p w14:paraId="2C73DADD" w14:textId="6039179B" w:rsidR="00163FA7" w:rsidRPr="00781112" w:rsidRDefault="002B7490" w:rsidP="000A2C83">
      <w:pPr>
        <w:rPr>
          <w:rFonts w:cs="Arial"/>
          <w:color w:val="000000" w:themeColor="text1"/>
          <w:szCs w:val="16"/>
        </w:rPr>
      </w:pPr>
      <w:r w:rsidRPr="00781112">
        <w:rPr>
          <w:rFonts w:cs="Arial"/>
          <w:color w:val="000000" w:themeColor="text1"/>
          <w:szCs w:val="16"/>
        </w:rPr>
        <w:t>None</w:t>
      </w:r>
    </w:p>
    <w:p w14:paraId="30448C87" w14:textId="2E9FCBE3" w:rsidR="006C575D" w:rsidRPr="00781112" w:rsidRDefault="007B5383" w:rsidP="008645AD">
      <w:pPr>
        <w:pStyle w:val="Heading2"/>
      </w:pPr>
      <w:r w:rsidRPr="00781112">
        <w:t>5 - OSEP Response</w:t>
      </w:r>
    </w:p>
    <w:p w14:paraId="63E8B575" w14:textId="0FE467D2" w:rsidR="003C308E" w:rsidRPr="00781112" w:rsidRDefault="002B7490" w:rsidP="001F692C">
      <w:pPr>
        <w:rPr>
          <w:rFonts w:cs="Arial"/>
          <w:color w:val="000000" w:themeColor="text1"/>
          <w:szCs w:val="16"/>
        </w:rPr>
      </w:pPr>
      <w:r w:rsidRPr="00781112">
        <w:rPr>
          <w:rFonts w:cs="Arial"/>
          <w:color w:val="000000" w:themeColor="text1"/>
          <w:szCs w:val="16"/>
        </w:rPr>
        <w:t>The State has revised the baseline for this indicator, using data from FFY 2020, and OSEP accepts that revision.</w:t>
      </w:r>
      <w:r w:rsidRPr="00781112">
        <w:rPr>
          <w:rFonts w:cs="Arial"/>
          <w:color w:val="000000" w:themeColor="text1"/>
          <w:szCs w:val="16"/>
        </w:rPr>
        <w:br/>
      </w:r>
      <w:r w:rsidRPr="00781112">
        <w:rPr>
          <w:rFonts w:cs="Arial"/>
          <w:color w:val="000000" w:themeColor="text1"/>
          <w:szCs w:val="16"/>
        </w:rPr>
        <w:br/>
        <w:t>The State provided targets for FFYs 2020 through 2025 for this indicator, and OSEP accepts those targets.</w:t>
      </w:r>
    </w:p>
    <w:p w14:paraId="66CCD9C9" w14:textId="435D8999" w:rsidR="006C575D" w:rsidRPr="00781112" w:rsidRDefault="007B5383" w:rsidP="008645AD">
      <w:pPr>
        <w:pStyle w:val="Heading2"/>
      </w:pPr>
      <w:r w:rsidRPr="00781112">
        <w:t>5 - Required Actions</w:t>
      </w:r>
    </w:p>
    <w:p w14:paraId="140EB887" w14:textId="21164854" w:rsidR="003C308E" w:rsidRPr="00781112" w:rsidRDefault="003C308E" w:rsidP="001F692C">
      <w:pPr>
        <w:rPr>
          <w:rFonts w:cs="Arial"/>
          <w:color w:val="000000" w:themeColor="text1"/>
          <w:szCs w:val="16"/>
        </w:rPr>
      </w:pPr>
    </w:p>
    <w:p w14:paraId="0AFF9CFF"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5527AAE" w14:textId="2D7C47BF" w:rsidR="00D21EAA" w:rsidRPr="00781112" w:rsidRDefault="00D21EAA" w:rsidP="000444E2">
      <w:pPr>
        <w:pStyle w:val="Heading1"/>
        <w:rPr>
          <w:color w:val="000000" w:themeColor="text1"/>
          <w:sz w:val="22"/>
        </w:rPr>
      </w:pPr>
      <w:r w:rsidRPr="00781112">
        <w:rPr>
          <w:color w:val="000000" w:themeColor="text1"/>
          <w:sz w:val="22"/>
        </w:rPr>
        <w:lastRenderedPageBreak/>
        <w:t>Indicator 6: Preschool Environments</w:t>
      </w:r>
    </w:p>
    <w:p w14:paraId="0EEB38B7" w14:textId="59C9FCA0" w:rsidR="00897094" w:rsidRPr="00781112" w:rsidRDefault="00897094" w:rsidP="00A018D4">
      <w:pPr>
        <w:rPr>
          <w:color w:val="000000" w:themeColor="text1"/>
          <w:szCs w:val="20"/>
        </w:rPr>
      </w:pPr>
      <w:bookmarkStart w:id="33" w:name="_Toc392159299"/>
      <w:r w:rsidRPr="00781112">
        <w:rPr>
          <w:b/>
          <w:color w:val="000000" w:themeColor="text1"/>
          <w:sz w:val="20"/>
          <w:szCs w:val="20"/>
        </w:rPr>
        <w:t>Instructions and Measurement</w:t>
      </w:r>
    </w:p>
    <w:p w14:paraId="38394246" w14:textId="27FF79AA" w:rsidR="00CC634E" w:rsidRPr="00781112" w:rsidRDefault="00CC634E" w:rsidP="004369B2">
      <w:pPr>
        <w:rPr>
          <w:color w:val="000000" w:themeColor="text1"/>
        </w:rPr>
      </w:pPr>
      <w:r w:rsidRPr="00781112">
        <w:rPr>
          <w:b/>
          <w:color w:val="000000" w:themeColor="text1"/>
        </w:rPr>
        <w:t xml:space="preserve">Monitoring Priority: </w:t>
      </w:r>
      <w:r w:rsidRPr="00781112">
        <w:rPr>
          <w:color w:val="000000" w:themeColor="text1"/>
        </w:rPr>
        <w:t>FAPE in the LRE</w:t>
      </w:r>
    </w:p>
    <w:p w14:paraId="07B041D6" w14:textId="3EA0507C"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w:t>
      </w:r>
      <w:r w:rsidR="00BE028C" w:rsidRPr="00781112">
        <w:rPr>
          <w:rFonts w:cs="Arial"/>
          <w:color w:val="000000" w:themeColor="text1"/>
          <w:szCs w:val="16"/>
        </w:rPr>
        <w:t xml:space="preserve"> </w:t>
      </w:r>
      <w:r w:rsidRPr="00781112">
        <w:rPr>
          <w:rFonts w:cs="Arial"/>
          <w:color w:val="000000" w:themeColor="text1"/>
          <w:szCs w:val="16"/>
        </w:rPr>
        <w:t xml:space="preserve">with IEPs </w:t>
      </w:r>
      <w:r w:rsidR="000B1A1B" w:rsidRPr="00781112">
        <w:rPr>
          <w:rFonts w:cs="Arial"/>
          <w:color w:val="000000" w:themeColor="text1"/>
          <w:szCs w:val="16"/>
        </w:rPr>
        <w:t xml:space="preserve">aged 3, 4, and aged 5 who are enrolled in a preschool program </w:t>
      </w:r>
      <w:r w:rsidRPr="00781112">
        <w:rPr>
          <w:rFonts w:cs="Arial"/>
          <w:color w:val="000000" w:themeColor="text1"/>
          <w:szCs w:val="16"/>
        </w:rPr>
        <w:t>attending a:</w:t>
      </w:r>
    </w:p>
    <w:p w14:paraId="0FDA7062" w14:textId="4CA83104" w:rsidR="00CC634E" w:rsidRPr="00781112" w:rsidRDefault="005F3399" w:rsidP="006A01BD">
      <w:pPr>
        <w:ind w:left="720"/>
        <w:rPr>
          <w:rFonts w:cs="Arial"/>
          <w:color w:val="000000" w:themeColor="text1"/>
          <w:szCs w:val="16"/>
        </w:rPr>
      </w:pPr>
      <w:r w:rsidRPr="00781112">
        <w:rPr>
          <w:rFonts w:cs="Arial"/>
          <w:color w:val="000000" w:themeColor="text1"/>
          <w:szCs w:val="16"/>
        </w:rPr>
        <w:t>A. Regular early childhood program and receiving the majority of special education and related services in the regular early childhood program; and</w:t>
      </w:r>
    </w:p>
    <w:p w14:paraId="4A161793" w14:textId="6574C625" w:rsidR="00CC634E" w:rsidRPr="00781112" w:rsidRDefault="005F3399" w:rsidP="006A01BD">
      <w:pPr>
        <w:ind w:firstLine="720"/>
        <w:rPr>
          <w:rFonts w:cs="Arial"/>
          <w:color w:val="000000" w:themeColor="text1"/>
          <w:szCs w:val="16"/>
        </w:rPr>
      </w:pPr>
      <w:r w:rsidRPr="00781112">
        <w:rPr>
          <w:rFonts w:cs="Arial"/>
          <w:color w:val="000000" w:themeColor="text1"/>
          <w:szCs w:val="16"/>
        </w:rPr>
        <w:t>B. Separate special education class, separate school or residential facility.</w:t>
      </w:r>
    </w:p>
    <w:p w14:paraId="797114DB" w14:textId="5A0252FB" w:rsidR="003608F9" w:rsidRPr="00781112" w:rsidRDefault="003608F9" w:rsidP="00360DD6">
      <w:pPr>
        <w:ind w:left="360"/>
        <w:rPr>
          <w:rFonts w:cs="Arial"/>
          <w:szCs w:val="16"/>
        </w:rPr>
      </w:pPr>
      <w:r w:rsidRPr="00781112">
        <w:rPr>
          <w:rFonts w:cs="Arial"/>
          <w:color w:val="000000" w:themeColor="text1"/>
          <w:szCs w:val="16"/>
        </w:rPr>
        <w:tab/>
        <w:t xml:space="preserve">C. </w:t>
      </w:r>
      <w:r w:rsidRPr="00781112">
        <w:rPr>
          <w:rFonts w:cs="Arial"/>
          <w:szCs w:val="16"/>
        </w:rPr>
        <w:t>Receiving special education and related services in the home.</w:t>
      </w:r>
    </w:p>
    <w:p w14:paraId="1AC955CF" w14:textId="38EDB6BF"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7FA9AD7" w14:textId="77777777" w:rsidR="005322B8" w:rsidRPr="00781112" w:rsidRDefault="005322B8" w:rsidP="004369B2">
      <w:pPr>
        <w:rPr>
          <w:color w:val="000000" w:themeColor="text1"/>
        </w:rPr>
      </w:pPr>
      <w:r w:rsidRPr="00781112">
        <w:rPr>
          <w:b/>
          <w:color w:val="000000" w:themeColor="text1"/>
        </w:rPr>
        <w:t>Data Source</w:t>
      </w:r>
    </w:p>
    <w:p w14:paraId="7412FE19" w14:textId="736BCFC9" w:rsidR="005322B8" w:rsidRPr="00781112" w:rsidRDefault="005322B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EDFacts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089.</w:t>
      </w:r>
    </w:p>
    <w:p w14:paraId="17AAF6AD" w14:textId="77777777" w:rsidR="005322B8" w:rsidRPr="00781112" w:rsidRDefault="005322B8" w:rsidP="004369B2">
      <w:pPr>
        <w:rPr>
          <w:color w:val="000000" w:themeColor="text1"/>
        </w:rPr>
      </w:pPr>
      <w:r w:rsidRPr="00781112">
        <w:rPr>
          <w:b/>
          <w:color w:val="000000" w:themeColor="text1"/>
        </w:rPr>
        <w:t>Measurement</w:t>
      </w:r>
    </w:p>
    <w:p w14:paraId="14C60C6A" w14:textId="3C4928BE" w:rsidR="005322B8" w:rsidRPr="00781112" w:rsidRDefault="00724BCB" w:rsidP="00286BDF">
      <w:pPr>
        <w:rPr>
          <w:rFonts w:cs="Arial"/>
          <w:color w:val="000000" w:themeColor="text1"/>
          <w:szCs w:val="16"/>
        </w:rPr>
      </w:pPr>
      <w:r w:rsidRPr="00781112">
        <w:rPr>
          <w:rFonts w:cs="Arial"/>
          <w:color w:val="000000" w:themeColor="text1"/>
          <w:szCs w:val="16"/>
        </w:rPr>
        <w:tab/>
        <w:t>A. Percent</w:t>
      </w:r>
      <w:r w:rsidR="005322B8" w:rsidRPr="00781112">
        <w:rPr>
          <w:rFonts w:cs="Arial"/>
          <w:color w:val="000000" w:themeColor="text1"/>
          <w:szCs w:val="16"/>
          <w:shd w:val="clear" w:color="auto" w:fill="FFFFFF"/>
        </w:rPr>
        <w:t xml:space="preserve"> = </w:t>
      </w:r>
      <w:r w:rsidR="00B2497F" w:rsidRPr="00781112">
        <w:rPr>
          <w:rFonts w:cs="Arial"/>
          <w:color w:val="000000" w:themeColor="text1"/>
          <w:szCs w:val="16"/>
          <w:shd w:val="clear" w:color="auto" w:fill="FFFFFF"/>
        </w:rPr>
        <w:t xml:space="preserve">[(# </w:t>
      </w:r>
      <w:r w:rsidR="005322B8" w:rsidRPr="00781112">
        <w:rPr>
          <w:rFonts w:cs="Arial"/>
          <w:color w:val="000000" w:themeColor="text1"/>
          <w:szCs w:val="16"/>
          <w:shd w:val="clear" w:color="auto" w:fill="FFFFFF"/>
        </w:rPr>
        <w:t>of children age</w:t>
      </w:r>
      <w:r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regular early childhood program and receiving the majority of special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education and related services in the regular early childhood program) divided by the (total # of children age</w:t>
      </w:r>
      <w:r w:rsidR="00774DE0"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774DE0"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100.</w:t>
      </w:r>
    </w:p>
    <w:p w14:paraId="0CD6EF84" w14:textId="4020B61A" w:rsidR="005322B8" w:rsidRPr="00781112" w:rsidRDefault="00774DE0" w:rsidP="00286BDF">
      <w:pPr>
        <w:rPr>
          <w:rFonts w:cs="Arial"/>
          <w:color w:val="000000" w:themeColor="text1"/>
          <w:szCs w:val="16"/>
          <w:shd w:val="clear" w:color="auto" w:fill="FFFFFF"/>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separate special education class, separate school or residential facility) </w:t>
      </w:r>
      <w:r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divided by the (total #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100.</w:t>
      </w:r>
    </w:p>
    <w:p w14:paraId="48F03EFA" w14:textId="54A1E7EC" w:rsidR="00774DE0" w:rsidRPr="00781112" w:rsidRDefault="002C5A1B" w:rsidP="00360DD6">
      <w:pPr>
        <w:ind w:left="360"/>
        <w:rPr>
          <w:rFonts w:cs="Arial"/>
          <w:szCs w:val="16"/>
        </w:rPr>
      </w:pPr>
      <w:r w:rsidRPr="00781112">
        <w:rPr>
          <w:rFonts w:cs="Arial"/>
          <w:color w:val="000000" w:themeColor="text1"/>
          <w:szCs w:val="16"/>
          <w:shd w:val="clear" w:color="auto" w:fill="FFFFFF"/>
        </w:rPr>
        <w:tab/>
      </w:r>
      <w:r w:rsidR="007E77D6" w:rsidRPr="00781112">
        <w:rPr>
          <w:rFonts w:cs="Arial"/>
          <w:color w:val="000000" w:themeColor="text1"/>
          <w:szCs w:val="16"/>
          <w:shd w:val="clear" w:color="auto" w:fill="FFFFFF"/>
        </w:rPr>
        <w:t xml:space="preserve">C. </w:t>
      </w:r>
      <w:r w:rsidRPr="00781112">
        <w:rPr>
          <w:rFonts w:cs="Arial"/>
          <w:szCs w:val="16"/>
        </w:rPr>
        <w:t xml:space="preserve">Percent = [(# of children ages 3, 4, and 5 with IEPs receiving special education and related services in the home) divided by the (total # of </w:t>
      </w:r>
      <w:r w:rsidRPr="00781112">
        <w:rPr>
          <w:rFonts w:cs="Arial"/>
          <w:szCs w:val="16"/>
        </w:rPr>
        <w:tab/>
        <w:t>children ages 3, 4, and 5 with IEPs)] times 100.</w:t>
      </w:r>
    </w:p>
    <w:p w14:paraId="2CAF467D" w14:textId="77777777" w:rsidR="005322B8" w:rsidRPr="00781112" w:rsidRDefault="005322B8" w:rsidP="004369B2">
      <w:pPr>
        <w:rPr>
          <w:color w:val="000000" w:themeColor="text1"/>
        </w:rPr>
      </w:pPr>
      <w:r w:rsidRPr="00781112">
        <w:rPr>
          <w:b/>
          <w:color w:val="000000" w:themeColor="text1"/>
        </w:rPr>
        <w:t>Instructions</w:t>
      </w:r>
    </w:p>
    <w:p w14:paraId="5B2FF157" w14:textId="6FABC6E7" w:rsidR="005322B8" w:rsidRPr="00781112" w:rsidRDefault="005322B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4451A4DB" w14:textId="77777777" w:rsidR="00426EC6" w:rsidRPr="00781112" w:rsidRDefault="00426EC6" w:rsidP="00426EC6">
      <w:pPr>
        <w:rPr>
          <w:rFonts w:cs="Arial"/>
          <w:szCs w:val="16"/>
        </w:rPr>
      </w:pPr>
      <w:r w:rsidRPr="00781112">
        <w:rPr>
          <w:rFonts w:cs="Arial"/>
          <w:szCs w:val="16"/>
        </w:rPr>
        <w:t>States must report five-year-old children with disabilities who are enrolled in preschool programs in this indicator. Five-year-old children with disabilities who are enrolled in kindergarten are included in Indicator 5.</w:t>
      </w:r>
    </w:p>
    <w:p w14:paraId="0B2E3F2D" w14:textId="77777777" w:rsidR="00426EC6" w:rsidRPr="00781112" w:rsidRDefault="00426EC6" w:rsidP="00426EC6">
      <w:pPr>
        <w:rPr>
          <w:rFonts w:cs="Arial"/>
          <w:szCs w:val="16"/>
        </w:rPr>
      </w:pPr>
      <w:r w:rsidRPr="00781112">
        <w:rPr>
          <w:rFonts w:cs="Arial"/>
          <w:szCs w:val="16"/>
        </w:rPr>
        <w:t>States may choose to set one target that is inclusive of children ages 3, 4, and 5, or set individual targets for each age.</w:t>
      </w:r>
    </w:p>
    <w:p w14:paraId="7F82A520" w14:textId="77777777" w:rsidR="00633044" w:rsidRPr="00781112" w:rsidRDefault="00633044" w:rsidP="00633044">
      <w:pPr>
        <w:rPr>
          <w:rFonts w:cs="Arial"/>
          <w:szCs w:val="16"/>
        </w:rPr>
      </w:pPr>
      <w:r w:rsidRPr="00781112">
        <w:rPr>
          <w:rFonts w:cs="Arial"/>
          <w:szCs w:val="16"/>
        </w:rPr>
        <w:t>For Indicator 6C: States are not required to establish a baseline or targets if the number of children receiving special education and related services in the home is less than 10, regardless of whether the State chooses to set one target that is inclusive of children ages 3, 4, and 5, or set individual targets for each age. In a reporting period during which the number of children receiving special education and related services in the home reaches 10 or greater, States are required to develop baseline and targets and report on them in the corresponding SPP/APR.</w:t>
      </w:r>
    </w:p>
    <w:p w14:paraId="594A7ED4" w14:textId="41F6D87D" w:rsidR="005322B8" w:rsidRPr="00781112" w:rsidRDefault="00633044" w:rsidP="00BB7BC9">
      <w:pPr>
        <w:rPr>
          <w:rFonts w:cs="Arial"/>
          <w:color w:val="000000" w:themeColor="text1"/>
          <w:szCs w:val="16"/>
        </w:rPr>
      </w:pPr>
      <w:r w:rsidRPr="00781112">
        <w:rPr>
          <w:rFonts w:cs="Arial"/>
          <w:szCs w:val="16"/>
        </w:rPr>
        <w:t xml:space="preserve">For Indicator 6C: </w:t>
      </w:r>
      <w:r w:rsidRPr="00781112">
        <w:rPr>
          <w:rFonts w:cs="Arial"/>
          <w:iCs/>
          <w:szCs w:val="16"/>
        </w:rPr>
        <w:t>States may express their targets in a range (</w:t>
      </w:r>
      <w:r w:rsidRPr="00781112">
        <w:rPr>
          <w:rFonts w:cs="Arial"/>
          <w:i/>
          <w:iCs/>
          <w:szCs w:val="16"/>
        </w:rPr>
        <w:t>e.g.</w:t>
      </w:r>
      <w:r w:rsidRPr="00781112">
        <w:rPr>
          <w:rFonts w:cs="Arial"/>
          <w:iCs/>
          <w:szCs w:val="16"/>
        </w:rPr>
        <w:t>, 75-85%).</w:t>
      </w:r>
      <w:r w:rsidR="005322B8" w:rsidRPr="00781112">
        <w:rPr>
          <w:rFonts w:cs="Arial"/>
          <w:color w:val="000000" w:themeColor="text1"/>
          <w:szCs w:val="16"/>
        </w:rPr>
        <w:t>Describe the results of the calculations and compare the results to the target.</w:t>
      </w:r>
    </w:p>
    <w:p w14:paraId="19F07E42" w14:textId="35DC1378" w:rsidR="005322B8" w:rsidRPr="00781112" w:rsidRDefault="005322B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IDEA section 618, explain.</w:t>
      </w:r>
    </w:p>
    <w:bookmarkEnd w:id="33"/>
    <w:p w14:paraId="1489816D" w14:textId="2F10D57A" w:rsidR="008D3484" w:rsidRPr="00781112" w:rsidRDefault="00C96236" w:rsidP="008645AD">
      <w:pPr>
        <w:pStyle w:val="Heading2"/>
      </w:pPr>
      <w:r w:rsidRPr="00781112">
        <w:t>6</w:t>
      </w:r>
      <w:r w:rsidR="00C91B94" w:rsidRPr="00781112">
        <w:t xml:space="preserve"> </w:t>
      </w:r>
      <w:r w:rsidRPr="00781112">
        <w:t xml:space="preserve">- </w:t>
      </w:r>
      <w:r w:rsidR="008D3484" w:rsidRPr="00781112">
        <w:t>Indicator Data</w:t>
      </w:r>
    </w:p>
    <w:p w14:paraId="625E607A" w14:textId="77777777" w:rsidR="0091098C" w:rsidRPr="00781112" w:rsidRDefault="0091098C" w:rsidP="004369B2">
      <w:pPr>
        <w:rPr>
          <w:color w:val="000000" w:themeColor="text1"/>
        </w:rPr>
      </w:pPr>
      <w:r w:rsidRPr="00781112">
        <w:rPr>
          <w:b/>
          <w:color w:val="000000" w:themeColor="text1"/>
        </w:rPr>
        <w:t>Not Applicable</w:t>
      </w:r>
    </w:p>
    <w:p w14:paraId="5333465D" w14:textId="3F1EC485" w:rsidR="004B75EC" w:rsidRPr="00781112" w:rsidRDefault="003229FA">
      <w:pPr>
        <w:rPr>
          <w:b/>
          <w:color w:val="000000" w:themeColor="text1"/>
        </w:rPr>
      </w:pPr>
      <w:r w:rsidRPr="00781112">
        <w:rPr>
          <w:b/>
          <w:color w:val="000000" w:themeColor="text1"/>
        </w:rPr>
        <w:t xml:space="preserve">Select yes if this indicator is not applicable. </w:t>
      </w:r>
    </w:p>
    <w:p w14:paraId="2FEE6491" w14:textId="58E763AD" w:rsidR="00043AC9" w:rsidRPr="00781112" w:rsidRDefault="00043AC9" w:rsidP="004369B2">
      <w:pPr>
        <w:rPr>
          <w:rFonts w:cs="Arial"/>
          <w:color w:val="000000" w:themeColor="text1"/>
          <w:szCs w:val="16"/>
        </w:rPr>
      </w:pPr>
      <w:r w:rsidRPr="00781112">
        <w:rPr>
          <w:rFonts w:cs="Arial"/>
          <w:color w:val="000000" w:themeColor="text1"/>
          <w:szCs w:val="16"/>
        </w:rPr>
        <w:t>NO</w:t>
      </w:r>
    </w:p>
    <w:p w14:paraId="6D4C5D02" w14:textId="77777777" w:rsidR="002441FF" w:rsidRPr="00781112" w:rsidRDefault="002441FF" w:rsidP="002441FF">
      <w:pPr>
        <w:rPr>
          <w:color w:val="000000" w:themeColor="text1"/>
        </w:rPr>
      </w:pPr>
    </w:p>
    <w:p w14:paraId="2DFC3658" w14:textId="20467DA4" w:rsidR="006309D0" w:rsidRPr="00781112" w:rsidRDefault="006309D0" w:rsidP="006309D0">
      <w:pPr>
        <w:rPr>
          <w:b/>
          <w:color w:val="000000" w:themeColor="text1"/>
        </w:rPr>
      </w:pPr>
      <w:r w:rsidRPr="00781112">
        <w:rPr>
          <w:b/>
          <w:color w:val="000000" w:themeColor="text1"/>
        </w:rPr>
        <w:t>Historical Data – 6A, 6B</w:t>
      </w:r>
    </w:p>
    <w:tbl>
      <w:tblPr>
        <w:tblW w:w="4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HISTDATA"/>
      </w:tblPr>
      <w:tblGrid>
        <w:gridCol w:w="625"/>
        <w:gridCol w:w="1036"/>
        <w:gridCol w:w="1618"/>
        <w:gridCol w:w="1619"/>
        <w:gridCol w:w="1618"/>
        <w:gridCol w:w="1619"/>
        <w:gridCol w:w="1619"/>
      </w:tblGrid>
      <w:tr w:rsidR="001F2C34" w:rsidRPr="00781112" w14:paraId="10B8D4E0" w14:textId="65C4ABC5" w:rsidTr="005F5FE9">
        <w:trPr>
          <w:trHeight w:val="485"/>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D5DFCFC" w14:textId="199152DC"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Part</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195DB54" w14:textId="77777777"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FFY</w:t>
            </w:r>
          </w:p>
        </w:tc>
        <w:tc>
          <w:tcPr>
            <w:tcW w:w="1618" w:type="dxa"/>
            <w:tcBorders>
              <w:top w:val="single" w:sz="4" w:space="0" w:color="auto"/>
              <w:left w:val="single" w:sz="4" w:space="0" w:color="auto"/>
              <w:bottom w:val="single" w:sz="4" w:space="0" w:color="auto"/>
              <w:right w:val="single" w:sz="4" w:space="0" w:color="auto"/>
            </w:tcBorders>
            <w:shd w:val="clear" w:color="auto" w:fill="auto"/>
            <w:hideMark/>
          </w:tcPr>
          <w:p w14:paraId="6D0BD013" w14:textId="2E725702"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2015</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93A4955" w14:textId="7857A3E8"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2016</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1C44EE" w14:textId="0FBA6B8E"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2017</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38D2C75" w14:textId="09B1260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2018</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09EF8815" w14:textId="0E900FD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2019</w:t>
            </w:r>
          </w:p>
        </w:tc>
      </w:tr>
      <w:tr w:rsidR="001F2C34" w:rsidRPr="00781112" w14:paraId="12643853" w14:textId="714409A9"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1DCB50CC"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8A73" w14:textId="4E273194" w:rsidR="001F2C34" w:rsidRPr="00781112" w:rsidRDefault="001F2C34">
            <w:pPr>
              <w:spacing w:line="276" w:lineRule="auto"/>
              <w:rPr>
                <w:rFonts w:cs="Arial"/>
                <w:color w:val="000000" w:themeColor="text1"/>
                <w:szCs w:val="16"/>
              </w:rPr>
            </w:pPr>
            <w:r w:rsidRPr="00781112">
              <w:rPr>
                <w:rFonts w:cs="Arial"/>
                <w:color w:val="000000" w:themeColor="text1"/>
                <w:szCs w:val="16"/>
              </w:rPr>
              <w:t>Target &gt;=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5D572D5A" w14:textId="187A2156" w:rsidR="001F2C34" w:rsidRPr="00781112" w:rsidRDefault="001F2C34" w:rsidP="00A018D4">
            <w:pPr>
              <w:jc w:val="center"/>
              <w:rPr>
                <w:rFonts w:cs="Arial"/>
                <w:color w:val="000000" w:themeColor="text1"/>
                <w:szCs w:val="16"/>
              </w:rPr>
            </w:pPr>
            <w:r w:rsidRPr="00781112">
              <w:rPr>
                <w:rFonts w:cs="Arial"/>
                <w:color w:val="000000" w:themeColor="text1"/>
                <w:szCs w:val="16"/>
              </w:rPr>
              <w:t>27.00%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473ABC9" w14:textId="69DF669C" w:rsidR="001F2C34" w:rsidRPr="00781112" w:rsidRDefault="001F2C34" w:rsidP="00A018D4">
            <w:pPr>
              <w:jc w:val="center"/>
              <w:rPr>
                <w:rFonts w:cs="Arial"/>
                <w:color w:val="000000" w:themeColor="text1"/>
                <w:szCs w:val="16"/>
              </w:rPr>
            </w:pPr>
            <w:r w:rsidRPr="00781112">
              <w:rPr>
                <w:rFonts w:cs="Arial"/>
                <w:color w:val="000000" w:themeColor="text1"/>
                <w:szCs w:val="16"/>
              </w:rPr>
              <w:t>27.00%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49232E9" w14:textId="6EBFCFBD" w:rsidR="001F2C34" w:rsidRPr="00781112" w:rsidRDefault="001F2C34" w:rsidP="00A018D4">
            <w:pPr>
              <w:jc w:val="center"/>
              <w:rPr>
                <w:rFonts w:cs="Arial"/>
                <w:color w:val="000000" w:themeColor="text1"/>
                <w:szCs w:val="16"/>
              </w:rPr>
            </w:pPr>
            <w:r w:rsidRPr="00781112">
              <w:rPr>
                <w:rFonts w:cs="Arial"/>
                <w:color w:val="000000" w:themeColor="text1"/>
                <w:szCs w:val="16"/>
              </w:rPr>
              <w:t>30.00%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7B7D5E8" w14:textId="6AF11356" w:rsidR="001F2C34" w:rsidRPr="00781112" w:rsidRDefault="001F2C34" w:rsidP="00A018D4">
            <w:pPr>
              <w:jc w:val="center"/>
              <w:rPr>
                <w:rFonts w:cs="Arial"/>
                <w:color w:val="000000" w:themeColor="text1"/>
                <w:szCs w:val="16"/>
              </w:rPr>
            </w:pPr>
            <w:r w:rsidRPr="00781112">
              <w:rPr>
                <w:rFonts w:cs="Arial"/>
                <w:color w:val="000000" w:themeColor="text1"/>
                <w:szCs w:val="16"/>
              </w:rPr>
              <w:t>31.00%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960723" w14:textId="6EE6EB41" w:rsidR="001F2C34" w:rsidRPr="00781112" w:rsidRDefault="001F2C34" w:rsidP="00A018D4">
            <w:pPr>
              <w:jc w:val="center"/>
              <w:rPr>
                <w:rFonts w:cs="Arial"/>
                <w:color w:val="000000" w:themeColor="text1"/>
                <w:szCs w:val="16"/>
              </w:rPr>
            </w:pPr>
            <w:r w:rsidRPr="00781112">
              <w:rPr>
                <w:rFonts w:cs="Arial"/>
                <w:color w:val="000000" w:themeColor="text1"/>
                <w:szCs w:val="16"/>
              </w:rPr>
              <w:t>31.00%</w:t>
            </w:r>
          </w:p>
        </w:tc>
      </w:tr>
      <w:tr w:rsidR="001F2C34" w:rsidRPr="00781112" w14:paraId="24AB409F" w14:textId="3963C8DA" w:rsidTr="005F5FE9">
        <w:trPr>
          <w:trHeight w:val="85"/>
        </w:trPr>
        <w:tc>
          <w:tcPr>
            <w:tcW w:w="625" w:type="dxa"/>
            <w:tcBorders>
              <w:left w:val="single" w:sz="4" w:space="0" w:color="auto"/>
              <w:right w:val="single" w:sz="4" w:space="0" w:color="auto"/>
            </w:tcBorders>
            <w:shd w:val="clear" w:color="auto" w:fill="auto"/>
            <w:vAlign w:val="center"/>
          </w:tcPr>
          <w:p w14:paraId="29D181B3" w14:textId="5F8E2E42"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FC6E" w14:textId="77777777" w:rsidR="001F2C34" w:rsidRPr="00781112" w:rsidRDefault="001F2C34">
            <w:pPr>
              <w:spacing w:line="276" w:lineRule="auto"/>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CB2CE2B" w14:textId="24BBB7A6" w:rsidR="001F2C34" w:rsidRPr="00781112" w:rsidRDefault="001F2C34" w:rsidP="00A018D4">
            <w:pPr>
              <w:jc w:val="center"/>
              <w:rPr>
                <w:rFonts w:cs="Arial"/>
                <w:color w:val="000000" w:themeColor="text1"/>
                <w:szCs w:val="16"/>
              </w:rPr>
            </w:pPr>
            <w:r w:rsidRPr="00781112">
              <w:rPr>
                <w:rFonts w:cs="Arial"/>
                <w:color w:val="000000" w:themeColor="text1"/>
                <w:szCs w:val="16"/>
              </w:rPr>
              <w:t>23.92%</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29C2908" w14:textId="5081117A" w:rsidR="001F2C34" w:rsidRPr="00781112" w:rsidRDefault="001F2C34" w:rsidP="00A018D4">
            <w:pPr>
              <w:jc w:val="center"/>
              <w:rPr>
                <w:rFonts w:cs="Arial"/>
                <w:color w:val="000000" w:themeColor="text1"/>
                <w:szCs w:val="16"/>
              </w:rPr>
            </w:pPr>
            <w:r w:rsidRPr="00781112">
              <w:rPr>
                <w:rFonts w:cs="Arial"/>
                <w:color w:val="000000" w:themeColor="text1"/>
                <w:szCs w:val="16"/>
              </w:rPr>
              <w:t>21.25%</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BDED07A" w14:textId="02885BAD" w:rsidR="001F2C34" w:rsidRPr="00781112" w:rsidRDefault="001F2C34" w:rsidP="00A018D4">
            <w:pPr>
              <w:jc w:val="center"/>
              <w:rPr>
                <w:rFonts w:cs="Arial"/>
                <w:color w:val="000000" w:themeColor="text1"/>
                <w:szCs w:val="16"/>
              </w:rPr>
            </w:pPr>
            <w:r w:rsidRPr="00781112">
              <w:rPr>
                <w:rFonts w:cs="Arial"/>
                <w:color w:val="000000" w:themeColor="text1"/>
                <w:szCs w:val="16"/>
              </w:rPr>
              <w:t>20.27%</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DF0B77B" w14:textId="4431B3F8" w:rsidR="001F2C34" w:rsidRPr="00781112" w:rsidRDefault="001F2C34" w:rsidP="00A018D4">
            <w:pPr>
              <w:jc w:val="center"/>
              <w:rPr>
                <w:rFonts w:cs="Arial"/>
                <w:color w:val="000000" w:themeColor="text1"/>
                <w:szCs w:val="16"/>
              </w:rPr>
            </w:pPr>
            <w:r w:rsidRPr="00781112">
              <w:rPr>
                <w:rFonts w:cs="Arial"/>
                <w:color w:val="000000" w:themeColor="text1"/>
                <w:szCs w:val="16"/>
              </w:rPr>
              <w:t>18.57%</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6BBCE63" w14:textId="41D20CCF" w:rsidR="001F2C34" w:rsidRPr="00781112" w:rsidRDefault="001F2C34" w:rsidP="00A018D4">
            <w:pPr>
              <w:jc w:val="center"/>
              <w:rPr>
                <w:rFonts w:cs="Arial"/>
                <w:color w:val="000000" w:themeColor="text1"/>
                <w:szCs w:val="16"/>
              </w:rPr>
            </w:pPr>
            <w:r w:rsidRPr="00781112">
              <w:rPr>
                <w:rFonts w:cs="Arial"/>
                <w:color w:val="000000" w:themeColor="text1"/>
                <w:szCs w:val="16"/>
              </w:rPr>
              <w:t>17.75%</w:t>
            </w:r>
          </w:p>
        </w:tc>
      </w:tr>
      <w:tr w:rsidR="001F2C34" w:rsidRPr="00781112" w14:paraId="734556E7" w14:textId="7880148D"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58DAD373"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B70F3" w14:textId="4BE0D72F" w:rsidR="001F2C34" w:rsidRPr="00781112" w:rsidRDefault="001F2C34">
            <w:pPr>
              <w:spacing w:line="276" w:lineRule="auto"/>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AF8D8D8" w14:textId="73E1A0AF" w:rsidR="001F2C34" w:rsidRPr="00781112" w:rsidRDefault="001F2C34" w:rsidP="00A018D4">
            <w:pPr>
              <w:jc w:val="center"/>
              <w:rPr>
                <w:rFonts w:cs="Arial"/>
                <w:color w:val="000000" w:themeColor="text1"/>
                <w:szCs w:val="16"/>
              </w:rPr>
            </w:pPr>
            <w:r w:rsidRPr="00781112">
              <w:rPr>
                <w:rFonts w:cs="Arial"/>
                <w:color w:val="000000" w:themeColor="text1"/>
                <w:szCs w:val="16"/>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7A3A3A6" w14:textId="38FA47E9" w:rsidR="001F2C34" w:rsidRPr="00781112" w:rsidRDefault="001F2C34" w:rsidP="00A018D4">
            <w:pPr>
              <w:jc w:val="center"/>
              <w:rPr>
                <w:rFonts w:cs="Arial"/>
                <w:color w:val="000000" w:themeColor="text1"/>
                <w:szCs w:val="16"/>
              </w:rPr>
            </w:pPr>
            <w:r w:rsidRPr="00781112">
              <w:rPr>
                <w:rFonts w:cs="Arial"/>
                <w:color w:val="000000" w:themeColor="text1"/>
                <w:szCs w:val="16"/>
              </w:rPr>
              <w:t>3.00%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BC9CE3A" w14:textId="269EBDC7" w:rsidR="001F2C34" w:rsidRPr="00781112" w:rsidRDefault="001F2C34" w:rsidP="00A018D4">
            <w:pPr>
              <w:jc w:val="center"/>
              <w:rPr>
                <w:rFonts w:cs="Arial"/>
                <w:color w:val="000000" w:themeColor="text1"/>
                <w:szCs w:val="16"/>
              </w:rPr>
            </w:pPr>
            <w:r w:rsidRPr="00781112">
              <w:rPr>
                <w:rFonts w:cs="Arial"/>
                <w:color w:val="000000" w:themeColor="text1"/>
                <w:szCs w:val="16"/>
              </w:rPr>
              <w:t>2.90%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7F96662" w14:textId="3E673D09" w:rsidR="001F2C34" w:rsidRPr="00781112" w:rsidRDefault="001F2C34">
            <w:pPr>
              <w:jc w:val="center"/>
              <w:rPr>
                <w:color w:val="000000" w:themeColor="text1"/>
              </w:rPr>
            </w:pPr>
            <w:r w:rsidRPr="00781112">
              <w:rPr>
                <w:color w:val="000000" w:themeColor="text1"/>
              </w:rPr>
              <w:t>2.90%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5D972E0" w14:textId="0A302924" w:rsidR="001F2C34" w:rsidRPr="00781112" w:rsidRDefault="001F2C34" w:rsidP="00A018D4">
            <w:pPr>
              <w:jc w:val="center"/>
              <w:rPr>
                <w:rFonts w:cs="Arial"/>
                <w:color w:val="000000" w:themeColor="text1"/>
                <w:szCs w:val="16"/>
              </w:rPr>
            </w:pPr>
            <w:r w:rsidRPr="00781112">
              <w:rPr>
                <w:rFonts w:cs="Arial"/>
                <w:color w:val="000000" w:themeColor="text1"/>
                <w:szCs w:val="16"/>
              </w:rPr>
              <w:t>2.90%</w:t>
            </w:r>
          </w:p>
        </w:tc>
      </w:tr>
      <w:tr w:rsidR="001F2C34" w:rsidRPr="00781112" w14:paraId="3B42BE2A" w14:textId="601B062F" w:rsidTr="005F5FE9">
        <w:trPr>
          <w:trHeight w:val="85"/>
        </w:trPr>
        <w:tc>
          <w:tcPr>
            <w:tcW w:w="625" w:type="dxa"/>
            <w:tcBorders>
              <w:left w:val="single" w:sz="4" w:space="0" w:color="auto"/>
              <w:right w:val="single" w:sz="4" w:space="0" w:color="auto"/>
            </w:tcBorders>
            <w:shd w:val="clear" w:color="auto" w:fill="auto"/>
            <w:vAlign w:val="center"/>
          </w:tcPr>
          <w:p w14:paraId="4623D633" w14:textId="276C317C"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596DA" w14:textId="77777777" w:rsidR="001F2C34" w:rsidRPr="00781112" w:rsidRDefault="001F2C34">
            <w:pPr>
              <w:spacing w:line="276" w:lineRule="auto"/>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5D90031" w14:textId="3012CDE0" w:rsidR="001F2C34" w:rsidRPr="00781112" w:rsidRDefault="001F2C34" w:rsidP="00A018D4">
            <w:pPr>
              <w:jc w:val="center"/>
              <w:rPr>
                <w:rFonts w:cs="Arial"/>
                <w:color w:val="000000" w:themeColor="text1"/>
                <w:szCs w:val="16"/>
              </w:rPr>
            </w:pPr>
            <w:r w:rsidRPr="00781112">
              <w:rPr>
                <w:rFonts w:cs="Arial"/>
                <w:color w:val="000000" w:themeColor="text1"/>
                <w:szCs w:val="16"/>
              </w:rPr>
              <w:t>3.61%</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0E906DB" w14:textId="5C70E2DD" w:rsidR="001F2C34" w:rsidRPr="00781112" w:rsidRDefault="001F2C34" w:rsidP="00A018D4">
            <w:pPr>
              <w:jc w:val="center"/>
              <w:rPr>
                <w:rFonts w:cs="Arial"/>
                <w:color w:val="000000" w:themeColor="text1"/>
                <w:szCs w:val="16"/>
              </w:rPr>
            </w:pPr>
            <w:r w:rsidRPr="00781112">
              <w:rPr>
                <w:rFonts w:cs="Arial"/>
                <w:color w:val="000000" w:themeColor="text1"/>
                <w:szCs w:val="16"/>
              </w:rPr>
              <w:t>3.86%</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6B8DC18" w14:textId="71BC25FA" w:rsidR="001F2C34" w:rsidRPr="00781112" w:rsidRDefault="001F2C34" w:rsidP="00A018D4">
            <w:pPr>
              <w:jc w:val="center"/>
              <w:rPr>
                <w:rFonts w:cs="Arial"/>
                <w:color w:val="000000" w:themeColor="text1"/>
                <w:szCs w:val="16"/>
              </w:rPr>
            </w:pPr>
            <w:r w:rsidRPr="00781112">
              <w:rPr>
                <w:rFonts w:cs="Arial"/>
                <w:color w:val="000000" w:themeColor="text1"/>
                <w:szCs w:val="16"/>
              </w:rPr>
              <w:t>5.06%</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CE06B12" w14:textId="5A09E506" w:rsidR="001F2C34" w:rsidRPr="00781112" w:rsidRDefault="001F2C34" w:rsidP="00A018D4">
            <w:pPr>
              <w:jc w:val="center"/>
              <w:rPr>
                <w:rFonts w:cs="Arial"/>
                <w:color w:val="000000" w:themeColor="text1"/>
                <w:szCs w:val="16"/>
              </w:rPr>
            </w:pPr>
            <w:r w:rsidRPr="00781112">
              <w:rPr>
                <w:rFonts w:cs="Arial"/>
                <w:color w:val="000000" w:themeColor="text1"/>
                <w:szCs w:val="16"/>
              </w:rPr>
              <w:t>5.14%</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8787007" w14:textId="48A40519" w:rsidR="001F2C34" w:rsidRPr="00781112" w:rsidRDefault="001F2C34" w:rsidP="00A018D4">
            <w:pPr>
              <w:jc w:val="center"/>
              <w:rPr>
                <w:rFonts w:cs="Arial"/>
                <w:color w:val="000000" w:themeColor="text1"/>
                <w:szCs w:val="16"/>
              </w:rPr>
            </w:pPr>
            <w:r w:rsidRPr="00781112">
              <w:rPr>
                <w:rFonts w:cs="Arial"/>
                <w:color w:val="000000" w:themeColor="text1"/>
                <w:szCs w:val="16"/>
              </w:rPr>
              <w:t>4.90%</w:t>
            </w:r>
          </w:p>
        </w:tc>
      </w:tr>
    </w:tbl>
    <w:p w14:paraId="1E340B65" w14:textId="749176D6" w:rsidR="001C2B29" w:rsidRPr="00781112" w:rsidRDefault="001C2B29" w:rsidP="004369B2">
      <w:pPr>
        <w:rPr>
          <w:color w:val="000000" w:themeColor="text1"/>
        </w:rPr>
      </w:pPr>
    </w:p>
    <w:p w14:paraId="34B0E047" w14:textId="77777777" w:rsidR="0059735F" w:rsidRPr="00781112" w:rsidRDefault="0059735F" w:rsidP="0059735F">
      <w:pPr>
        <w:rPr>
          <w:b/>
          <w:color w:val="000000" w:themeColor="text1"/>
        </w:rPr>
      </w:pPr>
      <w:r w:rsidRPr="00781112">
        <w:rPr>
          <w:b/>
          <w:color w:val="000000" w:themeColor="text1"/>
        </w:rPr>
        <w:t xml:space="preserve">Targets: Description of Stakeholder Input </w:t>
      </w:r>
    </w:p>
    <w:p w14:paraId="02A3CB3A" w14:textId="77777777" w:rsidR="0059735F" w:rsidRPr="00781112" w:rsidRDefault="0059735F" w:rsidP="0059735F">
      <w:pPr>
        <w:rPr>
          <w:rFonts w:cs="Arial"/>
          <w:color w:val="000000" w:themeColor="text1"/>
          <w:szCs w:val="16"/>
        </w:rPr>
      </w:pPr>
      <w:r w:rsidRPr="00781112">
        <w:rPr>
          <w:rFonts w:cs="Arial"/>
          <w:color w:val="000000" w:themeColor="text1"/>
          <w:szCs w:val="16"/>
        </w:rPr>
        <w:t>Louisiana has developed a comprehensive vision for the future of education in our state—Louisiana Believes. The driving force of this vision is that every one of Louisiana’s children should be on track to a college degree or a professional career. This inclusive vision and Louisiana’s values were apparent in the development of the SPP as we solicited and received broad stakeholder input to inform the target setting process for FFY 2020 - FFY 2025. The LDOE used three phases to develop the SPP targets for FFY 2020 - FFY 2025: 1) internal review, 2) external stakeholder feedback, and 3) Special Education Advisory Panel (SEAP) integration.</w:t>
      </w:r>
      <w:r w:rsidRPr="00781112">
        <w:rPr>
          <w:rFonts w:cs="Arial"/>
          <w:color w:val="000000" w:themeColor="text1"/>
          <w:szCs w:val="16"/>
        </w:rPr>
        <w:br/>
      </w:r>
      <w:r w:rsidRPr="00781112">
        <w:rPr>
          <w:rFonts w:cs="Arial"/>
          <w:color w:val="000000" w:themeColor="text1"/>
          <w:szCs w:val="16"/>
        </w:rPr>
        <w:br/>
        <w:t xml:space="preserve">Internal Review </w:t>
      </w:r>
      <w:r w:rsidRPr="00781112">
        <w:rPr>
          <w:rFonts w:cs="Arial"/>
          <w:color w:val="000000" w:themeColor="text1"/>
          <w:szCs w:val="16"/>
        </w:rPr>
        <w:br/>
        <w:t xml:space="preserve">The LDOE's Division for Diverse Learners reviewed historical data and LDOE policies, procedures, and practices; and collaborated with internal teams to develop targets that were rigorous and attainable. </w:t>
      </w:r>
      <w:r w:rsidRPr="00781112">
        <w:rPr>
          <w:rFonts w:cs="Arial"/>
          <w:color w:val="000000" w:themeColor="text1"/>
          <w:szCs w:val="16"/>
        </w:rPr>
        <w:br/>
      </w:r>
      <w:r w:rsidRPr="00781112">
        <w:rPr>
          <w:rFonts w:cs="Arial"/>
          <w:color w:val="000000" w:themeColor="text1"/>
          <w:szCs w:val="16"/>
        </w:rPr>
        <w:br/>
        <w:t>External Stakeholder Feedback</w:t>
      </w:r>
      <w:r w:rsidRPr="00781112">
        <w:rPr>
          <w:rFonts w:cs="Arial"/>
          <w:color w:val="000000" w:themeColor="text1"/>
          <w:szCs w:val="16"/>
        </w:rPr>
        <w:br/>
        <w:t xml:space="preserve">The Division for Diverse Learners developed and executed an SPP/APR target setting engagement strategy to solicit broad stakeholder feedback on the FFY 2020 - FFY 2025 targets. The LDOE developed a State Performance Plan / Annual Performance Report Target Setting webpage on the Louisiana Believes website. The webpage contains an overview document with an explanation of each indicator, historical data for each indicator, and tables to clearly identify whether or not the State met targets for each indicator. After review of the overview document, a target setting survey was available for stakeholders to provide input on targets. </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SEAP Integration</w:t>
      </w:r>
      <w:r w:rsidRPr="00781112">
        <w:rPr>
          <w:rFonts w:cs="Arial"/>
          <w:color w:val="000000" w:themeColor="text1"/>
          <w:szCs w:val="16"/>
        </w:rPr>
        <w:br/>
        <w:t>The LDOE informed the SEAP on the target setting process at two separate meetings. LDOE provided an overview of each indicator along with historical data to SEAP members who provided input. SEAP's structure also allows for public comments, which were exercised at the meetings, providing external stakeholder feedback.</w:t>
      </w:r>
      <w:r w:rsidRPr="00781112">
        <w:rPr>
          <w:rFonts w:cs="Arial"/>
          <w:color w:val="000000" w:themeColor="text1"/>
          <w:szCs w:val="16"/>
        </w:rPr>
        <w:br/>
      </w:r>
      <w:r w:rsidRPr="00781112">
        <w:rPr>
          <w:rFonts w:cs="Arial"/>
          <w:color w:val="000000" w:themeColor="text1"/>
          <w:szCs w:val="16"/>
        </w:rPr>
        <w:br/>
        <w:t>The LDOE set targets based on feedback, historical data, and whether previous targets set were met. LDOE will continue to monitor data, targets, and changes to Indicator methodology, and may revise targets in the future, as necessary. Any revisions will incorporate stakeholder feedback, including, but not limited to, SEAP.</w:t>
      </w:r>
    </w:p>
    <w:p w14:paraId="137AAC0F" w14:textId="77777777" w:rsidR="0059735F" w:rsidRPr="00781112" w:rsidRDefault="0059735F" w:rsidP="0059735F">
      <w:pPr>
        <w:rPr>
          <w:rFonts w:cs="Arial"/>
          <w:color w:val="000000" w:themeColor="text1"/>
          <w:szCs w:val="16"/>
        </w:rPr>
      </w:pPr>
    </w:p>
    <w:p w14:paraId="0B88D679" w14:textId="77777777" w:rsidR="0059735F" w:rsidRPr="00781112" w:rsidRDefault="0059735F" w:rsidP="004369B2">
      <w:pPr>
        <w:rPr>
          <w:color w:val="000000" w:themeColor="text1"/>
        </w:rPr>
      </w:pPr>
    </w:p>
    <w:p w14:paraId="5CC249BC" w14:textId="12B8F79F" w:rsidR="00AA04BD" w:rsidRPr="00781112" w:rsidRDefault="00AA04BD" w:rsidP="004369B2">
      <w:pPr>
        <w:rPr>
          <w:b/>
          <w:color w:val="000000" w:themeColor="text1"/>
        </w:rPr>
      </w:pPr>
      <w:r w:rsidRPr="00781112">
        <w:rPr>
          <w:b/>
          <w:color w:val="000000" w:themeColor="text1"/>
        </w:rPr>
        <w:t>Targets</w:t>
      </w:r>
    </w:p>
    <w:p w14:paraId="1C259A9C" w14:textId="233315C1" w:rsidR="001C2B29" w:rsidRPr="001C443D" w:rsidRDefault="007F67C7" w:rsidP="001C443D">
      <w:pPr>
        <w:rPr>
          <w:b/>
          <w:bCs/>
        </w:rPr>
      </w:pPr>
      <w:r w:rsidRPr="001C443D">
        <w:rPr>
          <w:b/>
          <w:bCs/>
        </w:rPr>
        <w:t xml:space="preserve">Please select if the State wants to set baseline and targets based on individual age ranges (i.e. separate baseline and targets for each age), or inclusive of all children ages 3, 4, and 5. </w:t>
      </w:r>
    </w:p>
    <w:p w14:paraId="0237921B" w14:textId="17150ECF" w:rsidR="00794672" w:rsidRPr="00781112" w:rsidRDefault="00794672" w:rsidP="00794672">
      <w:pPr>
        <w:rPr>
          <w:color w:val="000000" w:themeColor="text1"/>
        </w:rPr>
      </w:pPr>
      <w:r w:rsidRPr="00781112">
        <w:rPr>
          <w:rFonts w:cs="Arial"/>
          <w:color w:val="000000" w:themeColor="text1"/>
          <w:szCs w:val="16"/>
        </w:rPr>
        <w:t>Inclusive Targets</w:t>
      </w:r>
    </w:p>
    <w:p w14:paraId="647A8A68" w14:textId="7712D124" w:rsidR="00794672" w:rsidRPr="001C443D" w:rsidRDefault="00E20E93" w:rsidP="001C443D">
      <w:pPr>
        <w:rPr>
          <w:b/>
          <w:bCs/>
        </w:rPr>
      </w:pPr>
      <w:r w:rsidRPr="001C443D">
        <w:rPr>
          <w:b/>
          <w:bCs/>
        </w:rPr>
        <w:t>Please select if the State wants to use target ranges for 6C.</w:t>
      </w:r>
    </w:p>
    <w:p w14:paraId="4C1CAE3E" w14:textId="29D1D533" w:rsidR="00794672" w:rsidRDefault="00794672" w:rsidP="00794672">
      <w:pPr>
        <w:rPr>
          <w:rFonts w:cs="Arial"/>
          <w:color w:val="000000" w:themeColor="text1"/>
          <w:szCs w:val="16"/>
        </w:rPr>
      </w:pPr>
      <w:r w:rsidRPr="00781112">
        <w:rPr>
          <w:rFonts w:cs="Arial"/>
          <w:color w:val="000000" w:themeColor="text1"/>
          <w:szCs w:val="16"/>
        </w:rPr>
        <w:t>Target Range not used</w:t>
      </w:r>
    </w:p>
    <w:p w14:paraId="5C7F1365" w14:textId="570192EE" w:rsidR="0073461B" w:rsidRDefault="0073461B" w:rsidP="0073461B">
      <w:pPr>
        <w:pStyle w:val="Subhed"/>
        <w:rPr>
          <w:b w:val="0"/>
          <w:bCs/>
          <w:color w:val="C00000"/>
        </w:rPr>
      </w:pPr>
    </w:p>
    <w:p w14:paraId="770D6443" w14:textId="39B3F3FD" w:rsidR="004D796B" w:rsidRPr="00781112" w:rsidRDefault="004D796B" w:rsidP="004369B2">
      <w:pPr>
        <w:rPr>
          <w:color w:val="000000" w:themeColor="text1"/>
        </w:rPr>
      </w:pPr>
    </w:p>
    <w:p w14:paraId="7D77C5FC" w14:textId="77777777" w:rsidR="008C34A2" w:rsidRPr="0075451F" w:rsidRDefault="008C34A2" w:rsidP="008C34A2">
      <w:pPr>
        <w:pStyle w:val="Subhed"/>
        <w:rPr>
          <w:b w:val="0"/>
        </w:rPr>
      </w:pPr>
      <w:r>
        <w:t>Baselines for Inclusive Targets option (A, B, C)</w:t>
      </w:r>
    </w:p>
    <w:tbl>
      <w:tblPr>
        <w:tblW w:w="2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BASELINEDATAINCL"/>
      </w:tblPr>
      <w:tblGrid>
        <w:gridCol w:w="1436"/>
        <w:gridCol w:w="2025"/>
        <w:gridCol w:w="2025"/>
      </w:tblGrid>
      <w:tr w:rsidR="008C34A2" w:rsidRPr="00781112" w14:paraId="76A746DF" w14:textId="77777777" w:rsidTr="00DF5DC9">
        <w:trPr>
          <w:trHeight w:val="485"/>
          <w:tblHeader/>
        </w:trPr>
        <w:tc>
          <w:tcPr>
            <w:tcW w:w="1436" w:type="dxa"/>
            <w:tcBorders>
              <w:top w:val="single" w:sz="4" w:space="0" w:color="auto"/>
              <w:left w:val="single" w:sz="4" w:space="0" w:color="auto"/>
              <w:bottom w:val="single" w:sz="4" w:space="0" w:color="auto"/>
              <w:right w:val="single" w:sz="4" w:space="0" w:color="auto"/>
            </w:tcBorders>
            <w:shd w:val="clear" w:color="auto" w:fill="auto"/>
          </w:tcPr>
          <w:p w14:paraId="76F354A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Part</w:t>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70043BB3"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Year</w:t>
            </w:r>
          </w:p>
        </w:tc>
        <w:tc>
          <w:tcPr>
            <w:tcW w:w="2025" w:type="dxa"/>
            <w:tcBorders>
              <w:top w:val="single" w:sz="4" w:space="0" w:color="auto"/>
              <w:left w:val="single" w:sz="4" w:space="0" w:color="auto"/>
              <w:bottom w:val="single" w:sz="4" w:space="0" w:color="auto"/>
              <w:right w:val="single" w:sz="4" w:space="0" w:color="auto"/>
            </w:tcBorders>
          </w:tcPr>
          <w:p w14:paraId="6D732D8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Data</w:t>
            </w:r>
          </w:p>
        </w:tc>
      </w:tr>
      <w:tr w:rsidR="008C34A2" w:rsidRPr="00781112" w14:paraId="3EC108E9"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A56D253"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A</w:t>
            </w:r>
          </w:p>
        </w:tc>
        <w:tc>
          <w:tcPr>
            <w:tcW w:w="2025" w:type="dxa"/>
            <w:tcBorders>
              <w:top w:val="single" w:sz="4" w:space="0" w:color="auto"/>
              <w:left w:val="single" w:sz="4" w:space="0" w:color="auto"/>
              <w:right w:val="single" w:sz="4" w:space="0" w:color="auto"/>
            </w:tcBorders>
            <w:shd w:val="clear" w:color="auto" w:fill="auto"/>
          </w:tcPr>
          <w:p w14:paraId="3FCF70A0"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tcPr>
          <w:p w14:paraId="142085FD"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16.21%</w:t>
            </w:r>
          </w:p>
        </w:tc>
      </w:tr>
      <w:tr w:rsidR="008C34A2" w:rsidRPr="00781112" w14:paraId="6C0A9325"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E7FAFD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B</w:t>
            </w:r>
          </w:p>
        </w:tc>
        <w:tc>
          <w:tcPr>
            <w:tcW w:w="2025" w:type="dxa"/>
            <w:tcBorders>
              <w:top w:val="single" w:sz="4" w:space="0" w:color="auto"/>
              <w:left w:val="single" w:sz="4" w:space="0" w:color="auto"/>
              <w:right w:val="single" w:sz="4" w:space="0" w:color="auto"/>
            </w:tcBorders>
            <w:shd w:val="clear" w:color="auto" w:fill="auto"/>
          </w:tcPr>
          <w:p w14:paraId="538A3CE6"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tcPr>
          <w:p w14:paraId="794F234F"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5.77%</w:t>
            </w:r>
          </w:p>
        </w:tc>
      </w:tr>
      <w:tr w:rsidR="008C34A2" w:rsidRPr="00781112" w14:paraId="2DFA9728" w14:textId="77777777" w:rsidTr="00DF5DC9">
        <w:trPr>
          <w:trHeight w:val="85"/>
        </w:trPr>
        <w:tc>
          <w:tcPr>
            <w:tcW w:w="1436" w:type="dxa"/>
            <w:tcBorders>
              <w:left w:val="single" w:sz="4" w:space="0" w:color="auto"/>
              <w:right w:val="single" w:sz="4" w:space="0" w:color="auto"/>
            </w:tcBorders>
            <w:shd w:val="clear" w:color="auto" w:fill="auto"/>
            <w:vAlign w:val="center"/>
          </w:tcPr>
          <w:p w14:paraId="6CBBDF9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C</w:t>
            </w:r>
          </w:p>
        </w:tc>
        <w:tc>
          <w:tcPr>
            <w:tcW w:w="2025" w:type="dxa"/>
            <w:tcBorders>
              <w:left w:val="single" w:sz="4" w:space="0" w:color="auto"/>
              <w:right w:val="single" w:sz="4" w:space="0" w:color="auto"/>
            </w:tcBorders>
            <w:shd w:val="clear" w:color="auto" w:fill="auto"/>
          </w:tcPr>
          <w:p w14:paraId="7E7E5689"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left w:val="single" w:sz="4" w:space="0" w:color="auto"/>
              <w:right w:val="single" w:sz="4" w:space="0" w:color="auto"/>
            </w:tcBorders>
          </w:tcPr>
          <w:p w14:paraId="4FCAB124"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3.34%</w:t>
            </w:r>
          </w:p>
        </w:tc>
      </w:tr>
    </w:tbl>
    <w:p w14:paraId="3CB9A2A8" w14:textId="77777777" w:rsidR="008C34A2" w:rsidRPr="00992ACE" w:rsidRDefault="008C34A2" w:rsidP="00992ACE">
      <w:pPr>
        <w:rPr>
          <w:rFonts w:cs="Arial"/>
          <w:color w:val="000000" w:themeColor="text1"/>
          <w:szCs w:val="16"/>
        </w:rPr>
      </w:pPr>
    </w:p>
    <w:p w14:paraId="47A40AAD" w14:textId="088A53BD" w:rsidR="0059735F" w:rsidRPr="00781112" w:rsidRDefault="0059735F" w:rsidP="0059735F">
      <w:pPr>
        <w:rPr>
          <w:b/>
          <w:bCs/>
          <w:color w:val="000000" w:themeColor="text1"/>
        </w:rPr>
      </w:pPr>
      <w:r w:rsidRPr="00781112">
        <w:rPr>
          <w:b/>
          <w:bCs/>
        </w:rPr>
        <w:t>Inclusive Targets – 6A, 6B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BTARGETSINCL"/>
      </w:tblPr>
      <w:tblGrid>
        <w:gridCol w:w="1074"/>
        <w:gridCol w:w="1618"/>
        <w:gridCol w:w="1618"/>
        <w:gridCol w:w="1621"/>
        <w:gridCol w:w="1619"/>
        <w:gridCol w:w="1619"/>
        <w:gridCol w:w="1621"/>
      </w:tblGrid>
      <w:tr w:rsidR="00D62058" w:rsidRPr="00781112" w14:paraId="502A05CF" w14:textId="31F34C5E" w:rsidTr="005F5FE9">
        <w:trPr>
          <w:trHeight w:val="297"/>
        </w:trPr>
        <w:tc>
          <w:tcPr>
            <w:tcW w:w="498" w:type="pct"/>
            <w:tcBorders>
              <w:bottom w:val="single" w:sz="4" w:space="0" w:color="auto"/>
            </w:tcBorders>
            <w:shd w:val="clear" w:color="auto" w:fill="auto"/>
          </w:tcPr>
          <w:p w14:paraId="24938C30" w14:textId="77777777" w:rsidR="00D62058" w:rsidRPr="00781112" w:rsidRDefault="00D62058" w:rsidP="00D62058">
            <w:pPr>
              <w:jc w:val="center"/>
              <w:rPr>
                <w:b/>
                <w:color w:val="000000" w:themeColor="text1"/>
              </w:rPr>
            </w:pPr>
            <w:r w:rsidRPr="00781112">
              <w:rPr>
                <w:b/>
                <w:color w:val="000000" w:themeColor="text1"/>
              </w:rPr>
              <w:t>FFY</w:t>
            </w:r>
          </w:p>
        </w:tc>
        <w:tc>
          <w:tcPr>
            <w:tcW w:w="750" w:type="pct"/>
            <w:shd w:val="clear" w:color="auto" w:fill="auto"/>
          </w:tcPr>
          <w:p w14:paraId="4B75D90A" w14:textId="04FBCB48" w:rsidR="00D62058" w:rsidRPr="00781112" w:rsidRDefault="00D62058" w:rsidP="00D62058">
            <w:pPr>
              <w:jc w:val="center"/>
              <w:rPr>
                <w:b/>
                <w:color w:val="000000" w:themeColor="text1"/>
              </w:rPr>
            </w:pPr>
            <w:r w:rsidRPr="00781112">
              <w:rPr>
                <w:b/>
                <w:color w:val="000000" w:themeColor="text1"/>
              </w:rPr>
              <w:t>2020</w:t>
            </w:r>
          </w:p>
        </w:tc>
        <w:tc>
          <w:tcPr>
            <w:tcW w:w="750" w:type="pct"/>
          </w:tcPr>
          <w:p w14:paraId="5DC58FF5" w14:textId="7CBB0832" w:rsidR="00D62058" w:rsidRPr="00781112" w:rsidRDefault="00D62058" w:rsidP="00360DD6">
            <w:pPr>
              <w:jc w:val="center"/>
              <w:rPr>
                <w:b/>
                <w:color w:val="000000" w:themeColor="text1"/>
              </w:rPr>
            </w:pPr>
            <w:r w:rsidRPr="00781112">
              <w:rPr>
                <w:b/>
                <w:color w:val="000000" w:themeColor="text1"/>
              </w:rPr>
              <w:t>2021</w:t>
            </w:r>
          </w:p>
        </w:tc>
        <w:tc>
          <w:tcPr>
            <w:tcW w:w="751" w:type="pct"/>
          </w:tcPr>
          <w:p w14:paraId="7F3093B9" w14:textId="2E366C4A" w:rsidR="00D62058" w:rsidRPr="00781112" w:rsidRDefault="00D62058" w:rsidP="00360DD6">
            <w:pPr>
              <w:jc w:val="center"/>
              <w:rPr>
                <w:b/>
                <w:color w:val="000000" w:themeColor="text1"/>
              </w:rPr>
            </w:pPr>
            <w:r w:rsidRPr="00781112">
              <w:rPr>
                <w:b/>
                <w:color w:val="000000" w:themeColor="text1"/>
              </w:rPr>
              <w:t>2022</w:t>
            </w:r>
          </w:p>
        </w:tc>
        <w:tc>
          <w:tcPr>
            <w:tcW w:w="750" w:type="pct"/>
          </w:tcPr>
          <w:p w14:paraId="05A02BBA" w14:textId="78E50BC0" w:rsidR="00D62058" w:rsidRPr="00781112" w:rsidRDefault="00D62058" w:rsidP="00360DD6">
            <w:pPr>
              <w:jc w:val="center"/>
              <w:rPr>
                <w:b/>
                <w:color w:val="000000" w:themeColor="text1"/>
              </w:rPr>
            </w:pPr>
            <w:r w:rsidRPr="00781112">
              <w:rPr>
                <w:b/>
                <w:color w:val="000000" w:themeColor="text1"/>
              </w:rPr>
              <w:t>2023</w:t>
            </w:r>
          </w:p>
        </w:tc>
        <w:tc>
          <w:tcPr>
            <w:tcW w:w="750" w:type="pct"/>
          </w:tcPr>
          <w:p w14:paraId="6CBA3A70" w14:textId="0600BFC9" w:rsidR="00D62058" w:rsidRPr="00781112" w:rsidRDefault="00D62058" w:rsidP="00360DD6">
            <w:pPr>
              <w:jc w:val="center"/>
              <w:rPr>
                <w:b/>
                <w:color w:val="000000" w:themeColor="text1"/>
              </w:rPr>
            </w:pPr>
            <w:r w:rsidRPr="00781112">
              <w:rPr>
                <w:b/>
                <w:color w:val="000000" w:themeColor="text1"/>
              </w:rPr>
              <w:t>2024</w:t>
            </w:r>
          </w:p>
        </w:tc>
        <w:tc>
          <w:tcPr>
            <w:tcW w:w="751" w:type="pct"/>
          </w:tcPr>
          <w:p w14:paraId="3F60B98C" w14:textId="65CA3F62" w:rsidR="00D62058" w:rsidRPr="00781112" w:rsidRDefault="00D62058" w:rsidP="00360DD6">
            <w:pPr>
              <w:jc w:val="center"/>
              <w:rPr>
                <w:b/>
                <w:color w:val="000000" w:themeColor="text1"/>
              </w:rPr>
            </w:pPr>
            <w:r w:rsidRPr="00781112">
              <w:rPr>
                <w:b/>
                <w:color w:val="000000" w:themeColor="text1"/>
              </w:rPr>
              <w:t>2025</w:t>
            </w:r>
          </w:p>
        </w:tc>
      </w:tr>
      <w:tr w:rsidR="00D62058" w:rsidRPr="00781112" w14:paraId="19DCE246" w14:textId="1AEE89BD" w:rsidTr="005F5FE9">
        <w:trPr>
          <w:trHeight w:val="303"/>
        </w:trPr>
        <w:tc>
          <w:tcPr>
            <w:tcW w:w="498" w:type="pct"/>
            <w:shd w:val="clear" w:color="auto" w:fill="auto"/>
            <w:vAlign w:val="center"/>
          </w:tcPr>
          <w:p w14:paraId="772DAD56" w14:textId="1540F97B" w:rsidR="00D62058" w:rsidRPr="00781112" w:rsidRDefault="00D62058" w:rsidP="00D62058">
            <w:pPr>
              <w:rPr>
                <w:rFonts w:cs="Arial"/>
                <w:color w:val="000000" w:themeColor="text1"/>
                <w:szCs w:val="16"/>
              </w:rPr>
            </w:pPr>
            <w:r w:rsidRPr="00781112">
              <w:rPr>
                <w:rFonts w:cs="Arial"/>
                <w:color w:val="000000" w:themeColor="text1"/>
                <w:szCs w:val="16"/>
              </w:rPr>
              <w:t>Target A &gt;=</w:t>
            </w:r>
          </w:p>
        </w:tc>
        <w:tc>
          <w:tcPr>
            <w:tcW w:w="750" w:type="pct"/>
            <w:shd w:val="clear" w:color="auto" w:fill="auto"/>
            <w:vAlign w:val="center"/>
          </w:tcPr>
          <w:p w14:paraId="2E5FC5F6" w14:textId="4C6B8E64" w:rsidR="00D62058" w:rsidRPr="00781112" w:rsidRDefault="00D62058" w:rsidP="00D62058">
            <w:pPr>
              <w:jc w:val="center"/>
              <w:rPr>
                <w:rFonts w:cs="Arial"/>
                <w:color w:val="000000" w:themeColor="text1"/>
                <w:szCs w:val="16"/>
              </w:rPr>
            </w:pPr>
            <w:r w:rsidRPr="00781112">
              <w:rPr>
                <w:rFonts w:cs="Arial"/>
                <w:color w:val="000000" w:themeColor="text1"/>
                <w:szCs w:val="16"/>
              </w:rPr>
              <w:t>16.25%</w:t>
            </w:r>
          </w:p>
        </w:tc>
        <w:tc>
          <w:tcPr>
            <w:tcW w:w="750" w:type="pct"/>
          </w:tcPr>
          <w:p w14:paraId="4C26EA28" w14:textId="691A218F" w:rsidR="00D62058" w:rsidRPr="00781112" w:rsidRDefault="00D62058" w:rsidP="00360DD6">
            <w:pPr>
              <w:jc w:val="center"/>
              <w:rPr>
                <w:rFonts w:cs="Arial"/>
                <w:color w:val="000000" w:themeColor="text1"/>
                <w:szCs w:val="16"/>
              </w:rPr>
            </w:pPr>
            <w:r w:rsidRPr="00781112">
              <w:rPr>
                <w:rFonts w:cs="Arial"/>
                <w:color w:val="000000" w:themeColor="text1"/>
                <w:szCs w:val="16"/>
              </w:rPr>
              <w:t>16.50%</w:t>
            </w:r>
          </w:p>
        </w:tc>
        <w:tc>
          <w:tcPr>
            <w:tcW w:w="751" w:type="pct"/>
          </w:tcPr>
          <w:p w14:paraId="0BF1D9D9" w14:textId="482D9F05" w:rsidR="00D62058" w:rsidRPr="00781112" w:rsidRDefault="00D62058" w:rsidP="00360DD6">
            <w:pPr>
              <w:jc w:val="center"/>
              <w:rPr>
                <w:rFonts w:cs="Arial"/>
                <w:color w:val="000000" w:themeColor="text1"/>
                <w:szCs w:val="16"/>
              </w:rPr>
            </w:pPr>
            <w:r w:rsidRPr="00781112">
              <w:rPr>
                <w:rFonts w:cs="Arial"/>
                <w:color w:val="000000" w:themeColor="text1"/>
                <w:szCs w:val="16"/>
              </w:rPr>
              <w:t>17.00%</w:t>
            </w:r>
          </w:p>
        </w:tc>
        <w:tc>
          <w:tcPr>
            <w:tcW w:w="750" w:type="pct"/>
          </w:tcPr>
          <w:p w14:paraId="583F2116" w14:textId="7106D36C" w:rsidR="00D62058" w:rsidRPr="00781112" w:rsidRDefault="00D62058" w:rsidP="00360DD6">
            <w:pPr>
              <w:jc w:val="center"/>
              <w:rPr>
                <w:rFonts w:cs="Arial"/>
                <w:color w:val="000000" w:themeColor="text1"/>
                <w:szCs w:val="16"/>
              </w:rPr>
            </w:pPr>
            <w:r w:rsidRPr="00781112">
              <w:rPr>
                <w:rFonts w:cs="Arial"/>
                <w:color w:val="000000" w:themeColor="text1"/>
                <w:szCs w:val="16"/>
              </w:rPr>
              <w:t>17.25%</w:t>
            </w:r>
          </w:p>
        </w:tc>
        <w:tc>
          <w:tcPr>
            <w:tcW w:w="750" w:type="pct"/>
          </w:tcPr>
          <w:p w14:paraId="08E53F3C" w14:textId="7CD4AF73" w:rsidR="00D62058" w:rsidRPr="00781112" w:rsidRDefault="00D62058" w:rsidP="00360DD6">
            <w:pPr>
              <w:jc w:val="center"/>
              <w:rPr>
                <w:rFonts w:cs="Arial"/>
                <w:color w:val="000000" w:themeColor="text1"/>
                <w:szCs w:val="16"/>
              </w:rPr>
            </w:pPr>
            <w:r w:rsidRPr="00781112">
              <w:rPr>
                <w:rFonts w:cs="Arial"/>
                <w:color w:val="000000" w:themeColor="text1"/>
                <w:szCs w:val="16"/>
              </w:rPr>
              <w:t>17.50%</w:t>
            </w:r>
          </w:p>
        </w:tc>
        <w:tc>
          <w:tcPr>
            <w:tcW w:w="751" w:type="pct"/>
          </w:tcPr>
          <w:p w14:paraId="5DB78609" w14:textId="0CCC9197" w:rsidR="00D62058" w:rsidRPr="00781112" w:rsidRDefault="00D62058" w:rsidP="00360DD6">
            <w:pPr>
              <w:jc w:val="center"/>
              <w:rPr>
                <w:rFonts w:cs="Arial"/>
                <w:color w:val="000000" w:themeColor="text1"/>
                <w:szCs w:val="16"/>
              </w:rPr>
            </w:pPr>
            <w:r w:rsidRPr="00781112">
              <w:rPr>
                <w:rFonts w:cs="Arial"/>
                <w:color w:val="000000" w:themeColor="text1"/>
                <w:szCs w:val="16"/>
              </w:rPr>
              <w:t>18.00%</w:t>
            </w:r>
          </w:p>
        </w:tc>
      </w:tr>
      <w:tr w:rsidR="00D62058" w:rsidRPr="00781112" w14:paraId="3AA5E8F7" w14:textId="085D0F95" w:rsidTr="005F5FE9">
        <w:trPr>
          <w:trHeight w:val="303"/>
        </w:trPr>
        <w:tc>
          <w:tcPr>
            <w:tcW w:w="498" w:type="pct"/>
            <w:shd w:val="clear" w:color="auto" w:fill="auto"/>
            <w:vAlign w:val="center"/>
          </w:tcPr>
          <w:p w14:paraId="49E152B3" w14:textId="4DC08CD2" w:rsidR="00D62058" w:rsidRPr="00781112" w:rsidRDefault="00D62058" w:rsidP="00D62058">
            <w:pPr>
              <w:rPr>
                <w:rFonts w:cs="Arial"/>
                <w:color w:val="000000" w:themeColor="text1"/>
                <w:szCs w:val="16"/>
              </w:rPr>
            </w:pPr>
            <w:r w:rsidRPr="00781112">
              <w:rPr>
                <w:rFonts w:cs="Arial"/>
                <w:color w:val="000000" w:themeColor="text1"/>
                <w:szCs w:val="16"/>
              </w:rPr>
              <w:t>Target B &lt;=</w:t>
            </w:r>
          </w:p>
        </w:tc>
        <w:tc>
          <w:tcPr>
            <w:tcW w:w="750" w:type="pct"/>
            <w:shd w:val="clear" w:color="auto" w:fill="auto"/>
            <w:vAlign w:val="center"/>
          </w:tcPr>
          <w:p w14:paraId="642E6A80" w14:textId="7A6AF652" w:rsidR="00D62058" w:rsidRPr="00781112" w:rsidRDefault="00D62058" w:rsidP="00D62058">
            <w:pPr>
              <w:jc w:val="center"/>
              <w:rPr>
                <w:rFonts w:cs="Arial"/>
                <w:color w:val="000000" w:themeColor="text1"/>
                <w:szCs w:val="16"/>
              </w:rPr>
            </w:pPr>
            <w:r w:rsidRPr="00781112">
              <w:rPr>
                <w:rFonts w:cs="Arial"/>
                <w:color w:val="000000" w:themeColor="text1"/>
                <w:szCs w:val="16"/>
              </w:rPr>
              <w:t>5.00%</w:t>
            </w:r>
          </w:p>
        </w:tc>
        <w:tc>
          <w:tcPr>
            <w:tcW w:w="750" w:type="pct"/>
          </w:tcPr>
          <w:p w14:paraId="752B6B9E" w14:textId="3979D870" w:rsidR="00D62058" w:rsidRPr="00781112" w:rsidRDefault="00D62058" w:rsidP="00360DD6">
            <w:pPr>
              <w:jc w:val="center"/>
              <w:rPr>
                <w:rFonts w:cs="Arial"/>
                <w:color w:val="000000" w:themeColor="text1"/>
                <w:szCs w:val="16"/>
              </w:rPr>
            </w:pPr>
            <w:r w:rsidRPr="00781112">
              <w:rPr>
                <w:rFonts w:cs="Arial"/>
                <w:color w:val="000000" w:themeColor="text1"/>
                <w:szCs w:val="16"/>
              </w:rPr>
              <w:t>5.00%</w:t>
            </w:r>
          </w:p>
        </w:tc>
        <w:tc>
          <w:tcPr>
            <w:tcW w:w="751" w:type="pct"/>
          </w:tcPr>
          <w:p w14:paraId="1DCC77D9" w14:textId="4B30FDBE" w:rsidR="00D62058" w:rsidRPr="00781112" w:rsidRDefault="00D62058" w:rsidP="00360DD6">
            <w:pPr>
              <w:jc w:val="center"/>
              <w:rPr>
                <w:rFonts w:cs="Arial"/>
                <w:color w:val="000000" w:themeColor="text1"/>
                <w:szCs w:val="16"/>
              </w:rPr>
            </w:pPr>
            <w:r w:rsidRPr="00781112">
              <w:rPr>
                <w:rFonts w:cs="Arial"/>
                <w:color w:val="000000" w:themeColor="text1"/>
                <w:szCs w:val="16"/>
              </w:rPr>
              <w:t>4.90%</w:t>
            </w:r>
          </w:p>
        </w:tc>
        <w:tc>
          <w:tcPr>
            <w:tcW w:w="750" w:type="pct"/>
          </w:tcPr>
          <w:p w14:paraId="481E8597" w14:textId="10A83577" w:rsidR="00D62058" w:rsidRPr="00781112" w:rsidRDefault="00D62058" w:rsidP="00360DD6">
            <w:pPr>
              <w:jc w:val="center"/>
              <w:rPr>
                <w:rFonts w:cs="Arial"/>
                <w:color w:val="000000" w:themeColor="text1"/>
                <w:szCs w:val="16"/>
              </w:rPr>
            </w:pPr>
            <w:r w:rsidRPr="00781112">
              <w:rPr>
                <w:rFonts w:cs="Arial"/>
                <w:color w:val="000000" w:themeColor="text1"/>
                <w:szCs w:val="16"/>
              </w:rPr>
              <w:t>4.90%</w:t>
            </w:r>
          </w:p>
        </w:tc>
        <w:tc>
          <w:tcPr>
            <w:tcW w:w="750" w:type="pct"/>
          </w:tcPr>
          <w:p w14:paraId="55F7CFD1" w14:textId="49CA8BA3" w:rsidR="00D62058" w:rsidRPr="00781112" w:rsidRDefault="00D62058" w:rsidP="00360DD6">
            <w:pPr>
              <w:jc w:val="center"/>
              <w:rPr>
                <w:rFonts w:cs="Arial"/>
                <w:color w:val="000000" w:themeColor="text1"/>
                <w:szCs w:val="16"/>
              </w:rPr>
            </w:pPr>
            <w:r w:rsidRPr="00781112">
              <w:rPr>
                <w:rFonts w:cs="Arial"/>
                <w:color w:val="000000" w:themeColor="text1"/>
                <w:szCs w:val="16"/>
              </w:rPr>
              <w:t>4.80%</w:t>
            </w:r>
          </w:p>
        </w:tc>
        <w:tc>
          <w:tcPr>
            <w:tcW w:w="751" w:type="pct"/>
          </w:tcPr>
          <w:p w14:paraId="1EEC563A" w14:textId="2B8532E2" w:rsidR="00D62058" w:rsidRPr="00781112" w:rsidRDefault="00D62058" w:rsidP="00360DD6">
            <w:pPr>
              <w:jc w:val="center"/>
              <w:rPr>
                <w:rFonts w:cs="Arial"/>
                <w:color w:val="000000" w:themeColor="text1"/>
                <w:szCs w:val="16"/>
              </w:rPr>
            </w:pPr>
            <w:r w:rsidRPr="00781112">
              <w:rPr>
                <w:rFonts w:cs="Arial"/>
                <w:color w:val="000000" w:themeColor="text1"/>
                <w:szCs w:val="16"/>
              </w:rPr>
              <w:t>4.80%</w:t>
            </w:r>
          </w:p>
        </w:tc>
      </w:tr>
    </w:tbl>
    <w:p w14:paraId="27170CED" w14:textId="772C81FC" w:rsidR="00E428BD" w:rsidRDefault="00E428BD" w:rsidP="004369B2">
      <w:pPr>
        <w:rPr>
          <w:color w:val="000000" w:themeColor="text1"/>
        </w:rPr>
      </w:pPr>
      <w:bookmarkStart w:id="34" w:name="_Toc382082378"/>
      <w:bookmarkStart w:id="35" w:name="_Toc392159302"/>
    </w:p>
    <w:p w14:paraId="38AC4E98" w14:textId="77777777" w:rsidR="0040181B" w:rsidRPr="00781112" w:rsidRDefault="0040181B" w:rsidP="0040181B">
      <w:pPr>
        <w:rPr>
          <w:b/>
          <w:bCs/>
          <w:color w:val="000000" w:themeColor="text1"/>
        </w:rPr>
      </w:pPr>
      <w:r w:rsidRPr="00781112">
        <w:rPr>
          <w:b/>
          <w:bCs/>
        </w:rPr>
        <w:t>Inclusive Targets – 6C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CTARGETSINCL"/>
      </w:tblPr>
      <w:tblGrid>
        <w:gridCol w:w="1074"/>
        <w:gridCol w:w="1618"/>
        <w:gridCol w:w="1618"/>
        <w:gridCol w:w="1621"/>
        <w:gridCol w:w="1619"/>
        <w:gridCol w:w="1619"/>
        <w:gridCol w:w="1621"/>
      </w:tblGrid>
      <w:tr w:rsidR="0040181B" w:rsidRPr="00781112" w14:paraId="6B43903F" w14:textId="77777777" w:rsidTr="00992ACE">
        <w:trPr>
          <w:trHeight w:val="297"/>
        </w:trPr>
        <w:tc>
          <w:tcPr>
            <w:tcW w:w="498" w:type="pct"/>
            <w:tcBorders>
              <w:bottom w:val="single" w:sz="4" w:space="0" w:color="auto"/>
            </w:tcBorders>
            <w:shd w:val="clear" w:color="auto" w:fill="auto"/>
          </w:tcPr>
          <w:p w14:paraId="454FDD0F" w14:textId="77777777" w:rsidR="0040181B" w:rsidRPr="00781112" w:rsidRDefault="0040181B" w:rsidP="00992ACE">
            <w:pPr>
              <w:jc w:val="center"/>
              <w:rPr>
                <w:b/>
                <w:color w:val="000000" w:themeColor="text1"/>
              </w:rPr>
            </w:pPr>
            <w:r w:rsidRPr="00781112">
              <w:rPr>
                <w:b/>
                <w:color w:val="000000" w:themeColor="text1"/>
              </w:rPr>
              <w:t>FFY</w:t>
            </w:r>
          </w:p>
        </w:tc>
        <w:tc>
          <w:tcPr>
            <w:tcW w:w="750" w:type="pct"/>
            <w:shd w:val="clear" w:color="auto" w:fill="auto"/>
          </w:tcPr>
          <w:p w14:paraId="23E06477" w14:textId="77777777" w:rsidR="0040181B" w:rsidRPr="00781112" w:rsidRDefault="0040181B" w:rsidP="00992ACE">
            <w:pPr>
              <w:jc w:val="center"/>
              <w:rPr>
                <w:b/>
                <w:color w:val="000000" w:themeColor="text1"/>
              </w:rPr>
            </w:pPr>
            <w:r w:rsidRPr="00781112">
              <w:rPr>
                <w:b/>
                <w:color w:val="000000" w:themeColor="text1"/>
              </w:rPr>
              <w:t>2020</w:t>
            </w:r>
          </w:p>
        </w:tc>
        <w:tc>
          <w:tcPr>
            <w:tcW w:w="750" w:type="pct"/>
          </w:tcPr>
          <w:p w14:paraId="727ADECD" w14:textId="77777777" w:rsidR="0040181B" w:rsidRPr="00781112" w:rsidRDefault="0040181B" w:rsidP="00992ACE">
            <w:pPr>
              <w:jc w:val="center"/>
              <w:rPr>
                <w:b/>
                <w:color w:val="000000" w:themeColor="text1"/>
              </w:rPr>
            </w:pPr>
            <w:r w:rsidRPr="00781112">
              <w:rPr>
                <w:b/>
                <w:color w:val="000000" w:themeColor="text1"/>
              </w:rPr>
              <w:t>2021</w:t>
            </w:r>
          </w:p>
        </w:tc>
        <w:tc>
          <w:tcPr>
            <w:tcW w:w="751" w:type="pct"/>
          </w:tcPr>
          <w:p w14:paraId="6EC259CD" w14:textId="77777777" w:rsidR="0040181B" w:rsidRPr="00781112" w:rsidRDefault="0040181B" w:rsidP="00992ACE">
            <w:pPr>
              <w:jc w:val="center"/>
              <w:rPr>
                <w:b/>
                <w:color w:val="000000" w:themeColor="text1"/>
              </w:rPr>
            </w:pPr>
            <w:r w:rsidRPr="00781112">
              <w:rPr>
                <w:b/>
                <w:color w:val="000000" w:themeColor="text1"/>
              </w:rPr>
              <w:t>2022</w:t>
            </w:r>
          </w:p>
        </w:tc>
        <w:tc>
          <w:tcPr>
            <w:tcW w:w="750" w:type="pct"/>
          </w:tcPr>
          <w:p w14:paraId="30FC0D14" w14:textId="77777777" w:rsidR="0040181B" w:rsidRPr="00781112" w:rsidRDefault="0040181B" w:rsidP="00992ACE">
            <w:pPr>
              <w:jc w:val="center"/>
              <w:rPr>
                <w:b/>
                <w:color w:val="000000" w:themeColor="text1"/>
              </w:rPr>
            </w:pPr>
            <w:r w:rsidRPr="00781112">
              <w:rPr>
                <w:b/>
                <w:color w:val="000000" w:themeColor="text1"/>
              </w:rPr>
              <w:t>2023</w:t>
            </w:r>
          </w:p>
        </w:tc>
        <w:tc>
          <w:tcPr>
            <w:tcW w:w="750" w:type="pct"/>
          </w:tcPr>
          <w:p w14:paraId="508E78A1" w14:textId="77777777" w:rsidR="0040181B" w:rsidRPr="00781112" w:rsidRDefault="0040181B" w:rsidP="00992ACE">
            <w:pPr>
              <w:jc w:val="center"/>
              <w:rPr>
                <w:b/>
                <w:color w:val="000000" w:themeColor="text1"/>
              </w:rPr>
            </w:pPr>
            <w:r w:rsidRPr="00781112">
              <w:rPr>
                <w:b/>
                <w:color w:val="000000" w:themeColor="text1"/>
              </w:rPr>
              <w:t>2024</w:t>
            </w:r>
          </w:p>
        </w:tc>
        <w:tc>
          <w:tcPr>
            <w:tcW w:w="751" w:type="pct"/>
          </w:tcPr>
          <w:p w14:paraId="04B69375" w14:textId="77777777" w:rsidR="0040181B" w:rsidRPr="00781112" w:rsidRDefault="0040181B" w:rsidP="00992ACE">
            <w:pPr>
              <w:jc w:val="center"/>
              <w:rPr>
                <w:b/>
                <w:color w:val="000000" w:themeColor="text1"/>
              </w:rPr>
            </w:pPr>
            <w:r w:rsidRPr="00781112">
              <w:rPr>
                <w:b/>
                <w:color w:val="000000" w:themeColor="text1"/>
              </w:rPr>
              <w:t>2025</w:t>
            </w:r>
          </w:p>
        </w:tc>
      </w:tr>
      <w:tr w:rsidR="0040181B" w:rsidRPr="00781112" w14:paraId="38A2A2D3" w14:textId="77777777" w:rsidTr="00992ACE">
        <w:trPr>
          <w:trHeight w:val="303"/>
        </w:trPr>
        <w:tc>
          <w:tcPr>
            <w:tcW w:w="498" w:type="pct"/>
            <w:shd w:val="clear" w:color="auto" w:fill="auto"/>
            <w:vAlign w:val="center"/>
          </w:tcPr>
          <w:p w14:paraId="1A01A931" w14:textId="77777777" w:rsidR="0040181B" w:rsidRPr="00781112" w:rsidRDefault="0040181B" w:rsidP="00992ACE">
            <w:pPr>
              <w:rPr>
                <w:rFonts w:cs="Arial"/>
                <w:color w:val="000000" w:themeColor="text1"/>
                <w:szCs w:val="16"/>
              </w:rPr>
            </w:pPr>
            <w:r w:rsidRPr="00781112">
              <w:rPr>
                <w:rFonts w:cs="Arial"/>
                <w:color w:val="000000" w:themeColor="text1"/>
                <w:szCs w:val="16"/>
              </w:rPr>
              <w:t>Target C &lt;=</w:t>
            </w:r>
          </w:p>
        </w:tc>
        <w:tc>
          <w:tcPr>
            <w:tcW w:w="750" w:type="pct"/>
            <w:shd w:val="clear" w:color="auto" w:fill="auto"/>
            <w:vAlign w:val="center"/>
          </w:tcPr>
          <w:p w14:paraId="4CC46A48"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3.34%</w:t>
            </w:r>
          </w:p>
        </w:tc>
        <w:tc>
          <w:tcPr>
            <w:tcW w:w="750" w:type="pct"/>
          </w:tcPr>
          <w:p w14:paraId="262E2FD0"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3.34%</w:t>
            </w:r>
          </w:p>
        </w:tc>
        <w:tc>
          <w:tcPr>
            <w:tcW w:w="751" w:type="pct"/>
          </w:tcPr>
          <w:p w14:paraId="54ED085E"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3.20%</w:t>
            </w:r>
          </w:p>
        </w:tc>
        <w:tc>
          <w:tcPr>
            <w:tcW w:w="750" w:type="pct"/>
          </w:tcPr>
          <w:p w14:paraId="2466D4C4"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3.20%</w:t>
            </w:r>
          </w:p>
        </w:tc>
        <w:tc>
          <w:tcPr>
            <w:tcW w:w="750" w:type="pct"/>
          </w:tcPr>
          <w:p w14:paraId="17FD3C25"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3.10%</w:t>
            </w:r>
          </w:p>
        </w:tc>
        <w:tc>
          <w:tcPr>
            <w:tcW w:w="751" w:type="pct"/>
          </w:tcPr>
          <w:p w14:paraId="68F92238"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3.10%</w:t>
            </w:r>
          </w:p>
        </w:tc>
      </w:tr>
    </w:tbl>
    <w:p w14:paraId="6F4455E5" w14:textId="77777777" w:rsidR="0040181B" w:rsidRPr="00781112" w:rsidRDefault="0040181B" w:rsidP="0040181B">
      <w:pPr>
        <w:rPr>
          <w:color w:val="000000" w:themeColor="text1"/>
        </w:rPr>
      </w:pPr>
    </w:p>
    <w:p w14:paraId="50508AD8" w14:textId="0C71BBD3" w:rsidR="008751D3" w:rsidRPr="00781112" w:rsidRDefault="008751D3" w:rsidP="004369B2">
      <w:pPr>
        <w:rPr>
          <w:b/>
          <w:color w:val="000000" w:themeColor="text1"/>
        </w:rPr>
      </w:pPr>
      <w:r w:rsidRPr="00781112">
        <w:rPr>
          <w:b/>
          <w:color w:val="000000" w:themeColor="text1"/>
        </w:rPr>
        <w:t>Prepopulated Data</w:t>
      </w:r>
    </w:p>
    <w:p w14:paraId="4FE8FE34"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Data Source:  </w:t>
      </w:r>
    </w:p>
    <w:p w14:paraId="386CE8B6" w14:textId="365EFD16" w:rsidR="004F4564" w:rsidRPr="00781112" w:rsidRDefault="004F4564" w:rsidP="004F4564">
      <w:pPr>
        <w:rPr>
          <w:rFonts w:cs="Arial"/>
          <w:color w:val="000000" w:themeColor="text1"/>
          <w:szCs w:val="16"/>
        </w:rPr>
      </w:pPr>
      <w:r w:rsidRPr="00781112">
        <w:rPr>
          <w:rFonts w:cs="Arial"/>
          <w:color w:val="000000" w:themeColor="text1"/>
          <w:szCs w:val="16"/>
        </w:rPr>
        <w:t>SY 2020-21 Child Count/Educational Environment Data Groups (EDFacts file spec FS089; Data group 613)</w:t>
      </w:r>
    </w:p>
    <w:p w14:paraId="4528541A"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Date: </w:t>
      </w:r>
    </w:p>
    <w:p w14:paraId="372F35F3" w14:textId="3C0B439F" w:rsidR="004F4564" w:rsidRPr="00781112" w:rsidRDefault="004F4564" w:rsidP="004F4564">
      <w:pPr>
        <w:rPr>
          <w:rFonts w:cs="Arial"/>
          <w:color w:val="000000" w:themeColor="text1"/>
          <w:szCs w:val="16"/>
        </w:rPr>
      </w:pPr>
      <w:r w:rsidRPr="00781112">
        <w:rPr>
          <w:rFonts w:cs="Arial"/>
          <w:color w:val="000000" w:themeColor="text1"/>
          <w:szCs w:val="16"/>
        </w:rPr>
        <w:t>07/07/2021</w:t>
      </w:r>
    </w:p>
    <w:p w14:paraId="023F428E" w14:textId="77777777" w:rsidR="004F4564" w:rsidRPr="00781112" w:rsidRDefault="004F4564"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06PREPOPDATA"/>
      </w:tblPr>
      <w:tblGrid>
        <w:gridCol w:w="3348"/>
        <w:gridCol w:w="1862"/>
        <w:gridCol w:w="1862"/>
        <w:gridCol w:w="1862"/>
        <w:gridCol w:w="1856"/>
      </w:tblGrid>
      <w:tr w:rsidR="00E25159" w:rsidRPr="00781112" w14:paraId="08E6335C" w14:textId="3E29B965" w:rsidTr="00360DD6">
        <w:trPr>
          <w:cantSplit/>
          <w:tblHeader/>
        </w:trPr>
        <w:tc>
          <w:tcPr>
            <w:tcW w:w="1551" w:type="pct"/>
            <w:shd w:val="clear" w:color="auto" w:fill="auto"/>
          </w:tcPr>
          <w:p w14:paraId="47ECA16E" w14:textId="77777777" w:rsidR="00E25159" w:rsidRPr="00781112" w:rsidRDefault="00E25159" w:rsidP="009C613A">
            <w:pPr>
              <w:spacing w:after="0"/>
              <w:jc w:val="center"/>
              <w:rPr>
                <w:rFonts w:cs="Arial"/>
                <w:b/>
                <w:color w:val="000000" w:themeColor="text1"/>
                <w:szCs w:val="16"/>
              </w:rPr>
            </w:pPr>
            <w:r w:rsidRPr="00781112">
              <w:rPr>
                <w:rFonts w:cs="Arial"/>
                <w:b/>
                <w:color w:val="000000" w:themeColor="text1"/>
                <w:szCs w:val="16"/>
              </w:rPr>
              <w:t>Description</w:t>
            </w:r>
          </w:p>
        </w:tc>
        <w:tc>
          <w:tcPr>
            <w:tcW w:w="863" w:type="pct"/>
          </w:tcPr>
          <w:p w14:paraId="06AF5DE5" w14:textId="64A96718"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3</w:t>
            </w:r>
          </w:p>
        </w:tc>
        <w:tc>
          <w:tcPr>
            <w:tcW w:w="863" w:type="pct"/>
          </w:tcPr>
          <w:p w14:paraId="43D1389C" w14:textId="51E4E6FF"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4</w:t>
            </w:r>
          </w:p>
        </w:tc>
        <w:tc>
          <w:tcPr>
            <w:tcW w:w="863" w:type="pct"/>
            <w:shd w:val="clear" w:color="auto" w:fill="auto"/>
          </w:tcPr>
          <w:p w14:paraId="5BF9C35D" w14:textId="53AE3D4B"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5</w:t>
            </w:r>
          </w:p>
        </w:tc>
        <w:tc>
          <w:tcPr>
            <w:tcW w:w="860" w:type="pct"/>
          </w:tcPr>
          <w:p w14:paraId="61BA1D5F" w14:textId="4D953D5F" w:rsidR="00E25159" w:rsidRPr="00781112" w:rsidRDefault="00BB48E9" w:rsidP="009C613A">
            <w:pPr>
              <w:spacing w:after="0"/>
              <w:jc w:val="center"/>
              <w:rPr>
                <w:rFonts w:cs="Arial"/>
                <w:b/>
                <w:color w:val="000000" w:themeColor="text1"/>
                <w:szCs w:val="16"/>
              </w:rPr>
            </w:pPr>
            <w:r w:rsidRPr="00781112">
              <w:rPr>
                <w:rFonts w:cs="Arial"/>
                <w:b/>
                <w:szCs w:val="16"/>
              </w:rPr>
              <w:t>3 through 5 - Total</w:t>
            </w:r>
          </w:p>
        </w:tc>
      </w:tr>
      <w:tr w:rsidR="00DC09CA" w:rsidRPr="00781112" w14:paraId="4FFA6181" w14:textId="716A2CB6" w:rsidTr="00360DD6">
        <w:trPr>
          <w:cantSplit/>
        </w:trPr>
        <w:tc>
          <w:tcPr>
            <w:tcW w:w="1551" w:type="pct"/>
            <w:shd w:val="clear" w:color="auto" w:fill="auto"/>
            <w:vAlign w:val="bottom"/>
          </w:tcPr>
          <w:p w14:paraId="0C7ED212" w14:textId="5E72519E" w:rsidR="00DC09CA" w:rsidRPr="00781112" w:rsidRDefault="00DC09CA" w:rsidP="00DC09CA">
            <w:pPr>
              <w:rPr>
                <w:rFonts w:cs="Arial"/>
                <w:color w:val="000000" w:themeColor="text1"/>
                <w:szCs w:val="16"/>
              </w:rPr>
            </w:pPr>
            <w:r w:rsidRPr="00781112">
              <w:rPr>
                <w:rFonts w:cs="Arial"/>
                <w:color w:val="000000" w:themeColor="text1"/>
                <w:szCs w:val="16"/>
              </w:rPr>
              <w:t>Total number of children with IEPs</w:t>
            </w:r>
          </w:p>
        </w:tc>
        <w:tc>
          <w:tcPr>
            <w:tcW w:w="863" w:type="pct"/>
            <w:vAlign w:val="bottom"/>
          </w:tcPr>
          <w:p w14:paraId="20DD7859" w14:textId="2613E52D" w:rsidR="00DC09CA" w:rsidRPr="00781112" w:rsidRDefault="00DC09CA" w:rsidP="00DC09CA">
            <w:pPr>
              <w:jc w:val="center"/>
              <w:rPr>
                <w:rFonts w:cs="Arial"/>
                <w:color w:val="000000" w:themeColor="text1"/>
                <w:szCs w:val="16"/>
              </w:rPr>
            </w:pPr>
            <w:r w:rsidRPr="00781112">
              <w:rPr>
                <w:rFonts w:cs="Arial"/>
                <w:color w:val="000000" w:themeColor="text1"/>
                <w:szCs w:val="16"/>
              </w:rPr>
              <w:t>1,322</w:t>
            </w:r>
          </w:p>
        </w:tc>
        <w:tc>
          <w:tcPr>
            <w:tcW w:w="863" w:type="pct"/>
          </w:tcPr>
          <w:p w14:paraId="05D687A1" w14:textId="615962C4" w:rsidR="00DC09CA" w:rsidRPr="00781112" w:rsidRDefault="00DC09CA" w:rsidP="00DC09CA">
            <w:pPr>
              <w:jc w:val="center"/>
              <w:rPr>
                <w:rFonts w:cs="Arial"/>
                <w:color w:val="000000" w:themeColor="text1"/>
                <w:szCs w:val="16"/>
              </w:rPr>
            </w:pPr>
            <w:r w:rsidRPr="00781112">
              <w:rPr>
                <w:rFonts w:cs="Arial"/>
                <w:color w:val="000000" w:themeColor="text1"/>
                <w:szCs w:val="16"/>
              </w:rPr>
              <w:t>2,964</w:t>
            </w:r>
          </w:p>
        </w:tc>
        <w:tc>
          <w:tcPr>
            <w:tcW w:w="863" w:type="pct"/>
            <w:shd w:val="clear" w:color="auto" w:fill="auto"/>
          </w:tcPr>
          <w:p w14:paraId="784DA572" w14:textId="619FE690" w:rsidR="00DC09CA" w:rsidRPr="00781112" w:rsidRDefault="00DC09CA" w:rsidP="00DC09CA">
            <w:pPr>
              <w:jc w:val="center"/>
              <w:rPr>
                <w:rFonts w:cs="Arial"/>
                <w:color w:val="000000" w:themeColor="text1"/>
                <w:szCs w:val="16"/>
              </w:rPr>
            </w:pPr>
            <w:r w:rsidRPr="00781112">
              <w:rPr>
                <w:rFonts w:cs="Arial"/>
                <w:color w:val="000000" w:themeColor="text1"/>
                <w:szCs w:val="16"/>
              </w:rPr>
              <w:t>4,096</w:t>
            </w:r>
          </w:p>
        </w:tc>
        <w:tc>
          <w:tcPr>
            <w:tcW w:w="860" w:type="pct"/>
            <w:vAlign w:val="bottom"/>
          </w:tcPr>
          <w:p w14:paraId="11422879" w14:textId="0ABA0049" w:rsidR="00DC09CA" w:rsidRPr="00781112" w:rsidRDefault="00DC09CA" w:rsidP="00DC09CA">
            <w:pPr>
              <w:jc w:val="center"/>
              <w:rPr>
                <w:rFonts w:cs="Arial"/>
                <w:color w:val="000000" w:themeColor="text1"/>
                <w:szCs w:val="16"/>
              </w:rPr>
            </w:pPr>
            <w:r w:rsidRPr="00781112">
              <w:rPr>
                <w:rFonts w:cs="Arial"/>
                <w:color w:val="000000" w:themeColor="text1"/>
                <w:szCs w:val="16"/>
              </w:rPr>
              <w:t>8,382</w:t>
            </w:r>
          </w:p>
        </w:tc>
      </w:tr>
      <w:tr w:rsidR="00AA6D68" w:rsidRPr="00781112" w14:paraId="60B80599" w14:textId="5C935507" w:rsidTr="00360DD6">
        <w:trPr>
          <w:cantSplit/>
        </w:trPr>
        <w:tc>
          <w:tcPr>
            <w:tcW w:w="1551" w:type="pct"/>
            <w:shd w:val="clear" w:color="auto" w:fill="auto"/>
            <w:vAlign w:val="bottom"/>
          </w:tcPr>
          <w:p w14:paraId="143C4F1B" w14:textId="07512ED2" w:rsidR="00AA6D68" w:rsidRPr="00781112" w:rsidRDefault="00AA6D68" w:rsidP="00AA6D68">
            <w:pPr>
              <w:rPr>
                <w:rFonts w:cs="Arial"/>
                <w:color w:val="000000" w:themeColor="text1"/>
                <w:szCs w:val="16"/>
              </w:rPr>
            </w:pPr>
            <w:r w:rsidRPr="00781112">
              <w:rPr>
                <w:rFonts w:cs="Arial"/>
                <w:color w:val="000000" w:themeColor="text1"/>
                <w:szCs w:val="16"/>
              </w:rPr>
              <w:t>a1. Number of children attending a regular early childhood program and receiving the majority of special education and related services in the regular early childhood program</w:t>
            </w:r>
          </w:p>
        </w:tc>
        <w:tc>
          <w:tcPr>
            <w:tcW w:w="863" w:type="pct"/>
            <w:vAlign w:val="bottom"/>
          </w:tcPr>
          <w:p w14:paraId="659D2B47" w14:textId="4A180B03" w:rsidR="00AA6D68" w:rsidRPr="00781112" w:rsidRDefault="00AA6D68" w:rsidP="00AA6D68">
            <w:pPr>
              <w:jc w:val="center"/>
              <w:rPr>
                <w:rFonts w:cs="Arial"/>
                <w:color w:val="000000" w:themeColor="text1"/>
                <w:szCs w:val="16"/>
              </w:rPr>
            </w:pPr>
            <w:r w:rsidRPr="00781112">
              <w:rPr>
                <w:rFonts w:cs="Arial"/>
                <w:color w:val="000000" w:themeColor="text1"/>
                <w:szCs w:val="16"/>
              </w:rPr>
              <w:t>91</w:t>
            </w:r>
          </w:p>
        </w:tc>
        <w:tc>
          <w:tcPr>
            <w:tcW w:w="863" w:type="pct"/>
            <w:vAlign w:val="bottom"/>
          </w:tcPr>
          <w:p w14:paraId="2D2F33A9" w14:textId="09F0EE8B" w:rsidR="00AA6D68" w:rsidRPr="00781112" w:rsidRDefault="00AA6D68" w:rsidP="00AA6D68">
            <w:pPr>
              <w:jc w:val="center"/>
              <w:rPr>
                <w:rFonts w:cs="Arial"/>
                <w:color w:val="000000" w:themeColor="text1"/>
                <w:szCs w:val="16"/>
              </w:rPr>
            </w:pPr>
            <w:r w:rsidRPr="00781112">
              <w:rPr>
                <w:rFonts w:cs="Arial"/>
                <w:color w:val="000000" w:themeColor="text1"/>
                <w:szCs w:val="16"/>
              </w:rPr>
              <w:t>602</w:t>
            </w:r>
          </w:p>
        </w:tc>
        <w:tc>
          <w:tcPr>
            <w:tcW w:w="863" w:type="pct"/>
            <w:shd w:val="clear" w:color="auto" w:fill="auto"/>
            <w:vAlign w:val="bottom"/>
          </w:tcPr>
          <w:p w14:paraId="68B37A39" w14:textId="60285701" w:rsidR="00AA6D68" w:rsidRPr="00781112" w:rsidRDefault="00AA6D68" w:rsidP="00AA6D68">
            <w:pPr>
              <w:jc w:val="center"/>
              <w:rPr>
                <w:rFonts w:cs="Arial"/>
                <w:color w:val="000000" w:themeColor="text1"/>
                <w:szCs w:val="16"/>
              </w:rPr>
            </w:pPr>
            <w:r w:rsidRPr="00781112">
              <w:rPr>
                <w:rFonts w:cs="Arial"/>
                <w:color w:val="000000" w:themeColor="text1"/>
                <w:szCs w:val="16"/>
              </w:rPr>
              <w:t>666</w:t>
            </w:r>
          </w:p>
        </w:tc>
        <w:tc>
          <w:tcPr>
            <w:tcW w:w="860" w:type="pct"/>
            <w:vAlign w:val="bottom"/>
          </w:tcPr>
          <w:p w14:paraId="1B31D3BF" w14:textId="343E52C8" w:rsidR="00AA6D68" w:rsidRPr="00781112" w:rsidRDefault="00AA6D68" w:rsidP="00AA6D68">
            <w:pPr>
              <w:jc w:val="center"/>
              <w:rPr>
                <w:rFonts w:cs="Arial"/>
                <w:color w:val="000000" w:themeColor="text1"/>
                <w:szCs w:val="16"/>
              </w:rPr>
            </w:pPr>
            <w:r w:rsidRPr="00781112">
              <w:rPr>
                <w:rFonts w:cs="Arial"/>
                <w:color w:val="000000" w:themeColor="text1"/>
                <w:szCs w:val="16"/>
              </w:rPr>
              <w:t>1,359</w:t>
            </w:r>
          </w:p>
        </w:tc>
      </w:tr>
      <w:tr w:rsidR="00AA6D68" w:rsidRPr="00781112" w14:paraId="582B62E7" w14:textId="4FE061F8" w:rsidTr="00360DD6">
        <w:trPr>
          <w:cantSplit/>
        </w:trPr>
        <w:tc>
          <w:tcPr>
            <w:tcW w:w="1551" w:type="pct"/>
            <w:shd w:val="clear" w:color="auto" w:fill="auto"/>
            <w:vAlign w:val="bottom"/>
          </w:tcPr>
          <w:p w14:paraId="446012AB" w14:textId="507DD720" w:rsidR="00AA6D68" w:rsidRPr="00781112" w:rsidRDefault="00AA6D68" w:rsidP="00AA6D68">
            <w:pPr>
              <w:rPr>
                <w:rFonts w:cs="Arial"/>
                <w:color w:val="000000" w:themeColor="text1"/>
                <w:szCs w:val="16"/>
              </w:rPr>
            </w:pPr>
            <w:r w:rsidRPr="00781112">
              <w:rPr>
                <w:rFonts w:cs="Arial"/>
                <w:color w:val="000000" w:themeColor="text1"/>
                <w:szCs w:val="16"/>
              </w:rPr>
              <w:t>b1. Number of children attending separate special education class</w:t>
            </w:r>
          </w:p>
        </w:tc>
        <w:tc>
          <w:tcPr>
            <w:tcW w:w="863" w:type="pct"/>
            <w:vAlign w:val="bottom"/>
          </w:tcPr>
          <w:p w14:paraId="5B37B0B3" w14:textId="176B3EE5" w:rsidR="00AA6D68" w:rsidRPr="00781112" w:rsidRDefault="00AA6D68" w:rsidP="00AA6D68">
            <w:pPr>
              <w:jc w:val="center"/>
              <w:rPr>
                <w:rFonts w:cs="Arial"/>
                <w:color w:val="000000" w:themeColor="text1"/>
                <w:szCs w:val="16"/>
              </w:rPr>
            </w:pPr>
            <w:r w:rsidRPr="00781112">
              <w:rPr>
                <w:rFonts w:cs="Arial"/>
                <w:color w:val="000000" w:themeColor="text1"/>
                <w:szCs w:val="16"/>
              </w:rPr>
              <w:t>107</w:t>
            </w:r>
          </w:p>
        </w:tc>
        <w:tc>
          <w:tcPr>
            <w:tcW w:w="863" w:type="pct"/>
            <w:vAlign w:val="bottom"/>
          </w:tcPr>
          <w:p w14:paraId="649C86D1" w14:textId="317BBD6C" w:rsidR="00AA6D68" w:rsidRPr="00781112" w:rsidRDefault="00AA6D68" w:rsidP="00AA6D68">
            <w:pPr>
              <w:jc w:val="center"/>
              <w:rPr>
                <w:rFonts w:cs="Arial"/>
                <w:color w:val="000000" w:themeColor="text1"/>
                <w:szCs w:val="16"/>
              </w:rPr>
            </w:pPr>
            <w:r w:rsidRPr="00781112">
              <w:rPr>
                <w:rFonts w:cs="Arial"/>
                <w:color w:val="000000" w:themeColor="text1"/>
                <w:szCs w:val="16"/>
              </w:rPr>
              <w:t>207</w:t>
            </w:r>
          </w:p>
        </w:tc>
        <w:tc>
          <w:tcPr>
            <w:tcW w:w="863" w:type="pct"/>
            <w:shd w:val="clear" w:color="auto" w:fill="auto"/>
            <w:vAlign w:val="bottom"/>
          </w:tcPr>
          <w:p w14:paraId="34B911BF" w14:textId="069E997C" w:rsidR="00AA6D68" w:rsidRPr="00781112" w:rsidRDefault="00AA6D68" w:rsidP="00AA6D68">
            <w:pPr>
              <w:jc w:val="center"/>
              <w:rPr>
                <w:rFonts w:cs="Arial"/>
                <w:color w:val="000000" w:themeColor="text1"/>
                <w:szCs w:val="16"/>
              </w:rPr>
            </w:pPr>
            <w:r w:rsidRPr="00781112">
              <w:rPr>
                <w:rFonts w:cs="Arial"/>
                <w:color w:val="000000" w:themeColor="text1"/>
                <w:szCs w:val="16"/>
              </w:rPr>
              <w:t>155</w:t>
            </w:r>
          </w:p>
        </w:tc>
        <w:tc>
          <w:tcPr>
            <w:tcW w:w="860" w:type="pct"/>
            <w:vAlign w:val="bottom"/>
          </w:tcPr>
          <w:p w14:paraId="6E1B5396" w14:textId="55FA87AA" w:rsidR="00AA6D68" w:rsidRPr="00781112" w:rsidRDefault="00AA6D68" w:rsidP="00AA6D68">
            <w:pPr>
              <w:jc w:val="center"/>
              <w:rPr>
                <w:rFonts w:cs="Arial"/>
                <w:color w:val="000000" w:themeColor="text1"/>
                <w:szCs w:val="16"/>
              </w:rPr>
            </w:pPr>
            <w:r w:rsidRPr="00781112">
              <w:rPr>
                <w:rFonts w:cs="Arial"/>
                <w:color w:val="000000" w:themeColor="text1"/>
                <w:szCs w:val="16"/>
              </w:rPr>
              <w:t>469</w:t>
            </w:r>
          </w:p>
        </w:tc>
      </w:tr>
      <w:tr w:rsidR="00AA6D68" w:rsidRPr="00781112" w14:paraId="5F08FCEF" w14:textId="35AA1AA1" w:rsidTr="00360DD6">
        <w:trPr>
          <w:cantSplit/>
        </w:trPr>
        <w:tc>
          <w:tcPr>
            <w:tcW w:w="1551" w:type="pct"/>
            <w:shd w:val="clear" w:color="auto" w:fill="auto"/>
            <w:vAlign w:val="bottom"/>
          </w:tcPr>
          <w:p w14:paraId="3C415E88" w14:textId="06B2C03E" w:rsidR="00AA6D68" w:rsidRPr="00781112" w:rsidRDefault="00AA6D68" w:rsidP="00AA6D68">
            <w:pPr>
              <w:rPr>
                <w:rFonts w:cs="Arial"/>
                <w:color w:val="000000" w:themeColor="text1"/>
                <w:szCs w:val="16"/>
              </w:rPr>
            </w:pPr>
            <w:r w:rsidRPr="00781112">
              <w:rPr>
                <w:rFonts w:cs="Arial"/>
                <w:color w:val="000000" w:themeColor="text1"/>
                <w:szCs w:val="16"/>
              </w:rPr>
              <w:t>b2. Number of children attending separate school</w:t>
            </w:r>
          </w:p>
        </w:tc>
        <w:tc>
          <w:tcPr>
            <w:tcW w:w="863" w:type="pct"/>
            <w:vAlign w:val="bottom"/>
          </w:tcPr>
          <w:p w14:paraId="0B0C493F" w14:textId="085891A4" w:rsidR="00AA6D68" w:rsidRPr="00781112" w:rsidRDefault="00AA6D68" w:rsidP="00AA6D68">
            <w:pPr>
              <w:jc w:val="center"/>
              <w:rPr>
                <w:rFonts w:cs="Arial"/>
                <w:color w:val="000000" w:themeColor="text1"/>
                <w:szCs w:val="16"/>
              </w:rPr>
            </w:pPr>
            <w:r w:rsidRPr="00781112">
              <w:rPr>
                <w:rFonts w:cs="Arial"/>
                <w:color w:val="000000" w:themeColor="text1"/>
                <w:szCs w:val="16"/>
              </w:rPr>
              <w:t>4</w:t>
            </w:r>
          </w:p>
        </w:tc>
        <w:tc>
          <w:tcPr>
            <w:tcW w:w="863" w:type="pct"/>
            <w:vAlign w:val="bottom"/>
          </w:tcPr>
          <w:p w14:paraId="7F83F331" w14:textId="1A8FD76D" w:rsidR="00AA6D68" w:rsidRPr="00781112" w:rsidRDefault="00AA6D68" w:rsidP="00AA6D68">
            <w:pPr>
              <w:jc w:val="center"/>
              <w:rPr>
                <w:rFonts w:cs="Arial"/>
                <w:color w:val="000000" w:themeColor="text1"/>
                <w:szCs w:val="16"/>
              </w:rPr>
            </w:pPr>
            <w:r w:rsidRPr="00781112">
              <w:rPr>
                <w:rFonts w:cs="Arial"/>
                <w:color w:val="000000" w:themeColor="text1"/>
                <w:szCs w:val="16"/>
              </w:rPr>
              <w:t>3</w:t>
            </w:r>
          </w:p>
        </w:tc>
        <w:tc>
          <w:tcPr>
            <w:tcW w:w="863" w:type="pct"/>
            <w:shd w:val="clear" w:color="auto" w:fill="auto"/>
            <w:vAlign w:val="bottom"/>
          </w:tcPr>
          <w:p w14:paraId="32D467B1" w14:textId="0D72CE8A" w:rsidR="00AA6D68" w:rsidRPr="00781112" w:rsidRDefault="00AA6D68" w:rsidP="00AA6D68">
            <w:pPr>
              <w:jc w:val="center"/>
              <w:rPr>
                <w:rFonts w:cs="Arial"/>
                <w:color w:val="000000" w:themeColor="text1"/>
                <w:szCs w:val="16"/>
              </w:rPr>
            </w:pPr>
            <w:r w:rsidRPr="00781112">
              <w:rPr>
                <w:rFonts w:cs="Arial"/>
                <w:color w:val="000000" w:themeColor="text1"/>
                <w:szCs w:val="16"/>
              </w:rPr>
              <w:t>6</w:t>
            </w:r>
          </w:p>
        </w:tc>
        <w:tc>
          <w:tcPr>
            <w:tcW w:w="860" w:type="pct"/>
            <w:vAlign w:val="bottom"/>
          </w:tcPr>
          <w:p w14:paraId="59CC5F97" w14:textId="073369C4" w:rsidR="00AA6D68" w:rsidRPr="00781112" w:rsidRDefault="00AA6D68" w:rsidP="00AA6D68">
            <w:pPr>
              <w:jc w:val="center"/>
              <w:rPr>
                <w:rFonts w:cs="Arial"/>
                <w:color w:val="000000" w:themeColor="text1"/>
                <w:szCs w:val="16"/>
              </w:rPr>
            </w:pPr>
            <w:r w:rsidRPr="00781112">
              <w:rPr>
                <w:rFonts w:cs="Arial"/>
                <w:color w:val="000000" w:themeColor="text1"/>
                <w:szCs w:val="16"/>
              </w:rPr>
              <w:t>13</w:t>
            </w:r>
          </w:p>
        </w:tc>
      </w:tr>
      <w:tr w:rsidR="00AA6D68" w:rsidRPr="00781112" w14:paraId="285801C1" w14:textId="545BB6C5" w:rsidTr="00360DD6">
        <w:trPr>
          <w:cantSplit/>
        </w:trPr>
        <w:tc>
          <w:tcPr>
            <w:tcW w:w="1551" w:type="pct"/>
            <w:shd w:val="clear" w:color="auto" w:fill="auto"/>
            <w:vAlign w:val="bottom"/>
          </w:tcPr>
          <w:p w14:paraId="4D90BA5B" w14:textId="1285C74B" w:rsidR="00AA6D68" w:rsidRPr="00781112" w:rsidRDefault="00AA6D68" w:rsidP="00AA6D68">
            <w:pPr>
              <w:rPr>
                <w:rFonts w:cs="Arial"/>
                <w:color w:val="000000" w:themeColor="text1"/>
                <w:szCs w:val="16"/>
              </w:rPr>
            </w:pPr>
            <w:r w:rsidRPr="00781112">
              <w:rPr>
                <w:rFonts w:cs="Arial"/>
                <w:color w:val="000000" w:themeColor="text1"/>
                <w:szCs w:val="16"/>
              </w:rPr>
              <w:t>b3. Number of children attending residential facility</w:t>
            </w:r>
          </w:p>
        </w:tc>
        <w:tc>
          <w:tcPr>
            <w:tcW w:w="863" w:type="pct"/>
            <w:vAlign w:val="bottom"/>
          </w:tcPr>
          <w:p w14:paraId="10FA71B8" w14:textId="48D7E7C4" w:rsidR="00AA6D68" w:rsidRPr="00781112" w:rsidRDefault="00AA6D68" w:rsidP="00AA6D68">
            <w:pPr>
              <w:jc w:val="center"/>
              <w:rPr>
                <w:rFonts w:cs="Arial"/>
                <w:color w:val="000000" w:themeColor="text1"/>
                <w:szCs w:val="16"/>
              </w:rPr>
            </w:pPr>
            <w:r w:rsidRPr="00781112">
              <w:rPr>
                <w:rFonts w:cs="Arial"/>
                <w:color w:val="000000" w:themeColor="text1"/>
                <w:szCs w:val="16"/>
              </w:rPr>
              <w:t>1</w:t>
            </w:r>
          </w:p>
        </w:tc>
        <w:tc>
          <w:tcPr>
            <w:tcW w:w="863" w:type="pct"/>
            <w:vAlign w:val="bottom"/>
          </w:tcPr>
          <w:p w14:paraId="3DF044A6" w14:textId="3BE72431"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shd w:val="clear" w:color="auto" w:fill="auto"/>
            <w:vAlign w:val="bottom"/>
          </w:tcPr>
          <w:p w14:paraId="444A24A0" w14:textId="086A4938" w:rsidR="00AA6D68" w:rsidRPr="00781112" w:rsidRDefault="00AA6D68" w:rsidP="00AA6D68">
            <w:pPr>
              <w:jc w:val="center"/>
              <w:rPr>
                <w:rFonts w:cs="Arial"/>
                <w:color w:val="000000" w:themeColor="text1"/>
                <w:szCs w:val="16"/>
              </w:rPr>
            </w:pPr>
            <w:r w:rsidRPr="00781112">
              <w:rPr>
                <w:rFonts w:cs="Arial"/>
                <w:color w:val="000000" w:themeColor="text1"/>
                <w:szCs w:val="16"/>
              </w:rPr>
              <w:t>1</w:t>
            </w:r>
          </w:p>
        </w:tc>
        <w:tc>
          <w:tcPr>
            <w:tcW w:w="860" w:type="pct"/>
            <w:vAlign w:val="bottom"/>
          </w:tcPr>
          <w:p w14:paraId="5D7F86B2" w14:textId="5A6D31FC" w:rsidR="00AA6D68" w:rsidRPr="00781112" w:rsidRDefault="00AA6D68" w:rsidP="00AA6D68">
            <w:pPr>
              <w:jc w:val="center"/>
              <w:rPr>
                <w:rFonts w:cs="Arial"/>
                <w:color w:val="000000" w:themeColor="text1"/>
                <w:szCs w:val="16"/>
              </w:rPr>
            </w:pPr>
            <w:r w:rsidRPr="00781112">
              <w:rPr>
                <w:rFonts w:cs="Arial"/>
                <w:color w:val="000000" w:themeColor="text1"/>
                <w:szCs w:val="16"/>
              </w:rPr>
              <w:t>2</w:t>
            </w:r>
          </w:p>
        </w:tc>
      </w:tr>
      <w:tr w:rsidR="00AA6D68" w:rsidRPr="00781112" w14:paraId="162FD575" w14:textId="77777777" w:rsidTr="00360DD6">
        <w:trPr>
          <w:cantSplit/>
        </w:trPr>
        <w:tc>
          <w:tcPr>
            <w:tcW w:w="1551" w:type="pct"/>
            <w:shd w:val="clear" w:color="auto" w:fill="auto"/>
          </w:tcPr>
          <w:p w14:paraId="469B81A7" w14:textId="048681D7" w:rsidR="00AA6D68" w:rsidRPr="00781112" w:rsidRDefault="00AA6D68" w:rsidP="00AA6D68">
            <w:pPr>
              <w:rPr>
                <w:rFonts w:cs="Arial"/>
                <w:color w:val="000000" w:themeColor="text1"/>
                <w:szCs w:val="16"/>
              </w:rPr>
            </w:pPr>
            <w:r w:rsidRPr="00781112">
              <w:rPr>
                <w:rFonts w:cs="Arial"/>
                <w:color w:val="000000"/>
                <w:szCs w:val="16"/>
              </w:rPr>
              <w:t>c1</w:t>
            </w:r>
            <w:r w:rsidRPr="00781112">
              <w:rPr>
                <w:rFonts w:cs="Arial"/>
                <w:b/>
                <w:bCs/>
                <w:color w:val="000000"/>
                <w:szCs w:val="16"/>
              </w:rPr>
              <w:t xml:space="preserve">. </w:t>
            </w:r>
            <w:r w:rsidRPr="00781112">
              <w:rPr>
                <w:rFonts w:cs="Arial"/>
                <w:color w:val="000000"/>
                <w:szCs w:val="16"/>
              </w:rPr>
              <w:t>Number</w:t>
            </w:r>
            <w:r w:rsidRPr="00781112">
              <w:rPr>
                <w:rFonts w:cs="Arial"/>
                <w:b/>
                <w:bCs/>
                <w:color w:val="000000"/>
                <w:szCs w:val="16"/>
              </w:rPr>
              <w:t xml:space="preserve"> </w:t>
            </w:r>
            <w:r w:rsidRPr="00781112">
              <w:rPr>
                <w:rFonts w:cs="Arial"/>
                <w:color w:val="000000"/>
                <w:szCs w:val="16"/>
              </w:rPr>
              <w:t xml:space="preserve">of children receiving </w:t>
            </w:r>
            <w:r w:rsidRPr="00781112">
              <w:rPr>
                <w:rFonts w:cs="Arial"/>
                <w:szCs w:val="16"/>
              </w:rPr>
              <w:t>special education and related services in the home</w:t>
            </w:r>
          </w:p>
        </w:tc>
        <w:tc>
          <w:tcPr>
            <w:tcW w:w="863" w:type="pct"/>
            <w:vAlign w:val="bottom"/>
          </w:tcPr>
          <w:p w14:paraId="56C9B5B7" w14:textId="065E27FB" w:rsidR="00AA6D68" w:rsidRPr="00781112" w:rsidRDefault="00AA6D68" w:rsidP="00AA6D68">
            <w:pPr>
              <w:jc w:val="center"/>
              <w:rPr>
                <w:rFonts w:cs="Arial"/>
                <w:color w:val="000000" w:themeColor="text1"/>
                <w:szCs w:val="16"/>
              </w:rPr>
            </w:pPr>
            <w:r w:rsidRPr="00781112">
              <w:rPr>
                <w:rFonts w:cs="Arial"/>
                <w:color w:val="000000" w:themeColor="text1"/>
                <w:szCs w:val="16"/>
              </w:rPr>
              <w:t>153</w:t>
            </w:r>
          </w:p>
        </w:tc>
        <w:tc>
          <w:tcPr>
            <w:tcW w:w="863" w:type="pct"/>
            <w:vAlign w:val="bottom"/>
          </w:tcPr>
          <w:p w14:paraId="134D035A" w14:textId="14186034" w:rsidR="00AA6D68" w:rsidRPr="00781112" w:rsidRDefault="00AA6D68" w:rsidP="00AA6D68">
            <w:pPr>
              <w:jc w:val="center"/>
              <w:rPr>
                <w:rFonts w:cs="Arial"/>
                <w:color w:val="000000" w:themeColor="text1"/>
                <w:szCs w:val="16"/>
              </w:rPr>
            </w:pPr>
            <w:r w:rsidRPr="00781112">
              <w:rPr>
                <w:rFonts w:cs="Arial"/>
                <w:color w:val="000000" w:themeColor="text1"/>
                <w:szCs w:val="16"/>
              </w:rPr>
              <w:t>85</w:t>
            </w:r>
          </w:p>
        </w:tc>
        <w:tc>
          <w:tcPr>
            <w:tcW w:w="863" w:type="pct"/>
            <w:shd w:val="clear" w:color="auto" w:fill="auto"/>
            <w:vAlign w:val="bottom"/>
          </w:tcPr>
          <w:p w14:paraId="0C864D52" w14:textId="38992EC2" w:rsidR="00AA6D68" w:rsidRPr="00781112" w:rsidDel="00E25159" w:rsidRDefault="00AA6D68" w:rsidP="00AA6D68">
            <w:pPr>
              <w:jc w:val="center"/>
              <w:rPr>
                <w:rFonts w:cs="Arial"/>
                <w:color w:val="000000" w:themeColor="text1"/>
                <w:szCs w:val="16"/>
              </w:rPr>
            </w:pPr>
            <w:r w:rsidRPr="00781112">
              <w:rPr>
                <w:rFonts w:cs="Arial"/>
                <w:color w:val="000000" w:themeColor="text1"/>
                <w:szCs w:val="16"/>
              </w:rPr>
              <w:t>42</w:t>
            </w:r>
          </w:p>
        </w:tc>
        <w:tc>
          <w:tcPr>
            <w:tcW w:w="860" w:type="pct"/>
            <w:vAlign w:val="bottom"/>
          </w:tcPr>
          <w:p w14:paraId="1750EA0E" w14:textId="2B34BC50" w:rsidR="00AA6D68" w:rsidRPr="00781112" w:rsidRDefault="00AA6D68" w:rsidP="00AA6D68">
            <w:pPr>
              <w:jc w:val="center"/>
              <w:rPr>
                <w:rFonts w:cs="Arial"/>
                <w:color w:val="000000" w:themeColor="text1"/>
                <w:szCs w:val="16"/>
              </w:rPr>
            </w:pPr>
            <w:r w:rsidRPr="00781112">
              <w:rPr>
                <w:rFonts w:cs="Arial"/>
                <w:color w:val="000000" w:themeColor="text1"/>
                <w:szCs w:val="16"/>
              </w:rPr>
              <w:t>280</w:t>
            </w:r>
          </w:p>
        </w:tc>
      </w:tr>
    </w:tbl>
    <w:p w14:paraId="68A2C8C5" w14:textId="4EBE62FD" w:rsidR="00AB2A39" w:rsidRPr="00781112" w:rsidRDefault="00AB2A39" w:rsidP="004369B2">
      <w:pPr>
        <w:rPr>
          <w:color w:val="000000" w:themeColor="text1"/>
        </w:rPr>
      </w:pPr>
    </w:p>
    <w:p w14:paraId="051F4366" w14:textId="77777777" w:rsidR="00C910BC" w:rsidRPr="00781112" w:rsidRDefault="00C910BC" w:rsidP="00C910BC">
      <w:pPr>
        <w:rPr>
          <w:b/>
          <w:color w:val="000000" w:themeColor="text1"/>
        </w:rPr>
      </w:pPr>
      <w:r w:rsidRPr="00781112">
        <w:rPr>
          <w:b/>
          <w:color w:val="000000" w:themeColor="text1"/>
        </w:rPr>
        <w:t>Select yes if the data reported in this indicator are not the same as the State’s data reported under section 618 of the IDEA.</w:t>
      </w:r>
    </w:p>
    <w:p w14:paraId="1B696537" w14:textId="29C6B4ED" w:rsidR="00C910BC" w:rsidRPr="00781112" w:rsidRDefault="00C910BC" w:rsidP="00C910BC">
      <w:pPr>
        <w:rPr>
          <w:color w:val="000000" w:themeColor="text1"/>
        </w:rPr>
      </w:pPr>
      <w:r w:rsidRPr="00781112">
        <w:rPr>
          <w:color w:val="000000" w:themeColor="text1"/>
        </w:rPr>
        <w:lastRenderedPageBreak/>
        <w:t>NO</w:t>
      </w:r>
    </w:p>
    <w:p w14:paraId="42C69847" w14:textId="2CAC8037" w:rsidR="002D5ED8" w:rsidRDefault="002D5ED8" w:rsidP="00D16730">
      <w:pPr>
        <w:rPr>
          <w:b/>
          <w:color w:val="000000" w:themeColor="text1"/>
        </w:rPr>
      </w:pPr>
    </w:p>
    <w:p w14:paraId="6C024B4D" w14:textId="77777777" w:rsidR="00D16730" w:rsidRPr="00781112" w:rsidRDefault="00D16730" w:rsidP="007D100A">
      <w:pPr>
        <w:rPr>
          <w:rFonts w:cs="Arial"/>
          <w:color w:val="000000" w:themeColor="text1"/>
          <w:szCs w:val="16"/>
        </w:rPr>
      </w:pPr>
    </w:p>
    <w:p w14:paraId="318E60C6" w14:textId="77777777" w:rsidR="007D100A" w:rsidRPr="00781112" w:rsidRDefault="007D100A" w:rsidP="004369B2">
      <w:pPr>
        <w:rPr>
          <w:b/>
          <w:color w:val="000000" w:themeColor="text1"/>
        </w:rPr>
      </w:pPr>
    </w:p>
    <w:p w14:paraId="0F42B2F6" w14:textId="6414F3A0" w:rsidR="00E60622" w:rsidRPr="00781112" w:rsidRDefault="007F7063" w:rsidP="004369B2">
      <w:pPr>
        <w:rPr>
          <w:b/>
          <w:bCs/>
          <w:color w:val="000000" w:themeColor="text1"/>
        </w:rPr>
      </w:pPr>
      <w:r w:rsidRPr="00781112">
        <w:rPr>
          <w:b/>
          <w:bCs/>
          <w:color w:val="000000" w:themeColor="text1"/>
        </w:rPr>
        <w:t xml:space="preserve">FFY 2020 SPP/APR Data - </w:t>
      </w:r>
      <w:r w:rsidR="00A6295C" w:rsidRPr="00781112">
        <w:rPr>
          <w:rFonts w:cs="Arial"/>
          <w:b/>
          <w:color w:val="000000" w:themeColor="text1"/>
          <w:szCs w:val="16"/>
        </w:rPr>
        <w:t>Aged 3 through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GE3TO5CFFYAPRDATA618"/>
      </w:tblPr>
      <w:tblGrid>
        <w:gridCol w:w="2964"/>
        <w:gridCol w:w="1118"/>
        <w:gridCol w:w="1118"/>
        <w:gridCol w:w="1118"/>
        <w:gridCol w:w="1118"/>
        <w:gridCol w:w="1118"/>
        <w:gridCol w:w="1118"/>
        <w:gridCol w:w="1118"/>
      </w:tblGrid>
      <w:tr w:rsidR="005C29F8" w:rsidRPr="00781112" w14:paraId="38300B51" w14:textId="77777777" w:rsidTr="007239EC">
        <w:trPr>
          <w:trHeight w:val="354"/>
          <w:tblHeader/>
        </w:trPr>
        <w:tc>
          <w:tcPr>
            <w:tcW w:w="1373" w:type="pct"/>
            <w:shd w:val="clear" w:color="auto" w:fill="auto"/>
            <w:vAlign w:val="bottom"/>
          </w:tcPr>
          <w:p w14:paraId="0F38A3C5" w14:textId="3D46820E" w:rsidR="008751D3" w:rsidRPr="00781112" w:rsidRDefault="00E104F3" w:rsidP="00681BA6">
            <w:pPr>
              <w:jc w:val="center"/>
              <w:rPr>
                <w:rFonts w:cs="Arial"/>
                <w:b/>
                <w:color w:val="000000" w:themeColor="text1"/>
                <w:szCs w:val="16"/>
              </w:rPr>
            </w:pPr>
            <w:r w:rsidRPr="00781112">
              <w:rPr>
                <w:rFonts w:cs="Arial"/>
                <w:b/>
                <w:color w:val="000000" w:themeColor="text1"/>
                <w:szCs w:val="16"/>
              </w:rPr>
              <w:t>Preschool Environments</w:t>
            </w:r>
          </w:p>
        </w:tc>
        <w:tc>
          <w:tcPr>
            <w:tcW w:w="518" w:type="pct"/>
            <w:shd w:val="clear" w:color="auto" w:fill="auto"/>
            <w:vAlign w:val="bottom"/>
          </w:tcPr>
          <w:p w14:paraId="0AEF809B" w14:textId="4D8F18F7" w:rsidR="008751D3" w:rsidRPr="00781112" w:rsidRDefault="008751D3" w:rsidP="00681BA6">
            <w:pPr>
              <w:jc w:val="center"/>
              <w:rPr>
                <w:rFonts w:cs="Arial"/>
                <w:b/>
                <w:color w:val="000000" w:themeColor="text1"/>
                <w:szCs w:val="16"/>
              </w:rPr>
            </w:pPr>
            <w:r w:rsidRPr="00781112">
              <w:rPr>
                <w:rFonts w:cs="Arial"/>
                <w:b/>
                <w:color w:val="000000" w:themeColor="text1"/>
                <w:szCs w:val="16"/>
              </w:rPr>
              <w:t>Number of children with IEPs aged 3 through 5 served</w:t>
            </w:r>
          </w:p>
        </w:tc>
        <w:tc>
          <w:tcPr>
            <w:tcW w:w="518" w:type="pct"/>
            <w:shd w:val="clear" w:color="auto" w:fill="auto"/>
            <w:vAlign w:val="bottom"/>
          </w:tcPr>
          <w:p w14:paraId="21256B17" w14:textId="12840CBA" w:rsidR="008751D3" w:rsidRPr="00781112" w:rsidRDefault="008751D3" w:rsidP="00681BA6">
            <w:pPr>
              <w:jc w:val="center"/>
              <w:rPr>
                <w:rFonts w:cs="Arial"/>
                <w:b/>
                <w:color w:val="000000" w:themeColor="text1"/>
                <w:szCs w:val="16"/>
              </w:rPr>
            </w:pPr>
            <w:r w:rsidRPr="00781112">
              <w:rPr>
                <w:rFonts w:cs="Arial"/>
                <w:b/>
                <w:color w:val="000000" w:themeColor="text1"/>
                <w:szCs w:val="16"/>
              </w:rPr>
              <w:t>Total number of children with IEPs aged 3 through 5</w:t>
            </w:r>
          </w:p>
        </w:tc>
        <w:tc>
          <w:tcPr>
            <w:tcW w:w="518" w:type="pct"/>
            <w:shd w:val="clear" w:color="auto" w:fill="auto"/>
            <w:vAlign w:val="bottom"/>
          </w:tcPr>
          <w:p w14:paraId="338A0E59" w14:textId="5650BDFE" w:rsidR="008751D3"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518" w:type="pct"/>
            <w:shd w:val="clear" w:color="auto" w:fill="auto"/>
            <w:vAlign w:val="bottom"/>
          </w:tcPr>
          <w:p w14:paraId="525540A0" w14:textId="72958A58" w:rsidR="008751D3" w:rsidRPr="00781112" w:rsidRDefault="00F6415A" w:rsidP="00681BA6">
            <w:pPr>
              <w:jc w:val="center"/>
              <w:rPr>
                <w:rFonts w:cs="Arial"/>
                <w:b/>
                <w:color w:val="000000" w:themeColor="text1"/>
                <w:szCs w:val="16"/>
              </w:rPr>
            </w:pPr>
            <w:r w:rsidRPr="00781112">
              <w:rPr>
                <w:rFonts w:cs="Arial"/>
                <w:b/>
                <w:color w:val="000000" w:themeColor="text1"/>
                <w:szCs w:val="16"/>
              </w:rPr>
              <w:t>FFY 2020 Target</w:t>
            </w:r>
          </w:p>
        </w:tc>
        <w:tc>
          <w:tcPr>
            <w:tcW w:w="518" w:type="pct"/>
            <w:shd w:val="clear" w:color="auto" w:fill="auto"/>
            <w:vAlign w:val="bottom"/>
          </w:tcPr>
          <w:p w14:paraId="2B9D213A" w14:textId="28561283" w:rsidR="008751D3" w:rsidRPr="00781112" w:rsidRDefault="00F6415A" w:rsidP="00681BA6">
            <w:pPr>
              <w:jc w:val="center"/>
              <w:rPr>
                <w:rFonts w:cs="Arial"/>
                <w:b/>
                <w:color w:val="000000" w:themeColor="text1"/>
                <w:szCs w:val="16"/>
              </w:rPr>
            </w:pPr>
            <w:r w:rsidRPr="00781112">
              <w:rPr>
                <w:rFonts w:cs="Arial"/>
                <w:b/>
                <w:color w:val="000000" w:themeColor="text1"/>
                <w:szCs w:val="16"/>
              </w:rPr>
              <w:t>FFY 2020 Data</w:t>
            </w:r>
          </w:p>
        </w:tc>
        <w:tc>
          <w:tcPr>
            <w:tcW w:w="518" w:type="pct"/>
            <w:shd w:val="clear" w:color="auto" w:fill="auto"/>
            <w:vAlign w:val="bottom"/>
          </w:tcPr>
          <w:p w14:paraId="46108583" w14:textId="77777777" w:rsidR="008751D3" w:rsidRPr="00781112" w:rsidRDefault="008751D3" w:rsidP="00681BA6">
            <w:pPr>
              <w:jc w:val="center"/>
              <w:rPr>
                <w:rFonts w:cs="Arial"/>
                <w:b/>
                <w:color w:val="000000" w:themeColor="text1"/>
                <w:szCs w:val="16"/>
              </w:rPr>
            </w:pPr>
            <w:r w:rsidRPr="00781112">
              <w:rPr>
                <w:rFonts w:cs="Arial"/>
                <w:b/>
                <w:color w:val="000000" w:themeColor="text1"/>
                <w:szCs w:val="16"/>
              </w:rPr>
              <w:t>Status</w:t>
            </w:r>
          </w:p>
        </w:tc>
        <w:tc>
          <w:tcPr>
            <w:tcW w:w="518" w:type="pct"/>
            <w:shd w:val="clear" w:color="auto" w:fill="auto"/>
            <w:vAlign w:val="bottom"/>
          </w:tcPr>
          <w:p w14:paraId="02DECB75" w14:textId="77777777" w:rsidR="008751D3" w:rsidRPr="00781112" w:rsidRDefault="008751D3"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57F8AB2C" w14:textId="77777777" w:rsidTr="007239EC">
        <w:trPr>
          <w:trHeight w:val="917"/>
        </w:trPr>
        <w:tc>
          <w:tcPr>
            <w:tcW w:w="1373" w:type="pct"/>
            <w:shd w:val="clear" w:color="auto" w:fill="auto"/>
            <w:vAlign w:val="center"/>
          </w:tcPr>
          <w:p w14:paraId="262EE4AB" w14:textId="15267873"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A. A regular early childhood program and receiving the majority of special education and related services in the regular early childhood program</w:t>
            </w:r>
          </w:p>
        </w:tc>
        <w:tc>
          <w:tcPr>
            <w:tcW w:w="518" w:type="pct"/>
            <w:shd w:val="clear" w:color="auto" w:fill="auto"/>
            <w:vAlign w:val="center"/>
          </w:tcPr>
          <w:p w14:paraId="251726D2" w14:textId="038B4D14" w:rsidR="00CF6742" w:rsidRPr="00781112" w:rsidRDefault="002B7490" w:rsidP="00A018D4">
            <w:pPr>
              <w:jc w:val="center"/>
              <w:rPr>
                <w:rFonts w:cs="Arial"/>
                <w:color w:val="000000" w:themeColor="text1"/>
                <w:szCs w:val="16"/>
              </w:rPr>
            </w:pPr>
            <w:r w:rsidRPr="00781112">
              <w:rPr>
                <w:rFonts w:cs="Arial"/>
                <w:color w:val="000000" w:themeColor="text1"/>
                <w:szCs w:val="16"/>
              </w:rPr>
              <w:t>1,359</w:t>
            </w:r>
          </w:p>
          <w:p w14:paraId="70072E1D" w14:textId="45212F0F" w:rsidR="00CC3A85" w:rsidRPr="00781112" w:rsidRDefault="00CC3A85" w:rsidP="00A018D4">
            <w:pPr>
              <w:jc w:val="center"/>
              <w:rPr>
                <w:rFonts w:cs="Arial"/>
                <w:color w:val="000000" w:themeColor="text1"/>
                <w:szCs w:val="16"/>
              </w:rPr>
            </w:pPr>
          </w:p>
        </w:tc>
        <w:tc>
          <w:tcPr>
            <w:tcW w:w="518" w:type="pct"/>
            <w:shd w:val="clear" w:color="auto" w:fill="auto"/>
            <w:vAlign w:val="center"/>
          </w:tcPr>
          <w:p w14:paraId="5E80FF00" w14:textId="1218B9E8" w:rsidR="00CF6742" w:rsidRPr="00781112" w:rsidRDefault="002B7490" w:rsidP="00A018D4">
            <w:pPr>
              <w:jc w:val="center"/>
              <w:rPr>
                <w:rFonts w:cs="Arial"/>
                <w:color w:val="000000" w:themeColor="text1"/>
                <w:szCs w:val="16"/>
              </w:rPr>
            </w:pPr>
            <w:r w:rsidRPr="00781112">
              <w:rPr>
                <w:rFonts w:cs="Arial"/>
                <w:color w:val="000000" w:themeColor="text1"/>
                <w:szCs w:val="16"/>
              </w:rPr>
              <w:t>8,382</w:t>
            </w:r>
          </w:p>
        </w:tc>
        <w:tc>
          <w:tcPr>
            <w:tcW w:w="518" w:type="pct"/>
            <w:shd w:val="clear" w:color="auto" w:fill="auto"/>
            <w:vAlign w:val="center"/>
          </w:tcPr>
          <w:p w14:paraId="15C39591" w14:textId="59A0B140" w:rsidR="00CF6742" w:rsidRPr="00781112" w:rsidRDefault="002B7490" w:rsidP="00A018D4">
            <w:pPr>
              <w:jc w:val="center"/>
              <w:rPr>
                <w:rFonts w:cs="Arial"/>
                <w:color w:val="000000" w:themeColor="text1"/>
                <w:szCs w:val="16"/>
              </w:rPr>
            </w:pPr>
            <w:r w:rsidRPr="00781112">
              <w:rPr>
                <w:rFonts w:cs="Arial"/>
                <w:color w:val="000000" w:themeColor="text1"/>
                <w:szCs w:val="16"/>
              </w:rPr>
              <w:t>17.75%</w:t>
            </w:r>
          </w:p>
        </w:tc>
        <w:tc>
          <w:tcPr>
            <w:tcW w:w="518" w:type="pct"/>
            <w:shd w:val="clear" w:color="auto" w:fill="auto"/>
            <w:vAlign w:val="center"/>
          </w:tcPr>
          <w:p w14:paraId="0B4DAB1A" w14:textId="6A306EF5" w:rsidR="00CF6742" w:rsidRPr="00781112" w:rsidRDefault="002B7490" w:rsidP="00A018D4">
            <w:pPr>
              <w:jc w:val="center"/>
              <w:rPr>
                <w:rFonts w:cs="Arial"/>
                <w:color w:val="000000" w:themeColor="text1"/>
                <w:szCs w:val="16"/>
              </w:rPr>
            </w:pPr>
            <w:r w:rsidRPr="00781112">
              <w:rPr>
                <w:rFonts w:cs="Arial"/>
                <w:color w:val="000000" w:themeColor="text1"/>
                <w:szCs w:val="16"/>
              </w:rPr>
              <w:t>16.25%</w:t>
            </w:r>
          </w:p>
        </w:tc>
        <w:tc>
          <w:tcPr>
            <w:tcW w:w="518" w:type="pct"/>
            <w:shd w:val="clear" w:color="auto" w:fill="auto"/>
            <w:vAlign w:val="center"/>
          </w:tcPr>
          <w:p w14:paraId="3DA9CC9A" w14:textId="5BC63CA2" w:rsidR="00CF6742" w:rsidRPr="00781112" w:rsidRDefault="002B7490" w:rsidP="00A018D4">
            <w:pPr>
              <w:jc w:val="center"/>
              <w:rPr>
                <w:rFonts w:cs="Arial"/>
                <w:color w:val="000000" w:themeColor="text1"/>
                <w:szCs w:val="16"/>
              </w:rPr>
            </w:pPr>
            <w:r w:rsidRPr="00781112">
              <w:rPr>
                <w:rFonts w:cs="Arial"/>
                <w:color w:val="000000" w:themeColor="text1"/>
                <w:szCs w:val="16"/>
              </w:rPr>
              <w:t>16.21%</w:t>
            </w:r>
          </w:p>
        </w:tc>
        <w:tc>
          <w:tcPr>
            <w:tcW w:w="518" w:type="pct"/>
            <w:shd w:val="clear" w:color="auto" w:fill="auto"/>
            <w:vAlign w:val="center"/>
          </w:tcPr>
          <w:p w14:paraId="361B06B7" w14:textId="5F10F78E" w:rsidR="00CF6742"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518" w:type="pct"/>
            <w:shd w:val="clear" w:color="auto" w:fill="auto"/>
            <w:vAlign w:val="center"/>
          </w:tcPr>
          <w:p w14:paraId="45DD5AFE" w14:textId="28F5E139" w:rsidR="00CF6742" w:rsidRPr="00781112" w:rsidRDefault="002B7490" w:rsidP="00A018D4">
            <w:pPr>
              <w:jc w:val="center"/>
              <w:rPr>
                <w:rFonts w:cs="Arial"/>
                <w:color w:val="000000" w:themeColor="text1"/>
                <w:szCs w:val="16"/>
              </w:rPr>
            </w:pPr>
            <w:r w:rsidRPr="00781112">
              <w:rPr>
                <w:rFonts w:cs="Arial"/>
                <w:color w:val="000000" w:themeColor="text1"/>
                <w:szCs w:val="16"/>
              </w:rPr>
              <w:t>N/A</w:t>
            </w:r>
          </w:p>
        </w:tc>
      </w:tr>
      <w:tr w:rsidR="005C29F8" w:rsidRPr="00781112" w14:paraId="203C22FB" w14:textId="77777777" w:rsidTr="007239EC">
        <w:trPr>
          <w:trHeight w:val="361"/>
        </w:trPr>
        <w:tc>
          <w:tcPr>
            <w:tcW w:w="1373" w:type="pct"/>
            <w:shd w:val="clear" w:color="auto" w:fill="auto"/>
            <w:vAlign w:val="center"/>
          </w:tcPr>
          <w:p w14:paraId="79CB9C36" w14:textId="6C0925E8"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B. Separate special education class, separate school or residential facility</w:t>
            </w:r>
          </w:p>
        </w:tc>
        <w:tc>
          <w:tcPr>
            <w:tcW w:w="518" w:type="pct"/>
            <w:shd w:val="clear" w:color="auto" w:fill="auto"/>
            <w:vAlign w:val="center"/>
          </w:tcPr>
          <w:p w14:paraId="1334ACAB" w14:textId="7BCE0AFD" w:rsidR="00CF6742" w:rsidRPr="00781112" w:rsidRDefault="002B7490" w:rsidP="00A018D4">
            <w:pPr>
              <w:jc w:val="center"/>
              <w:rPr>
                <w:rFonts w:cs="Arial"/>
                <w:color w:val="000000" w:themeColor="text1"/>
                <w:szCs w:val="16"/>
              </w:rPr>
            </w:pPr>
            <w:r w:rsidRPr="00781112">
              <w:rPr>
                <w:rFonts w:cs="Arial"/>
                <w:color w:val="000000" w:themeColor="text1"/>
                <w:szCs w:val="16"/>
              </w:rPr>
              <w:t>484</w:t>
            </w:r>
          </w:p>
        </w:tc>
        <w:tc>
          <w:tcPr>
            <w:tcW w:w="518" w:type="pct"/>
            <w:shd w:val="clear" w:color="auto" w:fill="auto"/>
            <w:vAlign w:val="center"/>
          </w:tcPr>
          <w:p w14:paraId="66D0E912" w14:textId="2A889076" w:rsidR="00CF6742" w:rsidRPr="00781112" w:rsidRDefault="002B7490" w:rsidP="00A018D4">
            <w:pPr>
              <w:jc w:val="center"/>
              <w:rPr>
                <w:rFonts w:cs="Arial"/>
                <w:color w:val="000000" w:themeColor="text1"/>
                <w:szCs w:val="16"/>
              </w:rPr>
            </w:pPr>
            <w:r w:rsidRPr="00781112">
              <w:rPr>
                <w:rFonts w:cs="Arial"/>
                <w:color w:val="000000" w:themeColor="text1"/>
                <w:szCs w:val="16"/>
              </w:rPr>
              <w:t>8,382</w:t>
            </w:r>
          </w:p>
        </w:tc>
        <w:tc>
          <w:tcPr>
            <w:tcW w:w="518" w:type="pct"/>
            <w:shd w:val="clear" w:color="auto" w:fill="auto"/>
            <w:vAlign w:val="center"/>
          </w:tcPr>
          <w:p w14:paraId="778A4648" w14:textId="541ABEC8" w:rsidR="00CF6742" w:rsidRPr="00781112" w:rsidRDefault="002B7490" w:rsidP="00A018D4">
            <w:pPr>
              <w:jc w:val="center"/>
              <w:rPr>
                <w:rFonts w:cs="Arial"/>
                <w:color w:val="000000" w:themeColor="text1"/>
                <w:szCs w:val="16"/>
              </w:rPr>
            </w:pPr>
            <w:r w:rsidRPr="00781112">
              <w:rPr>
                <w:rFonts w:cs="Arial"/>
                <w:color w:val="000000" w:themeColor="text1"/>
                <w:szCs w:val="16"/>
              </w:rPr>
              <w:t>4.90%</w:t>
            </w:r>
          </w:p>
        </w:tc>
        <w:tc>
          <w:tcPr>
            <w:tcW w:w="518" w:type="pct"/>
            <w:shd w:val="clear" w:color="auto" w:fill="auto"/>
            <w:vAlign w:val="center"/>
          </w:tcPr>
          <w:p w14:paraId="0EB723D5" w14:textId="782750AE" w:rsidR="00CF6742" w:rsidRPr="00781112" w:rsidRDefault="002B7490" w:rsidP="00A018D4">
            <w:pPr>
              <w:jc w:val="center"/>
              <w:rPr>
                <w:rFonts w:cs="Arial"/>
                <w:color w:val="000000" w:themeColor="text1"/>
                <w:szCs w:val="16"/>
              </w:rPr>
            </w:pPr>
            <w:r w:rsidRPr="00781112">
              <w:rPr>
                <w:rFonts w:cs="Arial"/>
                <w:color w:val="000000" w:themeColor="text1"/>
                <w:szCs w:val="16"/>
              </w:rPr>
              <w:t>5.00%</w:t>
            </w:r>
          </w:p>
        </w:tc>
        <w:tc>
          <w:tcPr>
            <w:tcW w:w="518" w:type="pct"/>
            <w:shd w:val="clear" w:color="auto" w:fill="auto"/>
            <w:vAlign w:val="center"/>
          </w:tcPr>
          <w:p w14:paraId="22E6569B" w14:textId="5DC635D1" w:rsidR="00CF6742" w:rsidRPr="00781112" w:rsidRDefault="002B7490" w:rsidP="00A018D4">
            <w:pPr>
              <w:jc w:val="center"/>
              <w:rPr>
                <w:rFonts w:cs="Arial"/>
                <w:color w:val="000000" w:themeColor="text1"/>
                <w:szCs w:val="16"/>
              </w:rPr>
            </w:pPr>
            <w:r w:rsidRPr="00781112">
              <w:rPr>
                <w:rFonts w:cs="Arial"/>
                <w:color w:val="000000" w:themeColor="text1"/>
                <w:szCs w:val="16"/>
              </w:rPr>
              <w:t>5.77%</w:t>
            </w:r>
          </w:p>
        </w:tc>
        <w:tc>
          <w:tcPr>
            <w:tcW w:w="518" w:type="pct"/>
            <w:shd w:val="clear" w:color="auto" w:fill="auto"/>
            <w:vAlign w:val="center"/>
          </w:tcPr>
          <w:p w14:paraId="799542EF" w14:textId="180B78FB" w:rsidR="00CF6742"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518" w:type="pct"/>
            <w:shd w:val="clear" w:color="auto" w:fill="auto"/>
            <w:vAlign w:val="center"/>
          </w:tcPr>
          <w:p w14:paraId="6E35C7BA" w14:textId="0B2CF7CC" w:rsidR="00CF6742" w:rsidRPr="00781112" w:rsidRDefault="002B7490" w:rsidP="00A018D4">
            <w:pPr>
              <w:jc w:val="center"/>
              <w:rPr>
                <w:rFonts w:cs="Arial"/>
                <w:color w:val="000000" w:themeColor="text1"/>
                <w:szCs w:val="16"/>
              </w:rPr>
            </w:pPr>
            <w:r w:rsidRPr="00781112">
              <w:rPr>
                <w:rFonts w:cs="Arial"/>
                <w:color w:val="000000" w:themeColor="text1"/>
                <w:szCs w:val="16"/>
              </w:rPr>
              <w:t>N/A</w:t>
            </w:r>
          </w:p>
        </w:tc>
      </w:tr>
      <w:tr w:rsidR="007419E3" w:rsidRPr="00781112" w14:paraId="70135A14" w14:textId="77777777" w:rsidTr="007239EC">
        <w:trPr>
          <w:trHeight w:val="361"/>
        </w:trPr>
        <w:tc>
          <w:tcPr>
            <w:tcW w:w="1373" w:type="pct"/>
            <w:shd w:val="clear" w:color="auto" w:fill="auto"/>
            <w:vAlign w:val="center"/>
          </w:tcPr>
          <w:p w14:paraId="72DCC796" w14:textId="256E58C0" w:rsidR="007419E3" w:rsidRPr="00781112" w:rsidRDefault="007419E3" w:rsidP="007419E3">
            <w:pPr>
              <w:rPr>
                <w:rFonts w:cs="Arial"/>
                <w:color w:val="000000" w:themeColor="text1"/>
                <w:szCs w:val="16"/>
                <w:shd w:val="clear" w:color="auto" w:fill="FFFFFF"/>
              </w:rPr>
            </w:pPr>
            <w:r w:rsidRPr="00781112">
              <w:rPr>
                <w:rFonts w:cs="Arial"/>
                <w:color w:val="000000" w:themeColor="text1"/>
                <w:szCs w:val="16"/>
                <w:shd w:val="clear" w:color="auto" w:fill="FFFFFF"/>
              </w:rPr>
              <w:t>C. Home</w:t>
            </w:r>
          </w:p>
        </w:tc>
        <w:tc>
          <w:tcPr>
            <w:tcW w:w="518" w:type="pct"/>
            <w:shd w:val="clear" w:color="auto" w:fill="auto"/>
            <w:vAlign w:val="center"/>
          </w:tcPr>
          <w:p w14:paraId="1AE1B656" w14:textId="4AA764F4" w:rsidR="007419E3" w:rsidRPr="00781112" w:rsidRDefault="007419E3" w:rsidP="007419E3">
            <w:pPr>
              <w:jc w:val="center"/>
              <w:rPr>
                <w:rFonts w:cs="Arial"/>
                <w:color w:val="000000" w:themeColor="text1"/>
                <w:szCs w:val="16"/>
              </w:rPr>
            </w:pPr>
            <w:r w:rsidRPr="00781112">
              <w:rPr>
                <w:rFonts w:cs="Arial"/>
                <w:color w:val="000000" w:themeColor="text1"/>
                <w:szCs w:val="16"/>
              </w:rPr>
              <w:t>280</w:t>
            </w:r>
          </w:p>
        </w:tc>
        <w:tc>
          <w:tcPr>
            <w:tcW w:w="518" w:type="pct"/>
            <w:shd w:val="clear" w:color="auto" w:fill="auto"/>
            <w:vAlign w:val="center"/>
          </w:tcPr>
          <w:p w14:paraId="601CC9FF" w14:textId="0C166449" w:rsidR="007419E3" w:rsidRPr="00781112" w:rsidRDefault="007419E3" w:rsidP="007419E3">
            <w:pPr>
              <w:jc w:val="center"/>
              <w:rPr>
                <w:rFonts w:cs="Arial"/>
                <w:color w:val="000000" w:themeColor="text1"/>
                <w:szCs w:val="16"/>
              </w:rPr>
            </w:pPr>
            <w:r w:rsidRPr="00781112">
              <w:rPr>
                <w:rFonts w:cs="Arial"/>
                <w:color w:val="000000" w:themeColor="text1"/>
                <w:szCs w:val="16"/>
              </w:rPr>
              <w:t>8,382</w:t>
            </w:r>
          </w:p>
        </w:tc>
        <w:tc>
          <w:tcPr>
            <w:tcW w:w="518" w:type="pct"/>
            <w:shd w:val="clear" w:color="auto" w:fill="auto"/>
            <w:vAlign w:val="center"/>
          </w:tcPr>
          <w:p w14:paraId="4B7E23C9" w14:textId="2143D885" w:rsidR="007419E3" w:rsidRPr="00781112" w:rsidRDefault="007419E3" w:rsidP="007419E3">
            <w:pPr>
              <w:jc w:val="center"/>
              <w:rPr>
                <w:rFonts w:cs="Arial"/>
                <w:color w:val="000000" w:themeColor="text1"/>
                <w:szCs w:val="16"/>
              </w:rPr>
            </w:pPr>
          </w:p>
        </w:tc>
        <w:tc>
          <w:tcPr>
            <w:tcW w:w="518" w:type="pct"/>
            <w:shd w:val="clear" w:color="auto" w:fill="auto"/>
            <w:vAlign w:val="center"/>
          </w:tcPr>
          <w:p w14:paraId="412FC24B" w14:textId="2D7F91B3" w:rsidR="007419E3" w:rsidRPr="00781112" w:rsidRDefault="007419E3" w:rsidP="007419E3">
            <w:pPr>
              <w:jc w:val="center"/>
              <w:rPr>
                <w:rFonts w:cs="Arial"/>
                <w:color w:val="000000" w:themeColor="text1"/>
                <w:szCs w:val="16"/>
              </w:rPr>
            </w:pPr>
            <w:r w:rsidRPr="00781112">
              <w:rPr>
                <w:rFonts w:cs="Arial"/>
                <w:color w:val="000000" w:themeColor="text1"/>
                <w:szCs w:val="16"/>
              </w:rPr>
              <w:t>3.34%</w:t>
            </w:r>
          </w:p>
        </w:tc>
        <w:tc>
          <w:tcPr>
            <w:tcW w:w="518" w:type="pct"/>
            <w:shd w:val="clear" w:color="auto" w:fill="auto"/>
            <w:vAlign w:val="center"/>
          </w:tcPr>
          <w:p w14:paraId="603D7CC7" w14:textId="713E97DD" w:rsidR="007419E3" w:rsidRPr="00781112" w:rsidRDefault="007419E3" w:rsidP="007419E3">
            <w:pPr>
              <w:jc w:val="center"/>
              <w:rPr>
                <w:rFonts w:cs="Arial"/>
                <w:color w:val="000000" w:themeColor="text1"/>
                <w:szCs w:val="16"/>
              </w:rPr>
            </w:pPr>
            <w:r w:rsidRPr="00781112">
              <w:rPr>
                <w:rFonts w:cs="Arial"/>
                <w:color w:val="000000" w:themeColor="text1"/>
                <w:szCs w:val="16"/>
              </w:rPr>
              <w:t>3.34%</w:t>
            </w:r>
          </w:p>
        </w:tc>
        <w:tc>
          <w:tcPr>
            <w:tcW w:w="518" w:type="pct"/>
            <w:shd w:val="clear" w:color="auto" w:fill="auto"/>
            <w:vAlign w:val="center"/>
          </w:tcPr>
          <w:p w14:paraId="31E8CDB6" w14:textId="7E73D59A" w:rsidR="007419E3" w:rsidRPr="00781112" w:rsidRDefault="007419E3" w:rsidP="007419E3">
            <w:pPr>
              <w:jc w:val="center"/>
              <w:rPr>
                <w:rFonts w:cs="Arial"/>
                <w:color w:val="000000" w:themeColor="text1"/>
                <w:szCs w:val="16"/>
              </w:rPr>
            </w:pPr>
            <w:r w:rsidRPr="00781112">
              <w:rPr>
                <w:rFonts w:cs="Arial"/>
                <w:color w:val="000000" w:themeColor="text1"/>
                <w:szCs w:val="16"/>
              </w:rPr>
              <w:t>N/A</w:t>
            </w:r>
          </w:p>
        </w:tc>
        <w:tc>
          <w:tcPr>
            <w:tcW w:w="518" w:type="pct"/>
            <w:shd w:val="clear" w:color="auto" w:fill="auto"/>
            <w:vAlign w:val="center"/>
          </w:tcPr>
          <w:p w14:paraId="4B289CC7" w14:textId="072E6906" w:rsidR="007419E3" w:rsidRPr="00781112" w:rsidRDefault="007419E3" w:rsidP="007419E3">
            <w:pPr>
              <w:jc w:val="center"/>
              <w:rPr>
                <w:rFonts w:cs="Arial"/>
                <w:color w:val="000000" w:themeColor="text1"/>
                <w:szCs w:val="16"/>
              </w:rPr>
            </w:pPr>
            <w:r w:rsidRPr="00781112">
              <w:rPr>
                <w:rFonts w:cs="Arial"/>
                <w:color w:val="000000" w:themeColor="text1"/>
                <w:szCs w:val="16"/>
              </w:rPr>
              <w:t>N/A</w:t>
            </w:r>
          </w:p>
        </w:tc>
      </w:tr>
    </w:tbl>
    <w:p w14:paraId="21FD52FD" w14:textId="53DF3EF1" w:rsidR="002441FF" w:rsidRDefault="002441FF" w:rsidP="004369B2">
      <w:pPr>
        <w:rPr>
          <w:b/>
          <w:color w:val="000000" w:themeColor="text1"/>
        </w:rPr>
      </w:pPr>
    </w:p>
    <w:p w14:paraId="1157162F" w14:textId="77777777" w:rsidR="002441FF" w:rsidRPr="00781112" w:rsidRDefault="002441FF" w:rsidP="002441FF">
      <w:pPr>
        <w:rPr>
          <w:rFonts w:cs="Arial"/>
          <w:color w:val="000000" w:themeColor="text1"/>
          <w:szCs w:val="16"/>
        </w:rPr>
      </w:pPr>
    </w:p>
    <w:p w14:paraId="11B24ABD"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5D7B4D4" w14:textId="54FAD054" w:rsidR="003C308E" w:rsidRPr="00781112" w:rsidRDefault="003C308E" w:rsidP="007D435F">
      <w:pPr>
        <w:rPr>
          <w:rFonts w:cs="Arial"/>
          <w:color w:val="000000" w:themeColor="text1"/>
          <w:szCs w:val="16"/>
        </w:rPr>
      </w:pPr>
    </w:p>
    <w:p w14:paraId="7DD4BC1C" w14:textId="33DA668A" w:rsidR="000A2C83" w:rsidRPr="00781112" w:rsidRDefault="00C96236" w:rsidP="008645AD">
      <w:pPr>
        <w:pStyle w:val="Heading2"/>
      </w:pPr>
      <w:r w:rsidRPr="00781112">
        <w:t>6</w:t>
      </w:r>
      <w:r w:rsidR="00C91B94" w:rsidRPr="00781112">
        <w:t xml:space="preserve"> </w:t>
      </w:r>
      <w:r w:rsidRPr="00781112">
        <w:t xml:space="preserve">- </w:t>
      </w:r>
      <w:r w:rsidR="000A2C83" w:rsidRPr="00781112">
        <w:t>Prior FFY Required Actions</w:t>
      </w:r>
    </w:p>
    <w:p w14:paraId="566E0CF8" w14:textId="64232129" w:rsidR="00B1280F" w:rsidRPr="00781112" w:rsidRDefault="002B7490" w:rsidP="000A2C83">
      <w:pPr>
        <w:rPr>
          <w:rFonts w:cs="Arial"/>
          <w:color w:val="000000" w:themeColor="text1"/>
          <w:szCs w:val="16"/>
        </w:rPr>
      </w:pPr>
      <w:r w:rsidRPr="00781112">
        <w:rPr>
          <w:rFonts w:cs="Arial"/>
          <w:color w:val="000000" w:themeColor="text1"/>
          <w:szCs w:val="16"/>
        </w:rPr>
        <w:t>None</w:t>
      </w:r>
    </w:p>
    <w:p w14:paraId="7B71DC87" w14:textId="5C9C7EF8" w:rsidR="00221EC9" w:rsidRPr="00781112" w:rsidRDefault="00C96236" w:rsidP="008645AD">
      <w:pPr>
        <w:pStyle w:val="Heading2"/>
      </w:pPr>
      <w:r w:rsidRPr="00781112">
        <w:t>6 - OSEP Response</w:t>
      </w:r>
    </w:p>
    <w:p w14:paraId="39CF981B" w14:textId="16EA9F6F" w:rsidR="003C308E" w:rsidRPr="00781112" w:rsidRDefault="002B7490" w:rsidP="001F692C">
      <w:pPr>
        <w:rPr>
          <w:rFonts w:cs="Arial"/>
          <w:color w:val="000000" w:themeColor="text1"/>
          <w:szCs w:val="16"/>
        </w:rPr>
      </w:pPr>
      <w:r w:rsidRPr="00781112">
        <w:rPr>
          <w:rFonts w:cs="Arial"/>
          <w:color w:val="000000" w:themeColor="text1"/>
          <w:szCs w:val="16"/>
        </w:rPr>
        <w:t>The State has revised the baseline for subindicators 6A and 6B, using data from FFY 2020, and OSEP accepts that revision.</w:t>
      </w:r>
      <w:r w:rsidRPr="00781112">
        <w:rPr>
          <w:rFonts w:cs="Arial"/>
          <w:color w:val="000000" w:themeColor="text1"/>
          <w:szCs w:val="16"/>
        </w:rPr>
        <w:br/>
      </w:r>
      <w:r w:rsidRPr="00781112">
        <w:rPr>
          <w:rFonts w:cs="Arial"/>
          <w:color w:val="000000" w:themeColor="text1"/>
          <w:szCs w:val="16"/>
        </w:rPr>
        <w:br/>
        <w:t>The State has established the baseline for subindicator 6C, using data from FFY 2020, and OSEP accepts that baseline.</w:t>
      </w:r>
      <w:r w:rsidRPr="00781112">
        <w:rPr>
          <w:rFonts w:cs="Arial"/>
          <w:color w:val="000000" w:themeColor="text1"/>
          <w:szCs w:val="16"/>
        </w:rPr>
        <w:br/>
      </w:r>
      <w:r w:rsidRPr="00781112">
        <w:rPr>
          <w:rFonts w:cs="Arial"/>
          <w:color w:val="000000" w:themeColor="text1"/>
          <w:szCs w:val="16"/>
        </w:rPr>
        <w:br/>
        <w:t>The State provided targets for FFYs 2020 through 2025 for this indicator, and OSEP accepts those targets.</w:t>
      </w:r>
    </w:p>
    <w:p w14:paraId="6337E261" w14:textId="7ABFCAD4" w:rsidR="00221EC9" w:rsidRPr="00781112" w:rsidRDefault="00C96236" w:rsidP="008645AD">
      <w:pPr>
        <w:pStyle w:val="Heading2"/>
      </w:pPr>
      <w:r w:rsidRPr="00781112">
        <w:t>6 - Required Actions</w:t>
      </w:r>
    </w:p>
    <w:p w14:paraId="4D0B397A" w14:textId="4B808E74" w:rsidR="003C308E" w:rsidRPr="00781112" w:rsidRDefault="003C308E" w:rsidP="001F692C">
      <w:pPr>
        <w:rPr>
          <w:rFonts w:cs="Arial"/>
          <w:color w:val="000000" w:themeColor="text1"/>
          <w:szCs w:val="16"/>
        </w:rPr>
      </w:pPr>
    </w:p>
    <w:p w14:paraId="2AA7BDE7"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26B1B256" w14:textId="29C391BC" w:rsidR="00D21EAA" w:rsidRPr="00781112" w:rsidRDefault="00D21EAA" w:rsidP="000444E2">
      <w:pPr>
        <w:pStyle w:val="Heading1"/>
        <w:rPr>
          <w:color w:val="000000" w:themeColor="text1"/>
          <w:sz w:val="22"/>
        </w:rPr>
      </w:pPr>
      <w:r w:rsidRPr="00781112">
        <w:rPr>
          <w:color w:val="000000" w:themeColor="text1"/>
          <w:sz w:val="22"/>
        </w:rPr>
        <w:lastRenderedPageBreak/>
        <w:t>Indicator 7: Preschool Outcomes</w:t>
      </w:r>
      <w:bookmarkEnd w:id="34"/>
      <w:bookmarkEnd w:id="35"/>
    </w:p>
    <w:p w14:paraId="1404DCF9" w14:textId="77777777" w:rsidR="00531E54" w:rsidRPr="00781112" w:rsidRDefault="00531E54" w:rsidP="00A018D4">
      <w:pPr>
        <w:rPr>
          <w:color w:val="000000" w:themeColor="text1"/>
          <w:szCs w:val="20"/>
        </w:rPr>
      </w:pPr>
      <w:bookmarkStart w:id="36" w:name="_Toc392159303"/>
      <w:r w:rsidRPr="00781112">
        <w:rPr>
          <w:b/>
          <w:color w:val="000000" w:themeColor="text1"/>
          <w:sz w:val="20"/>
          <w:szCs w:val="20"/>
        </w:rPr>
        <w:t>Instructions and Measurement</w:t>
      </w:r>
    </w:p>
    <w:p w14:paraId="0A136297" w14:textId="4837554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4B9EA10" w14:textId="77777777"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preschool children aged 3 through 5 with IEPs who demonstrate improved:</w:t>
      </w:r>
    </w:p>
    <w:p w14:paraId="0B552BED" w14:textId="43FF9A0A" w:rsidR="00CC634E" w:rsidRPr="00781112" w:rsidRDefault="00F006BC" w:rsidP="006A01BD">
      <w:pPr>
        <w:ind w:firstLine="720"/>
        <w:rPr>
          <w:rFonts w:cs="Arial"/>
          <w:color w:val="000000" w:themeColor="text1"/>
          <w:szCs w:val="16"/>
        </w:rPr>
      </w:pPr>
      <w:r w:rsidRPr="00781112">
        <w:rPr>
          <w:rFonts w:cs="Arial"/>
          <w:color w:val="000000" w:themeColor="text1"/>
          <w:szCs w:val="16"/>
        </w:rPr>
        <w:t>A. Positive social-emotional skills (including social relationships);</w:t>
      </w:r>
    </w:p>
    <w:p w14:paraId="5D82DAD8" w14:textId="740E047B" w:rsidR="00CC634E" w:rsidRPr="00781112" w:rsidRDefault="00F006BC" w:rsidP="006A01BD">
      <w:pPr>
        <w:ind w:firstLine="720"/>
        <w:rPr>
          <w:rFonts w:cs="Arial"/>
          <w:color w:val="000000" w:themeColor="text1"/>
          <w:szCs w:val="16"/>
        </w:rPr>
      </w:pPr>
      <w:r w:rsidRPr="00781112">
        <w:rPr>
          <w:rFonts w:cs="Arial"/>
          <w:color w:val="000000" w:themeColor="text1"/>
          <w:szCs w:val="16"/>
        </w:rPr>
        <w:t>B. Acquisition and use of knowledge and skills (including early language/ communication and early literacy); and</w:t>
      </w:r>
    </w:p>
    <w:p w14:paraId="00126FB5" w14:textId="7254CF8C" w:rsidR="00CC634E" w:rsidRPr="00781112" w:rsidRDefault="00F020B0" w:rsidP="006A01BD">
      <w:pPr>
        <w:ind w:firstLine="720"/>
        <w:rPr>
          <w:rFonts w:cs="Arial"/>
          <w:color w:val="000000" w:themeColor="text1"/>
          <w:szCs w:val="16"/>
        </w:rPr>
      </w:pPr>
      <w:r w:rsidRPr="00781112">
        <w:rPr>
          <w:rFonts w:cs="Arial"/>
          <w:color w:val="000000" w:themeColor="text1"/>
          <w:szCs w:val="16"/>
        </w:rPr>
        <w:t>C. Use of appropriate behaviors to meet their needs.</w:t>
      </w:r>
    </w:p>
    <w:p w14:paraId="5E54210F" w14:textId="77777777" w:rsidR="00CC634E" w:rsidRPr="00781112" w:rsidRDefault="00CC634E" w:rsidP="0011074D">
      <w:pPr>
        <w:rPr>
          <w:rFonts w:cs="Arial"/>
          <w:color w:val="000000" w:themeColor="text1"/>
          <w:szCs w:val="16"/>
        </w:rPr>
      </w:pPr>
      <w:r w:rsidRPr="00781112">
        <w:rPr>
          <w:rFonts w:cs="Arial"/>
          <w:color w:val="000000" w:themeColor="text1"/>
          <w:szCs w:val="16"/>
        </w:rPr>
        <w:t>(20 U.S.C. 1416 (a)(3)(A))</w:t>
      </w:r>
    </w:p>
    <w:p w14:paraId="64F847A6" w14:textId="77777777" w:rsidR="008751D3" w:rsidRPr="00781112" w:rsidRDefault="008751D3" w:rsidP="004369B2">
      <w:pPr>
        <w:rPr>
          <w:color w:val="000000" w:themeColor="text1"/>
        </w:rPr>
      </w:pPr>
      <w:r w:rsidRPr="00781112">
        <w:rPr>
          <w:b/>
          <w:color w:val="000000" w:themeColor="text1"/>
        </w:rPr>
        <w:t>Data Source</w:t>
      </w:r>
    </w:p>
    <w:p w14:paraId="23E18A51" w14:textId="0FC94A9E" w:rsidR="008751D3" w:rsidRPr="00781112" w:rsidRDefault="008751D3" w:rsidP="00286BDF">
      <w:pPr>
        <w:rPr>
          <w:rFonts w:cs="Arial"/>
          <w:color w:val="000000" w:themeColor="text1"/>
          <w:szCs w:val="16"/>
        </w:rPr>
      </w:pPr>
      <w:r w:rsidRPr="00781112">
        <w:rPr>
          <w:rFonts w:cs="Arial"/>
          <w:color w:val="000000" w:themeColor="text1"/>
          <w:szCs w:val="16"/>
        </w:rPr>
        <w:t>State selected data source.</w:t>
      </w:r>
    </w:p>
    <w:p w14:paraId="1E840531" w14:textId="77777777" w:rsidR="008751D3" w:rsidRPr="00781112" w:rsidRDefault="008751D3" w:rsidP="004369B2">
      <w:pPr>
        <w:rPr>
          <w:color w:val="000000" w:themeColor="text1"/>
        </w:rPr>
      </w:pPr>
      <w:r w:rsidRPr="00781112">
        <w:rPr>
          <w:b/>
          <w:color w:val="000000" w:themeColor="text1"/>
        </w:rPr>
        <w:t>Measurement</w:t>
      </w:r>
    </w:p>
    <w:p w14:paraId="1FF326CF" w14:textId="77777777" w:rsidR="008751D3" w:rsidRPr="00781112" w:rsidRDefault="008751D3" w:rsidP="0011074D">
      <w:pPr>
        <w:rPr>
          <w:rFonts w:cs="Arial"/>
          <w:color w:val="000000" w:themeColor="text1"/>
          <w:szCs w:val="16"/>
        </w:rPr>
      </w:pPr>
      <w:r w:rsidRPr="00781112">
        <w:rPr>
          <w:rFonts w:cs="Arial"/>
          <w:color w:val="000000" w:themeColor="text1"/>
          <w:szCs w:val="16"/>
        </w:rPr>
        <w:t>Outcomes:</w:t>
      </w:r>
    </w:p>
    <w:p w14:paraId="4E248912" w14:textId="66BBE7EE"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Positive social-emotional skills (including social relationships);</w:t>
      </w:r>
    </w:p>
    <w:p w14:paraId="6AAB6861" w14:textId="71AC3C7A"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Acquisition and use of knowledge and skills (including early language/communication and early literacy); and</w:t>
      </w:r>
    </w:p>
    <w:p w14:paraId="4CD04035" w14:textId="52DADE76" w:rsidR="008751D3" w:rsidRPr="00781112" w:rsidRDefault="00D92169" w:rsidP="006A01BD">
      <w:pPr>
        <w:spacing w:before="0"/>
        <w:ind w:firstLine="720"/>
        <w:rPr>
          <w:rFonts w:eastAsia="Times New Roman" w:cs="Arial"/>
          <w:color w:val="000000" w:themeColor="text1"/>
          <w:szCs w:val="16"/>
        </w:rPr>
      </w:pPr>
      <w:r w:rsidRPr="00781112">
        <w:rPr>
          <w:rFonts w:eastAsia="Times New Roman" w:cs="Arial"/>
          <w:color w:val="000000" w:themeColor="text1"/>
          <w:szCs w:val="16"/>
        </w:rPr>
        <w:t>C. Use of appropriate behaviors to meet their needs.</w:t>
      </w:r>
    </w:p>
    <w:p w14:paraId="6C3C0B77" w14:textId="77777777" w:rsidR="008751D3" w:rsidRPr="00781112" w:rsidRDefault="008751D3" w:rsidP="0011074D">
      <w:pPr>
        <w:rPr>
          <w:rFonts w:cs="Arial"/>
          <w:color w:val="000000" w:themeColor="text1"/>
          <w:szCs w:val="16"/>
        </w:rPr>
      </w:pPr>
      <w:r w:rsidRPr="00781112">
        <w:rPr>
          <w:rFonts w:cs="Arial"/>
          <w:color w:val="000000" w:themeColor="text1"/>
          <w:szCs w:val="16"/>
        </w:rPr>
        <w:t>Progress categories for A, B and C:</w:t>
      </w:r>
    </w:p>
    <w:p w14:paraId="5690C8BE" w14:textId="36B6DF2C" w:rsidR="008751D3" w:rsidRPr="00781112" w:rsidRDefault="00D048BC"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a. Percent of preschool children who did not improve functioning = [(# of preschool children who did not improve functioning) divided by (# of preschool children with IEPs assessed)] times 100.</w:t>
      </w:r>
    </w:p>
    <w:p w14:paraId="0B720C40" w14:textId="2F6D04FB"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b. Percent of preschool children who improved functioning but not sufficient to move nearer to functioning comparable to same-aged peers = [(# of preschool children who improved functioning but not sufficient to move nearer to functioning comparable to same-aged peers) divided by (# of preschool children with IEPs assessed)] times 100.</w:t>
      </w:r>
    </w:p>
    <w:p w14:paraId="314CA3F4" w14:textId="6175AC7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c. Percent of preschool children who improved functioning to a level nearer to same-aged peers but did not reach it = [(# of preschool children who improved functioning to a level nearer to same-aged peers but did not reach it) divided by (# of preschool children with IEPs assessed)] times 100.</w:t>
      </w:r>
    </w:p>
    <w:p w14:paraId="643AA406" w14:textId="25D4946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d. Percent of preschool children who improved functioning to reach a level comparable to same-aged peers = [(# of preschool children who improved functioning to reach a level comparable to same-aged peers) divided by (# of preschool children with IEPs assessed)] times 100.</w:t>
      </w:r>
    </w:p>
    <w:p w14:paraId="38B378F6" w14:textId="1E843815" w:rsidR="008751D3" w:rsidRPr="00781112" w:rsidRDefault="00D92169" w:rsidP="006A01BD">
      <w:pPr>
        <w:spacing w:before="0"/>
        <w:ind w:left="720"/>
        <w:rPr>
          <w:rFonts w:eastAsia="Times New Roman" w:cs="Arial"/>
          <w:color w:val="000000" w:themeColor="text1"/>
          <w:szCs w:val="16"/>
        </w:rPr>
      </w:pPr>
      <w:r w:rsidRPr="00781112">
        <w:rPr>
          <w:rFonts w:eastAsia="Times New Roman" w:cs="Arial"/>
          <w:color w:val="000000" w:themeColor="text1"/>
          <w:szCs w:val="16"/>
        </w:rPr>
        <w:t>e. Percent of preschool children who maintained functioning at a level comparable to same-aged peers = [(# of preschool children who maintained functioning at a level comparable to same-aged peers) divided by (# of preschool children with IEPs assessed)] times 100.</w:t>
      </w:r>
    </w:p>
    <w:p w14:paraId="583435BB" w14:textId="77777777" w:rsidR="008751D3" w:rsidRPr="00781112" w:rsidRDefault="008751D3" w:rsidP="0011074D">
      <w:pPr>
        <w:rPr>
          <w:rFonts w:cs="Arial"/>
          <w:b/>
          <w:color w:val="000000" w:themeColor="text1"/>
          <w:szCs w:val="16"/>
        </w:rPr>
      </w:pPr>
      <w:r w:rsidRPr="00781112">
        <w:rPr>
          <w:rFonts w:cs="Arial"/>
          <w:b/>
          <w:color w:val="000000" w:themeColor="text1"/>
          <w:szCs w:val="16"/>
        </w:rPr>
        <w:t>Summary Statements for Each of the Three Outcomes:</w:t>
      </w:r>
    </w:p>
    <w:p w14:paraId="65FE21E5"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1</w:t>
      </w:r>
      <w:r w:rsidRPr="00781112">
        <w:rPr>
          <w:rFonts w:cs="Arial"/>
          <w:bCs/>
          <w:color w:val="000000" w:themeColor="text1"/>
          <w:szCs w:val="16"/>
        </w:rPr>
        <w:t>:</w:t>
      </w:r>
      <w:r w:rsidRPr="00781112">
        <w:rPr>
          <w:rFonts w:cs="Arial"/>
          <w:color w:val="000000" w:themeColor="text1"/>
          <w:szCs w:val="16"/>
        </w:rPr>
        <w:t> Of those preschool children who entered the preschool program below age expectations in each Outcome, the percent who substantially increased their rate of growth by the time they turned 6 years of age or exited the program.</w:t>
      </w:r>
    </w:p>
    <w:p w14:paraId="5068AAB2" w14:textId="7F652397"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1:</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(c) plus # of preschool children reported in category (d)) divided by (# of preschool children reported in progress category (a) plus # of preschool children reported in progress category (b) plus # of preschool children reported in progress category (c) plus # of preschool children reported in progress category (d</w:t>
      </w:r>
      <w:r w:rsidR="002D30ED" w:rsidRPr="00781112">
        <w:rPr>
          <w:rFonts w:cs="Arial"/>
          <w:color w:val="000000" w:themeColor="text1"/>
          <w:szCs w:val="16"/>
        </w:rPr>
        <w:t xml:space="preserve">))] </w:t>
      </w:r>
      <w:r w:rsidRPr="00781112">
        <w:rPr>
          <w:rFonts w:cs="Arial"/>
          <w:color w:val="000000" w:themeColor="text1"/>
          <w:szCs w:val="16"/>
        </w:rPr>
        <w:t>times 100.</w:t>
      </w:r>
    </w:p>
    <w:p w14:paraId="5A694282"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2:</w:t>
      </w:r>
      <w:r w:rsidRPr="00781112">
        <w:rPr>
          <w:rFonts w:cs="Arial"/>
          <w:color w:val="000000" w:themeColor="text1"/>
          <w:szCs w:val="16"/>
        </w:rPr>
        <w:t> The percent of preschool children who were functioning within age expectations in each Outcome by the time they turned 6 years of age or exited the program.</w:t>
      </w:r>
    </w:p>
    <w:p w14:paraId="34439FE8" w14:textId="2AF97C44"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2</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(d) plus # of preschool children reported in progress category (e)) divided by (the total # of preschool children reported in progress categories (a) + (b) + (c) + (d) + (e</w:t>
      </w:r>
      <w:r w:rsidR="002D30ED" w:rsidRPr="00781112">
        <w:rPr>
          <w:rFonts w:cs="Arial"/>
          <w:color w:val="000000" w:themeColor="text1"/>
          <w:szCs w:val="16"/>
        </w:rPr>
        <w:t xml:space="preserve">))] </w:t>
      </w:r>
      <w:r w:rsidRPr="00781112">
        <w:rPr>
          <w:rFonts w:cs="Arial"/>
          <w:color w:val="000000" w:themeColor="text1"/>
          <w:szCs w:val="16"/>
        </w:rPr>
        <w:t>times 100.</w:t>
      </w:r>
    </w:p>
    <w:p w14:paraId="207DF15E" w14:textId="77777777" w:rsidR="008751D3" w:rsidRPr="00781112" w:rsidRDefault="008751D3" w:rsidP="004369B2">
      <w:pPr>
        <w:rPr>
          <w:color w:val="000000" w:themeColor="text1"/>
        </w:rPr>
      </w:pPr>
      <w:r w:rsidRPr="00781112">
        <w:rPr>
          <w:b/>
          <w:color w:val="000000" w:themeColor="text1"/>
        </w:rPr>
        <w:t>Instructions</w:t>
      </w:r>
    </w:p>
    <w:p w14:paraId="7FEF7064" w14:textId="77777777" w:rsidR="008751D3" w:rsidRPr="00781112" w:rsidRDefault="008751D3" w:rsidP="00286BDF">
      <w:pPr>
        <w:rPr>
          <w:rFonts w:cs="Arial"/>
          <w:color w:val="000000" w:themeColor="text1"/>
          <w:szCs w:val="16"/>
        </w:rPr>
      </w:pPr>
      <w:r w:rsidRPr="00781112">
        <w:rPr>
          <w:rFonts w:cs="Arial"/>
          <w:color w:val="000000" w:themeColor="text1"/>
          <w:szCs w:val="16"/>
        </w:rPr>
        <w:t>Sampling of </w:t>
      </w:r>
      <w:r w:rsidRPr="00781112">
        <w:rPr>
          <w:rFonts w:cs="Arial"/>
          <w:b/>
          <w:bCs/>
          <w:color w:val="000000" w:themeColor="text1"/>
          <w:szCs w:val="16"/>
        </w:rPr>
        <w:t>children for assessment</w:t>
      </w:r>
      <w:r w:rsidRPr="00781112">
        <w:rPr>
          <w:rFonts w:cs="Arial"/>
          <w:color w:val="000000" w:themeColor="text1"/>
          <w:szCs w:val="16"/>
        </w:rPr>
        <w:t> is allowed. When sampling is used, submit a description of the sampling methodology outlining how the design will yield valid and reliable estimates. (See </w:t>
      </w:r>
      <w:r w:rsidRPr="00781112">
        <w:rPr>
          <w:rFonts w:cs="Arial"/>
          <w:color w:val="000000" w:themeColor="text1"/>
          <w:szCs w:val="16"/>
          <w:u w:val="single"/>
        </w:rPr>
        <w:t>General Instructions</w:t>
      </w:r>
      <w:r w:rsidRPr="00781112">
        <w:rPr>
          <w:rFonts w:cs="Arial"/>
          <w:color w:val="000000" w:themeColor="text1"/>
          <w:szCs w:val="16"/>
        </w:rPr>
        <w:t> on page 2 for additional instructions on sampling.)</w:t>
      </w:r>
    </w:p>
    <w:p w14:paraId="1FB7B1C7" w14:textId="77777777" w:rsidR="008751D3" w:rsidRPr="00781112" w:rsidRDefault="008751D3" w:rsidP="00286BDF">
      <w:pPr>
        <w:rPr>
          <w:rFonts w:cs="Arial"/>
          <w:color w:val="000000" w:themeColor="text1"/>
          <w:szCs w:val="16"/>
        </w:rPr>
      </w:pPr>
      <w:r w:rsidRPr="00781112">
        <w:rPr>
          <w:rFonts w:cs="Arial"/>
          <w:color w:val="000000" w:themeColor="text1"/>
          <w:szCs w:val="16"/>
        </w:rPr>
        <w:t>In the measurement include, in the numerator and denominator, only children who received special education and related services for at least six months during the age span of three through five years.</w:t>
      </w:r>
    </w:p>
    <w:p w14:paraId="652BE619" w14:textId="77777777" w:rsidR="008751D3" w:rsidRPr="00781112" w:rsidRDefault="008751D3" w:rsidP="00286BDF">
      <w:pPr>
        <w:rPr>
          <w:rFonts w:cs="Arial"/>
          <w:color w:val="000000" w:themeColor="text1"/>
          <w:szCs w:val="16"/>
        </w:rPr>
      </w:pPr>
      <w:r w:rsidRPr="00781112">
        <w:rPr>
          <w:rFonts w:cs="Arial"/>
          <w:color w:val="000000" w:themeColor="text1"/>
          <w:szCs w:val="16"/>
        </w:rPr>
        <w:t>Describe the results of the calculations and compare the results to the targets. States will use the progress categories for each of the three Outcomes to calculate and report the two Summary Statements. States have provided targets for the two Summary Statements for the three Outcomes (six numbers for targets for each FFY).</w:t>
      </w:r>
    </w:p>
    <w:p w14:paraId="60273FDF" w14:textId="77777777" w:rsidR="008751D3" w:rsidRPr="00781112" w:rsidRDefault="008751D3" w:rsidP="00286BDF">
      <w:pPr>
        <w:rPr>
          <w:rFonts w:cs="Arial"/>
          <w:color w:val="000000" w:themeColor="text1"/>
          <w:szCs w:val="16"/>
        </w:rPr>
      </w:pPr>
      <w:r w:rsidRPr="00781112">
        <w:rPr>
          <w:rFonts w:cs="Arial"/>
          <w:color w:val="000000" w:themeColor="text1"/>
          <w:szCs w:val="16"/>
        </w:rPr>
        <w:t>Report progress data and calculate Summary Statements to compare against the six targets. Provide the actual numbers and percentages for the five reporting categories for each of the three outcomes.</w:t>
      </w:r>
    </w:p>
    <w:p w14:paraId="5CCA3257" w14:textId="77777777" w:rsidR="008751D3" w:rsidRPr="00781112" w:rsidRDefault="008751D3" w:rsidP="00286BDF">
      <w:pPr>
        <w:rPr>
          <w:rFonts w:cs="Arial"/>
          <w:color w:val="000000" w:themeColor="text1"/>
          <w:szCs w:val="16"/>
        </w:rPr>
      </w:pPr>
      <w:r w:rsidRPr="00781112">
        <w:rPr>
          <w:rFonts w:cs="Arial"/>
          <w:color w:val="000000" w:themeColor="text1"/>
          <w:szCs w:val="16"/>
        </w:rPr>
        <w:t>In presenting results, provide the criteria for defining “comparable to same-aged peers.” If a State is using the Early Childhood Outcomes Center (ECO) Child Outcomes Summary (COS), then the criteria for defining “comparable to same-aged peers” has been defined as a child who has been assigned a score of 6 or 7 on the COS.</w:t>
      </w:r>
    </w:p>
    <w:p w14:paraId="53FA15C3" w14:textId="77777777" w:rsidR="008751D3" w:rsidRPr="00781112" w:rsidRDefault="008751D3" w:rsidP="00286BDF">
      <w:pPr>
        <w:rPr>
          <w:rFonts w:cs="Arial"/>
          <w:color w:val="000000" w:themeColor="text1"/>
          <w:szCs w:val="16"/>
        </w:rPr>
      </w:pPr>
      <w:r w:rsidRPr="00781112">
        <w:rPr>
          <w:rFonts w:cs="Arial"/>
          <w:color w:val="000000" w:themeColor="text1"/>
          <w:szCs w:val="16"/>
        </w:rPr>
        <w:t>In addition, list the instruments and procedures used to gather data for this indicator, including if the State is using the ECO COS.</w:t>
      </w:r>
    </w:p>
    <w:bookmarkEnd w:id="36"/>
    <w:p w14:paraId="55101798" w14:textId="340B2E8D" w:rsidR="00DF6E30" w:rsidRPr="00781112" w:rsidRDefault="00C96236" w:rsidP="008645AD">
      <w:pPr>
        <w:pStyle w:val="Heading2"/>
      </w:pPr>
      <w:r w:rsidRPr="00781112">
        <w:t>7</w:t>
      </w:r>
      <w:r w:rsidR="00444A9D" w:rsidRPr="00781112">
        <w:t xml:space="preserve"> </w:t>
      </w:r>
      <w:r w:rsidRPr="00781112">
        <w:t xml:space="preserve">- </w:t>
      </w:r>
      <w:r w:rsidR="00DF6E30" w:rsidRPr="00781112">
        <w:t>Indicator Data</w:t>
      </w:r>
    </w:p>
    <w:p w14:paraId="5AA4EA63" w14:textId="77777777" w:rsidR="0091098C" w:rsidRPr="00781112" w:rsidRDefault="0091098C" w:rsidP="004369B2">
      <w:pPr>
        <w:rPr>
          <w:color w:val="000000" w:themeColor="text1"/>
        </w:rPr>
      </w:pPr>
      <w:r w:rsidRPr="00781112">
        <w:rPr>
          <w:b/>
          <w:color w:val="000000" w:themeColor="text1"/>
        </w:rPr>
        <w:t>Not Applicable</w:t>
      </w:r>
    </w:p>
    <w:p w14:paraId="284C9B1A" w14:textId="32C218D6" w:rsidR="002D30ED" w:rsidRPr="00781112" w:rsidRDefault="00E54DDA">
      <w:pPr>
        <w:rPr>
          <w:b/>
          <w:color w:val="000000" w:themeColor="text1"/>
        </w:rPr>
      </w:pPr>
      <w:r w:rsidRPr="00781112">
        <w:rPr>
          <w:b/>
          <w:color w:val="000000" w:themeColor="text1"/>
        </w:rPr>
        <w:t>Select yes if this indicator is not applicable.</w:t>
      </w:r>
    </w:p>
    <w:p w14:paraId="400C4A0C" w14:textId="693F71F3" w:rsidR="00043AC9" w:rsidRPr="00781112" w:rsidRDefault="00043AC9" w:rsidP="004369B2">
      <w:pPr>
        <w:rPr>
          <w:rFonts w:cs="Arial"/>
          <w:color w:val="000000" w:themeColor="text1"/>
          <w:szCs w:val="16"/>
        </w:rPr>
      </w:pPr>
      <w:r w:rsidRPr="00781112">
        <w:rPr>
          <w:rFonts w:cs="Arial"/>
          <w:color w:val="000000" w:themeColor="text1"/>
          <w:szCs w:val="16"/>
        </w:rPr>
        <w:t>NO</w:t>
      </w:r>
    </w:p>
    <w:p w14:paraId="2D4ABD95" w14:textId="015EAF2F" w:rsidR="002D30ED" w:rsidRPr="00781112" w:rsidRDefault="002D30ED">
      <w:pPr>
        <w:rPr>
          <w:color w:val="000000" w:themeColor="text1"/>
        </w:rPr>
      </w:pPr>
    </w:p>
    <w:p w14:paraId="50CA9D39" w14:textId="3128BDB0"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7HISTDATA"/>
      </w:tblPr>
      <w:tblGrid>
        <w:gridCol w:w="536"/>
        <w:gridCol w:w="944"/>
        <w:gridCol w:w="944"/>
        <w:gridCol w:w="1673"/>
        <w:gridCol w:w="1673"/>
        <w:gridCol w:w="1673"/>
        <w:gridCol w:w="1672"/>
        <w:gridCol w:w="1675"/>
      </w:tblGrid>
      <w:tr w:rsidR="005F0D3B" w:rsidRPr="00781112" w14:paraId="67761B76" w14:textId="2BE890F9" w:rsidTr="009023AD">
        <w:trPr>
          <w:trHeight w:val="395"/>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FE7D96" w14:textId="48B4F674" w:rsidR="00FA72A0" w:rsidRPr="00781112" w:rsidRDefault="00E104F3" w:rsidP="00FA72A0">
            <w:pPr>
              <w:spacing w:before="0" w:after="0" w:line="276" w:lineRule="auto"/>
              <w:jc w:val="center"/>
              <w:rPr>
                <w:rFonts w:cs="Arial"/>
                <w:b/>
                <w:color w:val="000000" w:themeColor="text1"/>
                <w:szCs w:val="16"/>
              </w:rPr>
            </w:pPr>
            <w:r w:rsidRPr="00781112">
              <w:rPr>
                <w:rFonts w:cs="Arial"/>
                <w:b/>
                <w:color w:val="000000" w:themeColor="text1"/>
                <w:szCs w:val="16"/>
              </w:rPr>
              <w:t>Part</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492489DB" w14:textId="6B491234"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Baseline</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9C97066" w14:textId="77777777"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FFY</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5FE9CABA" w14:textId="781A1A3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2015</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27131AF6" w14:textId="0E6C2E5A"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2016</w: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22FE1D98" w14:textId="03E0AC83"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2017</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09C21BFA" w14:textId="46B34AA6"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2018</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14:paraId="76B7EB6E" w14:textId="46F53E4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2019</w:t>
            </w:r>
          </w:p>
        </w:tc>
      </w:tr>
      <w:tr w:rsidR="005F0D3B" w:rsidRPr="00781112" w14:paraId="6B7CE9C8" w14:textId="0609FA3D"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390860C6"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top w:val="single" w:sz="4" w:space="0" w:color="auto"/>
              <w:left w:val="single" w:sz="4" w:space="0" w:color="auto"/>
              <w:right w:val="single" w:sz="4" w:space="0" w:color="auto"/>
            </w:tcBorders>
            <w:shd w:val="clear" w:color="auto" w:fill="auto"/>
            <w:vAlign w:val="center"/>
          </w:tcPr>
          <w:p w14:paraId="11755CC8" w14:textId="0D3DAA4A" w:rsidR="00CF6742" w:rsidRPr="00781112" w:rsidRDefault="002B7490" w:rsidP="00A018D4">
            <w:pPr>
              <w:jc w:val="center"/>
              <w:rPr>
                <w:rFonts w:cs="Arial"/>
                <w:color w:val="000000" w:themeColor="text1"/>
                <w:szCs w:val="16"/>
              </w:rPr>
            </w:pPr>
            <w:r w:rsidRPr="00781112">
              <w:rPr>
                <w:rFonts w:cs="Arial"/>
                <w:color w:val="000000" w:themeColor="text1"/>
                <w:szCs w:val="16"/>
              </w:rPr>
              <w:t>2010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517C1" w14:textId="06B8B15D"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D1D42AB" w14:textId="2A4E5CB4" w:rsidR="00CF6742" w:rsidRPr="00781112" w:rsidRDefault="002B7490" w:rsidP="00A018D4">
            <w:pPr>
              <w:jc w:val="center"/>
              <w:rPr>
                <w:rFonts w:cs="Arial"/>
                <w:color w:val="000000" w:themeColor="text1"/>
                <w:szCs w:val="16"/>
              </w:rPr>
            </w:pPr>
            <w:r w:rsidRPr="00781112">
              <w:rPr>
                <w:rFonts w:cs="Arial"/>
                <w:color w:val="000000" w:themeColor="text1"/>
                <w:szCs w:val="16"/>
              </w:rPr>
              <w:t>71.00%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93881D" w14:textId="33AA4D0C" w:rsidR="00CF6742" w:rsidRPr="00781112" w:rsidRDefault="002B7490" w:rsidP="00A018D4">
            <w:pPr>
              <w:jc w:val="center"/>
              <w:rPr>
                <w:rFonts w:cs="Arial"/>
                <w:color w:val="000000" w:themeColor="text1"/>
                <w:szCs w:val="16"/>
              </w:rPr>
            </w:pPr>
            <w:r w:rsidRPr="00781112">
              <w:rPr>
                <w:rFonts w:cs="Arial"/>
                <w:color w:val="000000" w:themeColor="text1"/>
                <w:szCs w:val="16"/>
              </w:rPr>
              <w:t>71.50%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4D9B341" w14:textId="54BEF16A" w:rsidR="00CF6742" w:rsidRPr="00781112" w:rsidRDefault="002B7490" w:rsidP="00A018D4">
            <w:pPr>
              <w:jc w:val="center"/>
              <w:rPr>
                <w:rFonts w:cs="Arial"/>
                <w:color w:val="000000" w:themeColor="text1"/>
                <w:szCs w:val="16"/>
              </w:rPr>
            </w:pPr>
            <w:r w:rsidRPr="00781112">
              <w:rPr>
                <w:rFonts w:cs="Arial"/>
                <w:color w:val="000000" w:themeColor="text1"/>
                <w:szCs w:val="16"/>
              </w:rPr>
              <w:t>72.00%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EBE7BAF" w14:textId="70BEE6C5" w:rsidR="00CF6742" w:rsidRPr="00781112" w:rsidRDefault="002B7490" w:rsidP="00A018D4">
            <w:pPr>
              <w:jc w:val="center"/>
              <w:rPr>
                <w:rFonts w:cs="Arial"/>
                <w:color w:val="000000" w:themeColor="text1"/>
                <w:szCs w:val="16"/>
              </w:rPr>
            </w:pPr>
            <w:r w:rsidRPr="00781112">
              <w:rPr>
                <w:rFonts w:cs="Arial"/>
                <w:color w:val="000000" w:themeColor="text1"/>
                <w:szCs w:val="16"/>
              </w:rPr>
              <w:t>72.50%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9BD5D1" w14:textId="20C3AA4E" w:rsidR="00CF6742" w:rsidRPr="00781112" w:rsidRDefault="002B7490" w:rsidP="00A018D4">
            <w:pPr>
              <w:jc w:val="center"/>
              <w:rPr>
                <w:rFonts w:cs="Arial"/>
                <w:color w:val="000000" w:themeColor="text1"/>
                <w:szCs w:val="16"/>
              </w:rPr>
            </w:pPr>
            <w:r w:rsidRPr="00781112">
              <w:rPr>
                <w:rFonts w:cs="Arial"/>
                <w:color w:val="000000" w:themeColor="text1"/>
                <w:szCs w:val="16"/>
              </w:rPr>
              <w:t>72.50%</w:t>
            </w:r>
          </w:p>
        </w:tc>
      </w:tr>
      <w:tr w:rsidR="005F0D3B" w:rsidRPr="00781112" w14:paraId="1273980B" w14:textId="53318F32" w:rsidTr="009023AD">
        <w:trPr>
          <w:trHeight w:val="70"/>
        </w:trPr>
        <w:tc>
          <w:tcPr>
            <w:tcW w:w="248" w:type="pct"/>
            <w:tcBorders>
              <w:left w:val="single" w:sz="4" w:space="0" w:color="auto"/>
              <w:right w:val="single" w:sz="4" w:space="0" w:color="auto"/>
            </w:tcBorders>
            <w:shd w:val="clear" w:color="auto" w:fill="auto"/>
            <w:vAlign w:val="center"/>
          </w:tcPr>
          <w:p w14:paraId="32218C67" w14:textId="38A3EC13"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left w:val="single" w:sz="4" w:space="0" w:color="auto"/>
              <w:right w:val="single" w:sz="4" w:space="0" w:color="auto"/>
            </w:tcBorders>
            <w:shd w:val="clear" w:color="auto" w:fill="auto"/>
            <w:vAlign w:val="center"/>
          </w:tcPr>
          <w:p w14:paraId="4C1410E0" w14:textId="3EB7FCEC" w:rsidR="00CF6742" w:rsidRPr="00781112" w:rsidRDefault="002B7490" w:rsidP="00A018D4">
            <w:pPr>
              <w:jc w:val="center"/>
              <w:rPr>
                <w:rFonts w:cs="Arial"/>
                <w:color w:val="000000" w:themeColor="text1"/>
                <w:szCs w:val="16"/>
              </w:rPr>
            </w:pPr>
            <w:r w:rsidRPr="00781112">
              <w:rPr>
                <w:rFonts w:cs="Arial"/>
                <w:color w:val="000000" w:themeColor="text1"/>
                <w:szCs w:val="16"/>
              </w:rPr>
              <w:t>69.60%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849D3" w14:textId="77777777"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95056F" w14:textId="336EBB2F" w:rsidR="00CF6742" w:rsidRPr="00781112" w:rsidRDefault="002B7490" w:rsidP="00A018D4">
            <w:pPr>
              <w:jc w:val="center"/>
              <w:rPr>
                <w:rFonts w:cs="Arial"/>
                <w:color w:val="000000" w:themeColor="text1"/>
                <w:szCs w:val="16"/>
              </w:rPr>
            </w:pPr>
            <w:r w:rsidRPr="00781112">
              <w:rPr>
                <w:rFonts w:cs="Arial"/>
                <w:color w:val="000000" w:themeColor="text1"/>
                <w:szCs w:val="16"/>
              </w:rPr>
              <w:t>72.59%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BFE4EBC" w14:textId="3A0FBE8F" w:rsidR="00CF6742" w:rsidRPr="00781112" w:rsidRDefault="002B7490" w:rsidP="00A018D4">
            <w:pPr>
              <w:jc w:val="center"/>
              <w:rPr>
                <w:rFonts w:cs="Arial"/>
                <w:color w:val="000000" w:themeColor="text1"/>
                <w:szCs w:val="16"/>
              </w:rPr>
            </w:pPr>
            <w:r w:rsidRPr="00781112">
              <w:rPr>
                <w:rFonts w:cs="Arial"/>
                <w:color w:val="000000" w:themeColor="text1"/>
                <w:szCs w:val="16"/>
              </w:rPr>
              <w:t>72.90%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1F7337" w14:textId="090E4E8B" w:rsidR="00CF6742" w:rsidRPr="00781112" w:rsidRDefault="002B7490" w:rsidP="00A018D4">
            <w:pPr>
              <w:jc w:val="center"/>
              <w:rPr>
                <w:rFonts w:cs="Arial"/>
                <w:color w:val="000000" w:themeColor="text1"/>
                <w:szCs w:val="16"/>
              </w:rPr>
            </w:pPr>
            <w:r w:rsidRPr="00781112">
              <w:rPr>
                <w:rFonts w:cs="Arial"/>
                <w:color w:val="000000" w:themeColor="text1"/>
                <w:szCs w:val="16"/>
              </w:rPr>
              <w:t>71.37%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93D48E" w14:textId="04E7CEC4" w:rsidR="00CF6742" w:rsidRPr="00781112" w:rsidRDefault="002B7490" w:rsidP="00A018D4">
            <w:pPr>
              <w:jc w:val="center"/>
              <w:rPr>
                <w:rFonts w:cs="Arial"/>
                <w:color w:val="000000" w:themeColor="text1"/>
                <w:szCs w:val="16"/>
              </w:rPr>
            </w:pPr>
            <w:r w:rsidRPr="00781112">
              <w:rPr>
                <w:rFonts w:cs="Arial"/>
                <w:color w:val="000000" w:themeColor="text1"/>
                <w:szCs w:val="16"/>
              </w:rPr>
              <w:t>68.52%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54E21AE" w14:textId="4BF3E562" w:rsidR="00CF6742" w:rsidRPr="00781112" w:rsidRDefault="002B7490" w:rsidP="00A018D4">
            <w:pPr>
              <w:jc w:val="center"/>
              <w:rPr>
                <w:rFonts w:cs="Arial"/>
                <w:color w:val="000000" w:themeColor="text1"/>
                <w:szCs w:val="16"/>
              </w:rPr>
            </w:pPr>
            <w:r w:rsidRPr="00781112">
              <w:rPr>
                <w:rFonts w:cs="Arial"/>
                <w:color w:val="000000" w:themeColor="text1"/>
                <w:szCs w:val="16"/>
              </w:rPr>
              <w:t>68.11%</w:t>
            </w:r>
          </w:p>
        </w:tc>
      </w:tr>
      <w:tr w:rsidR="005F0D3B" w:rsidRPr="00781112" w14:paraId="0B3AB2AF" w14:textId="0ED8043B"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779C8614"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top w:val="single" w:sz="4" w:space="0" w:color="auto"/>
              <w:left w:val="single" w:sz="4" w:space="0" w:color="auto"/>
              <w:right w:val="single" w:sz="4" w:space="0" w:color="auto"/>
            </w:tcBorders>
            <w:shd w:val="clear" w:color="auto" w:fill="auto"/>
            <w:vAlign w:val="center"/>
          </w:tcPr>
          <w:p w14:paraId="4AD0B449" w14:textId="16D6804E" w:rsidR="00CF6742" w:rsidRPr="00781112" w:rsidRDefault="002B7490" w:rsidP="00A018D4">
            <w:pPr>
              <w:jc w:val="center"/>
              <w:rPr>
                <w:rFonts w:cs="Arial"/>
                <w:color w:val="000000" w:themeColor="text1"/>
                <w:szCs w:val="16"/>
              </w:rPr>
            </w:pPr>
            <w:r w:rsidRPr="00781112">
              <w:rPr>
                <w:rFonts w:cs="Arial"/>
                <w:color w:val="000000" w:themeColor="text1"/>
                <w:szCs w:val="16"/>
              </w:rPr>
              <w:t>2010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13AA6" w14:textId="7F510C2D"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B53BBE3" w14:textId="7A5F9A90" w:rsidR="00CF6742" w:rsidRPr="00781112" w:rsidRDefault="002B7490" w:rsidP="00A018D4">
            <w:pPr>
              <w:jc w:val="center"/>
              <w:rPr>
                <w:rFonts w:cs="Arial"/>
                <w:color w:val="000000" w:themeColor="text1"/>
                <w:szCs w:val="16"/>
              </w:rPr>
            </w:pPr>
            <w:r w:rsidRPr="00781112">
              <w:rPr>
                <w:rFonts w:cs="Arial"/>
                <w:color w:val="000000" w:themeColor="text1"/>
                <w:szCs w:val="16"/>
              </w:rPr>
              <w:t>65.00%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5BB52D" w14:textId="145AACFA" w:rsidR="00CF6742" w:rsidRPr="00781112" w:rsidRDefault="002B7490" w:rsidP="00A018D4">
            <w:pPr>
              <w:jc w:val="center"/>
              <w:rPr>
                <w:rFonts w:cs="Arial"/>
                <w:color w:val="000000" w:themeColor="text1"/>
                <w:szCs w:val="16"/>
              </w:rPr>
            </w:pPr>
            <w:r w:rsidRPr="00781112">
              <w:rPr>
                <w:rFonts w:cs="Arial"/>
                <w:color w:val="000000" w:themeColor="text1"/>
                <w:szCs w:val="16"/>
              </w:rPr>
              <w:t>65.50%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74264A7" w14:textId="7EF45616" w:rsidR="00CF6742" w:rsidRPr="00781112" w:rsidRDefault="002B7490" w:rsidP="00A018D4">
            <w:pPr>
              <w:jc w:val="center"/>
              <w:rPr>
                <w:rFonts w:cs="Arial"/>
                <w:color w:val="000000" w:themeColor="text1"/>
                <w:szCs w:val="16"/>
              </w:rPr>
            </w:pPr>
            <w:r w:rsidRPr="00781112">
              <w:rPr>
                <w:rFonts w:cs="Arial"/>
                <w:color w:val="000000" w:themeColor="text1"/>
                <w:szCs w:val="16"/>
              </w:rPr>
              <w:t>66.00%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91C2453" w14:textId="435017A5" w:rsidR="00CF6742" w:rsidRPr="00781112" w:rsidRDefault="002B7490" w:rsidP="00A018D4">
            <w:pPr>
              <w:jc w:val="center"/>
              <w:rPr>
                <w:rFonts w:cs="Arial"/>
                <w:color w:val="000000" w:themeColor="text1"/>
                <w:szCs w:val="16"/>
              </w:rPr>
            </w:pPr>
            <w:r w:rsidRPr="00781112">
              <w:rPr>
                <w:rFonts w:cs="Arial"/>
                <w:color w:val="000000" w:themeColor="text1"/>
                <w:szCs w:val="16"/>
              </w:rPr>
              <w:t>66.50%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7AA4CD6" w14:textId="54A13C0B" w:rsidR="00CF6742" w:rsidRPr="00781112" w:rsidRDefault="002B7490" w:rsidP="00A018D4">
            <w:pPr>
              <w:jc w:val="center"/>
              <w:rPr>
                <w:rFonts w:cs="Arial"/>
                <w:color w:val="000000" w:themeColor="text1"/>
                <w:szCs w:val="16"/>
              </w:rPr>
            </w:pPr>
            <w:r w:rsidRPr="00781112">
              <w:rPr>
                <w:rFonts w:cs="Arial"/>
                <w:color w:val="000000" w:themeColor="text1"/>
                <w:szCs w:val="16"/>
              </w:rPr>
              <w:t>66.50%</w:t>
            </w:r>
          </w:p>
        </w:tc>
      </w:tr>
      <w:tr w:rsidR="005F0D3B" w:rsidRPr="00781112" w14:paraId="1D11B386" w14:textId="42BD85F0" w:rsidTr="009023AD">
        <w:trPr>
          <w:trHeight w:val="85"/>
        </w:trPr>
        <w:tc>
          <w:tcPr>
            <w:tcW w:w="248" w:type="pct"/>
            <w:tcBorders>
              <w:left w:val="single" w:sz="4" w:space="0" w:color="auto"/>
              <w:right w:val="single" w:sz="4" w:space="0" w:color="auto"/>
            </w:tcBorders>
            <w:shd w:val="clear" w:color="auto" w:fill="auto"/>
            <w:vAlign w:val="center"/>
          </w:tcPr>
          <w:p w14:paraId="65E595DA" w14:textId="7544B3DB"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lastRenderedPageBreak/>
              <w:t>A2</w:t>
            </w:r>
          </w:p>
        </w:tc>
        <w:tc>
          <w:tcPr>
            <w:tcW w:w="437" w:type="pct"/>
            <w:tcBorders>
              <w:left w:val="single" w:sz="4" w:space="0" w:color="auto"/>
              <w:right w:val="single" w:sz="4" w:space="0" w:color="auto"/>
            </w:tcBorders>
            <w:shd w:val="clear" w:color="auto" w:fill="auto"/>
            <w:vAlign w:val="center"/>
          </w:tcPr>
          <w:p w14:paraId="33B2AFD7" w14:textId="45496AC0" w:rsidR="00CF6742" w:rsidRPr="00781112" w:rsidRDefault="002B7490" w:rsidP="00A018D4">
            <w:pPr>
              <w:jc w:val="center"/>
              <w:rPr>
                <w:rFonts w:cs="Arial"/>
                <w:color w:val="000000" w:themeColor="text1"/>
                <w:szCs w:val="16"/>
              </w:rPr>
            </w:pPr>
            <w:r w:rsidRPr="00781112">
              <w:rPr>
                <w:rFonts w:cs="Arial"/>
                <w:color w:val="000000" w:themeColor="text1"/>
                <w:szCs w:val="16"/>
              </w:rPr>
              <w:t>64.90%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0ABFC" w14:textId="77777777"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A2DD6E" w14:textId="36DC7586" w:rsidR="00CF6742" w:rsidRPr="00781112" w:rsidRDefault="002B7490" w:rsidP="00A018D4">
            <w:pPr>
              <w:jc w:val="center"/>
              <w:rPr>
                <w:rFonts w:cs="Arial"/>
                <w:color w:val="000000" w:themeColor="text1"/>
                <w:szCs w:val="16"/>
              </w:rPr>
            </w:pPr>
            <w:r w:rsidRPr="00781112">
              <w:rPr>
                <w:rFonts w:cs="Arial"/>
                <w:color w:val="000000" w:themeColor="text1"/>
                <w:szCs w:val="16"/>
              </w:rPr>
              <w:t>64.05%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6159A9A" w14:textId="560797EF" w:rsidR="00CF6742" w:rsidRPr="00781112" w:rsidRDefault="002B7490" w:rsidP="00A018D4">
            <w:pPr>
              <w:jc w:val="center"/>
              <w:rPr>
                <w:rFonts w:cs="Arial"/>
                <w:color w:val="000000" w:themeColor="text1"/>
                <w:szCs w:val="16"/>
              </w:rPr>
            </w:pPr>
            <w:r w:rsidRPr="00781112">
              <w:rPr>
                <w:rFonts w:cs="Arial"/>
                <w:color w:val="000000" w:themeColor="text1"/>
                <w:szCs w:val="16"/>
              </w:rPr>
              <w:t>63.74%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5D8F762" w14:textId="7C5C8489" w:rsidR="00CF6742" w:rsidRPr="00781112" w:rsidRDefault="002B7490" w:rsidP="00A018D4">
            <w:pPr>
              <w:jc w:val="center"/>
              <w:rPr>
                <w:rFonts w:cs="Arial"/>
                <w:color w:val="000000" w:themeColor="text1"/>
                <w:szCs w:val="16"/>
              </w:rPr>
            </w:pPr>
            <w:r w:rsidRPr="00781112">
              <w:rPr>
                <w:rFonts w:cs="Arial"/>
                <w:color w:val="000000" w:themeColor="text1"/>
                <w:szCs w:val="16"/>
              </w:rPr>
              <w:t>61.44%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F976AF4" w14:textId="04557E60" w:rsidR="00CF6742" w:rsidRPr="00781112" w:rsidRDefault="002B7490" w:rsidP="00A018D4">
            <w:pPr>
              <w:jc w:val="center"/>
              <w:rPr>
                <w:rFonts w:cs="Arial"/>
                <w:color w:val="000000" w:themeColor="text1"/>
                <w:szCs w:val="16"/>
              </w:rPr>
            </w:pPr>
            <w:r w:rsidRPr="00781112">
              <w:rPr>
                <w:rFonts w:cs="Arial"/>
                <w:color w:val="000000" w:themeColor="text1"/>
                <w:szCs w:val="16"/>
              </w:rPr>
              <w:t>50.60%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EEF23F" w14:textId="5EDDCD10" w:rsidR="00CF6742" w:rsidRPr="00781112" w:rsidRDefault="002B7490" w:rsidP="00A018D4">
            <w:pPr>
              <w:jc w:val="center"/>
              <w:rPr>
                <w:rFonts w:cs="Arial"/>
                <w:color w:val="000000" w:themeColor="text1"/>
                <w:szCs w:val="16"/>
              </w:rPr>
            </w:pPr>
            <w:r w:rsidRPr="00781112">
              <w:rPr>
                <w:rFonts w:cs="Arial"/>
                <w:color w:val="000000" w:themeColor="text1"/>
                <w:szCs w:val="16"/>
              </w:rPr>
              <w:t>47.51%</w:t>
            </w:r>
          </w:p>
        </w:tc>
      </w:tr>
      <w:tr w:rsidR="005F0D3B" w:rsidRPr="00781112" w14:paraId="038BC95B" w14:textId="47C87879" w:rsidTr="009023AD">
        <w:trPr>
          <w:trHeight w:val="85"/>
        </w:trPr>
        <w:tc>
          <w:tcPr>
            <w:tcW w:w="248" w:type="pct"/>
            <w:tcBorders>
              <w:left w:val="single" w:sz="4" w:space="0" w:color="auto"/>
              <w:right w:val="single" w:sz="4" w:space="0" w:color="auto"/>
            </w:tcBorders>
            <w:shd w:val="clear" w:color="auto" w:fill="auto"/>
            <w:vAlign w:val="center"/>
          </w:tcPr>
          <w:p w14:paraId="4B20CE7B"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49E245E" w14:textId="66BE9FD7" w:rsidR="0085328E" w:rsidRPr="00781112" w:rsidRDefault="002B7490" w:rsidP="00A018D4">
            <w:pPr>
              <w:jc w:val="center"/>
              <w:rPr>
                <w:rFonts w:cs="Arial"/>
                <w:color w:val="000000" w:themeColor="text1"/>
                <w:szCs w:val="16"/>
              </w:rPr>
            </w:pPr>
            <w:r w:rsidRPr="00781112">
              <w:rPr>
                <w:rFonts w:cs="Arial"/>
                <w:color w:val="000000" w:themeColor="text1"/>
                <w:szCs w:val="16"/>
              </w:rPr>
              <w:t>2010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01E60245" w14:textId="7347A69D"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F1B58E" w14:textId="3C66E08F" w:rsidR="0085328E" w:rsidRPr="00781112" w:rsidRDefault="002B7490" w:rsidP="00A018D4">
            <w:pPr>
              <w:jc w:val="center"/>
              <w:rPr>
                <w:rFonts w:cs="Arial"/>
                <w:color w:val="000000" w:themeColor="text1"/>
                <w:szCs w:val="16"/>
              </w:rPr>
            </w:pPr>
            <w:r w:rsidRPr="00781112">
              <w:rPr>
                <w:rFonts w:cs="Arial"/>
                <w:color w:val="000000" w:themeColor="text1"/>
                <w:szCs w:val="16"/>
              </w:rPr>
              <w:t>72.00%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6CEF40A" w14:textId="6AF964A1" w:rsidR="0085328E" w:rsidRPr="00781112" w:rsidRDefault="002B7490" w:rsidP="00A018D4">
            <w:pPr>
              <w:jc w:val="center"/>
              <w:rPr>
                <w:rFonts w:cs="Arial"/>
                <w:color w:val="000000" w:themeColor="text1"/>
                <w:szCs w:val="16"/>
              </w:rPr>
            </w:pPr>
            <w:r w:rsidRPr="00781112">
              <w:rPr>
                <w:rFonts w:cs="Arial"/>
                <w:color w:val="000000" w:themeColor="text1"/>
                <w:szCs w:val="16"/>
              </w:rPr>
              <w:t>72.50%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C74D9F4" w14:textId="774343F5" w:rsidR="0085328E" w:rsidRPr="00781112" w:rsidRDefault="002B7490" w:rsidP="00A018D4">
            <w:pPr>
              <w:jc w:val="center"/>
              <w:rPr>
                <w:rFonts w:cs="Arial"/>
                <w:color w:val="000000" w:themeColor="text1"/>
                <w:szCs w:val="16"/>
              </w:rPr>
            </w:pPr>
            <w:r w:rsidRPr="00781112">
              <w:rPr>
                <w:rFonts w:cs="Arial"/>
                <w:color w:val="000000" w:themeColor="text1"/>
                <w:szCs w:val="16"/>
              </w:rPr>
              <w:t>73.00%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9DA59EE" w14:textId="194552B0" w:rsidR="0085328E" w:rsidRPr="00781112" w:rsidRDefault="002B7490" w:rsidP="00A018D4">
            <w:pPr>
              <w:jc w:val="center"/>
              <w:rPr>
                <w:rFonts w:cs="Arial"/>
                <w:color w:val="000000" w:themeColor="text1"/>
                <w:szCs w:val="16"/>
              </w:rPr>
            </w:pPr>
            <w:r w:rsidRPr="00781112">
              <w:rPr>
                <w:rFonts w:cs="Arial"/>
                <w:color w:val="000000" w:themeColor="text1"/>
                <w:szCs w:val="16"/>
              </w:rPr>
              <w:t>73.50%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B8D5B5" w14:textId="15B9801D" w:rsidR="0085328E" w:rsidRPr="00781112" w:rsidRDefault="002B7490" w:rsidP="00A018D4">
            <w:pPr>
              <w:jc w:val="center"/>
              <w:rPr>
                <w:rFonts w:cs="Arial"/>
                <w:color w:val="000000" w:themeColor="text1"/>
                <w:szCs w:val="16"/>
              </w:rPr>
            </w:pPr>
            <w:r w:rsidRPr="00781112">
              <w:rPr>
                <w:rFonts w:cs="Arial"/>
                <w:color w:val="000000" w:themeColor="text1"/>
                <w:szCs w:val="16"/>
              </w:rPr>
              <w:t>73.50%</w:t>
            </w:r>
          </w:p>
        </w:tc>
      </w:tr>
      <w:tr w:rsidR="005F0D3B" w:rsidRPr="00781112" w14:paraId="66DA0218" w14:textId="74D7BD54" w:rsidTr="009023AD">
        <w:trPr>
          <w:trHeight w:val="85"/>
        </w:trPr>
        <w:tc>
          <w:tcPr>
            <w:tcW w:w="248" w:type="pct"/>
            <w:tcBorders>
              <w:left w:val="single" w:sz="4" w:space="0" w:color="auto"/>
              <w:right w:val="single" w:sz="4" w:space="0" w:color="auto"/>
            </w:tcBorders>
            <w:shd w:val="clear" w:color="auto" w:fill="auto"/>
            <w:vAlign w:val="center"/>
          </w:tcPr>
          <w:p w14:paraId="24B8577D" w14:textId="1B68A320"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F012F6D" w14:textId="4520FF93" w:rsidR="0085328E" w:rsidRPr="00781112" w:rsidRDefault="002B7490" w:rsidP="00A018D4">
            <w:pPr>
              <w:jc w:val="center"/>
              <w:rPr>
                <w:rFonts w:cs="Arial"/>
                <w:color w:val="000000" w:themeColor="text1"/>
                <w:szCs w:val="16"/>
              </w:rPr>
            </w:pPr>
            <w:r w:rsidRPr="00781112">
              <w:rPr>
                <w:rFonts w:cs="Arial"/>
                <w:color w:val="000000" w:themeColor="text1"/>
                <w:szCs w:val="16"/>
              </w:rPr>
              <w:t>70.90%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853A57"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11C2254" w14:textId="1DF979D4" w:rsidR="0085328E" w:rsidRPr="00781112" w:rsidRDefault="002B7490" w:rsidP="00A018D4">
            <w:pPr>
              <w:jc w:val="center"/>
              <w:rPr>
                <w:rFonts w:cs="Arial"/>
                <w:color w:val="000000" w:themeColor="text1"/>
                <w:szCs w:val="16"/>
              </w:rPr>
            </w:pPr>
            <w:r w:rsidRPr="00781112">
              <w:rPr>
                <w:rFonts w:cs="Arial"/>
                <w:color w:val="000000" w:themeColor="text1"/>
                <w:szCs w:val="16"/>
              </w:rPr>
              <w:t>72.72%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5DBAC4" w14:textId="06C3822D" w:rsidR="0085328E" w:rsidRPr="00781112" w:rsidRDefault="002B7490" w:rsidP="00A018D4">
            <w:pPr>
              <w:jc w:val="center"/>
              <w:rPr>
                <w:rFonts w:cs="Arial"/>
                <w:color w:val="000000" w:themeColor="text1"/>
                <w:szCs w:val="16"/>
              </w:rPr>
            </w:pPr>
            <w:r w:rsidRPr="00781112">
              <w:rPr>
                <w:rFonts w:cs="Arial"/>
                <w:color w:val="000000" w:themeColor="text1"/>
                <w:szCs w:val="16"/>
              </w:rPr>
              <w:t>73.14%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9D2F1A1" w14:textId="1565A8C1" w:rsidR="0085328E" w:rsidRPr="00781112" w:rsidRDefault="002B7490" w:rsidP="00A018D4">
            <w:pPr>
              <w:jc w:val="center"/>
              <w:rPr>
                <w:rFonts w:cs="Arial"/>
                <w:color w:val="000000" w:themeColor="text1"/>
                <w:szCs w:val="16"/>
              </w:rPr>
            </w:pPr>
            <w:r w:rsidRPr="00781112">
              <w:rPr>
                <w:rFonts w:cs="Arial"/>
                <w:color w:val="000000" w:themeColor="text1"/>
                <w:szCs w:val="16"/>
              </w:rPr>
              <w:t>71.08%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9437" w14:textId="7807B4A0" w:rsidR="0085328E" w:rsidRPr="00781112" w:rsidRDefault="002B7490" w:rsidP="00A018D4">
            <w:pPr>
              <w:jc w:val="center"/>
              <w:rPr>
                <w:rFonts w:cs="Arial"/>
                <w:color w:val="000000" w:themeColor="text1"/>
                <w:szCs w:val="16"/>
              </w:rPr>
            </w:pPr>
            <w:r w:rsidRPr="00781112">
              <w:rPr>
                <w:rFonts w:cs="Arial"/>
                <w:color w:val="000000" w:themeColor="text1"/>
                <w:szCs w:val="16"/>
              </w:rPr>
              <w:t>72.57%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1EDD05" w14:textId="5AA94706" w:rsidR="0085328E" w:rsidRPr="00781112" w:rsidRDefault="002B7490" w:rsidP="00A018D4">
            <w:pPr>
              <w:jc w:val="center"/>
              <w:rPr>
                <w:rFonts w:cs="Arial"/>
                <w:color w:val="000000" w:themeColor="text1"/>
                <w:szCs w:val="16"/>
              </w:rPr>
            </w:pPr>
            <w:r w:rsidRPr="00781112">
              <w:rPr>
                <w:rFonts w:cs="Arial"/>
                <w:color w:val="000000" w:themeColor="text1"/>
                <w:szCs w:val="16"/>
              </w:rPr>
              <w:t>68.90%</w:t>
            </w:r>
          </w:p>
        </w:tc>
      </w:tr>
      <w:tr w:rsidR="005F0D3B" w:rsidRPr="00781112" w14:paraId="5D1BF2C9" w14:textId="459BD37D" w:rsidTr="009023AD">
        <w:trPr>
          <w:trHeight w:val="85"/>
        </w:trPr>
        <w:tc>
          <w:tcPr>
            <w:tcW w:w="248" w:type="pct"/>
            <w:tcBorders>
              <w:left w:val="single" w:sz="4" w:space="0" w:color="auto"/>
              <w:right w:val="single" w:sz="4" w:space="0" w:color="auto"/>
            </w:tcBorders>
            <w:shd w:val="clear" w:color="auto" w:fill="auto"/>
            <w:vAlign w:val="center"/>
          </w:tcPr>
          <w:p w14:paraId="548F3C7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160EA035" w14:textId="1C94FCD5" w:rsidR="0085328E" w:rsidRPr="00781112" w:rsidRDefault="002B7490" w:rsidP="00A018D4">
            <w:pPr>
              <w:jc w:val="center"/>
              <w:rPr>
                <w:rFonts w:cs="Arial"/>
                <w:color w:val="000000" w:themeColor="text1"/>
                <w:szCs w:val="16"/>
              </w:rPr>
            </w:pPr>
            <w:r w:rsidRPr="00781112">
              <w:rPr>
                <w:rFonts w:cs="Arial"/>
                <w:color w:val="000000" w:themeColor="text1"/>
                <w:szCs w:val="16"/>
              </w:rPr>
              <w:t>2010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A24CCF9" w14:textId="2D8E0643"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D83D62" w14:textId="2DE181F8" w:rsidR="0085328E" w:rsidRPr="00781112" w:rsidRDefault="002B7490" w:rsidP="00A018D4">
            <w:pPr>
              <w:jc w:val="center"/>
              <w:rPr>
                <w:rFonts w:cs="Arial"/>
                <w:color w:val="000000" w:themeColor="text1"/>
                <w:szCs w:val="16"/>
              </w:rPr>
            </w:pPr>
            <w:r w:rsidRPr="00781112">
              <w:rPr>
                <w:rFonts w:cs="Arial"/>
                <w:color w:val="000000" w:themeColor="text1"/>
                <w:szCs w:val="16"/>
              </w:rPr>
              <w:t>58.00%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B792AD" w14:textId="758AC006" w:rsidR="0085328E" w:rsidRPr="00781112" w:rsidRDefault="002B7490" w:rsidP="00A018D4">
            <w:pPr>
              <w:jc w:val="center"/>
              <w:rPr>
                <w:rFonts w:cs="Arial"/>
                <w:color w:val="000000" w:themeColor="text1"/>
                <w:szCs w:val="16"/>
              </w:rPr>
            </w:pPr>
            <w:r w:rsidRPr="00781112">
              <w:rPr>
                <w:rFonts w:cs="Arial"/>
                <w:color w:val="000000" w:themeColor="text1"/>
                <w:szCs w:val="16"/>
              </w:rPr>
              <w:t>58.50%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782A18F" w14:textId="46A86692" w:rsidR="0085328E" w:rsidRPr="00781112" w:rsidRDefault="002B7490" w:rsidP="00A018D4">
            <w:pPr>
              <w:jc w:val="center"/>
              <w:rPr>
                <w:rFonts w:cs="Arial"/>
                <w:color w:val="000000" w:themeColor="text1"/>
                <w:szCs w:val="16"/>
              </w:rPr>
            </w:pPr>
            <w:r w:rsidRPr="00781112">
              <w:rPr>
                <w:rFonts w:cs="Arial"/>
                <w:color w:val="000000" w:themeColor="text1"/>
                <w:szCs w:val="16"/>
              </w:rPr>
              <w:t>59.00%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97CBE74" w14:textId="39C3D76E" w:rsidR="0085328E" w:rsidRPr="00781112" w:rsidRDefault="002B7490" w:rsidP="00A018D4">
            <w:pPr>
              <w:jc w:val="center"/>
              <w:rPr>
                <w:rFonts w:cs="Arial"/>
                <w:color w:val="000000" w:themeColor="text1"/>
                <w:szCs w:val="16"/>
              </w:rPr>
            </w:pPr>
            <w:r w:rsidRPr="00781112">
              <w:rPr>
                <w:rFonts w:cs="Arial"/>
                <w:color w:val="000000" w:themeColor="text1"/>
                <w:szCs w:val="16"/>
              </w:rPr>
              <w:t>59.50%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1A34F04" w14:textId="315015F3" w:rsidR="0085328E" w:rsidRPr="00781112" w:rsidRDefault="002B7490" w:rsidP="00A018D4">
            <w:pPr>
              <w:jc w:val="center"/>
              <w:rPr>
                <w:rFonts w:cs="Arial"/>
                <w:color w:val="000000" w:themeColor="text1"/>
                <w:szCs w:val="16"/>
              </w:rPr>
            </w:pPr>
            <w:r w:rsidRPr="00781112">
              <w:rPr>
                <w:rFonts w:cs="Arial"/>
                <w:color w:val="000000" w:themeColor="text1"/>
                <w:szCs w:val="16"/>
              </w:rPr>
              <w:t>59.50%</w:t>
            </w:r>
          </w:p>
        </w:tc>
      </w:tr>
      <w:tr w:rsidR="005F0D3B" w:rsidRPr="00781112" w14:paraId="1AC0D5CC" w14:textId="451AD16E" w:rsidTr="009023AD">
        <w:trPr>
          <w:trHeight w:val="85"/>
        </w:trPr>
        <w:tc>
          <w:tcPr>
            <w:tcW w:w="248" w:type="pct"/>
            <w:tcBorders>
              <w:left w:val="single" w:sz="4" w:space="0" w:color="auto"/>
              <w:right w:val="single" w:sz="4" w:space="0" w:color="auto"/>
            </w:tcBorders>
            <w:shd w:val="clear" w:color="auto" w:fill="auto"/>
            <w:vAlign w:val="center"/>
          </w:tcPr>
          <w:p w14:paraId="143DE0B0" w14:textId="232D3364"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24E18759" w14:textId="387ECC21" w:rsidR="0085328E" w:rsidRPr="00781112" w:rsidRDefault="002B7490" w:rsidP="00A018D4">
            <w:pPr>
              <w:jc w:val="center"/>
              <w:rPr>
                <w:rFonts w:cs="Arial"/>
                <w:color w:val="000000" w:themeColor="text1"/>
                <w:szCs w:val="16"/>
              </w:rPr>
            </w:pPr>
            <w:r w:rsidRPr="00781112">
              <w:rPr>
                <w:rFonts w:cs="Arial"/>
                <w:color w:val="000000" w:themeColor="text1"/>
                <w:szCs w:val="16"/>
              </w:rPr>
              <w:t>56.20%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1218C7"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4D7405" w14:textId="7369DBD6" w:rsidR="0085328E" w:rsidRPr="00781112" w:rsidRDefault="002B7490" w:rsidP="00A018D4">
            <w:pPr>
              <w:jc w:val="center"/>
              <w:rPr>
                <w:rFonts w:cs="Arial"/>
                <w:color w:val="000000" w:themeColor="text1"/>
                <w:szCs w:val="16"/>
              </w:rPr>
            </w:pPr>
            <w:r w:rsidRPr="00781112">
              <w:rPr>
                <w:rFonts w:cs="Arial"/>
                <w:color w:val="000000" w:themeColor="text1"/>
                <w:szCs w:val="16"/>
              </w:rPr>
              <w:t>57.77%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668A2AF" w14:textId="3F239661" w:rsidR="0085328E" w:rsidRPr="00781112" w:rsidRDefault="002B7490" w:rsidP="00A018D4">
            <w:pPr>
              <w:jc w:val="center"/>
              <w:rPr>
                <w:rFonts w:cs="Arial"/>
                <w:color w:val="000000" w:themeColor="text1"/>
                <w:szCs w:val="16"/>
              </w:rPr>
            </w:pPr>
            <w:r w:rsidRPr="00781112">
              <w:rPr>
                <w:rFonts w:cs="Arial"/>
                <w:color w:val="000000" w:themeColor="text1"/>
                <w:szCs w:val="16"/>
              </w:rPr>
              <w:t>56.37%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735D643" w14:textId="534CE7F8" w:rsidR="0085328E" w:rsidRPr="00781112" w:rsidRDefault="002B7490" w:rsidP="00A018D4">
            <w:pPr>
              <w:jc w:val="center"/>
              <w:rPr>
                <w:rFonts w:cs="Arial"/>
                <w:color w:val="000000" w:themeColor="text1"/>
                <w:szCs w:val="16"/>
              </w:rPr>
            </w:pPr>
            <w:r w:rsidRPr="00781112">
              <w:rPr>
                <w:rFonts w:cs="Arial"/>
                <w:color w:val="000000" w:themeColor="text1"/>
                <w:szCs w:val="16"/>
              </w:rPr>
              <w:t>55.00%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69A388" w14:textId="486C020A" w:rsidR="0085328E" w:rsidRPr="00781112" w:rsidRDefault="002B7490" w:rsidP="00A018D4">
            <w:pPr>
              <w:jc w:val="center"/>
              <w:rPr>
                <w:rFonts w:cs="Arial"/>
                <w:color w:val="000000" w:themeColor="text1"/>
                <w:szCs w:val="16"/>
              </w:rPr>
            </w:pPr>
            <w:r w:rsidRPr="00781112">
              <w:rPr>
                <w:rFonts w:cs="Arial"/>
                <w:color w:val="000000" w:themeColor="text1"/>
                <w:szCs w:val="16"/>
              </w:rPr>
              <w:t>55.25%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AB34E0E" w14:textId="72971784" w:rsidR="0085328E" w:rsidRPr="00781112" w:rsidRDefault="002B7490" w:rsidP="00A018D4">
            <w:pPr>
              <w:jc w:val="center"/>
              <w:rPr>
                <w:rFonts w:cs="Arial"/>
                <w:color w:val="000000" w:themeColor="text1"/>
                <w:szCs w:val="16"/>
              </w:rPr>
            </w:pPr>
            <w:r w:rsidRPr="00781112">
              <w:rPr>
                <w:rFonts w:cs="Arial"/>
                <w:color w:val="000000" w:themeColor="text1"/>
                <w:szCs w:val="16"/>
              </w:rPr>
              <w:t>45.99%</w:t>
            </w:r>
          </w:p>
        </w:tc>
      </w:tr>
      <w:tr w:rsidR="005F0D3B" w:rsidRPr="00781112" w14:paraId="3A905290" w14:textId="4D4DDE53" w:rsidTr="009023AD">
        <w:trPr>
          <w:trHeight w:val="85"/>
        </w:trPr>
        <w:tc>
          <w:tcPr>
            <w:tcW w:w="248" w:type="pct"/>
            <w:tcBorders>
              <w:left w:val="single" w:sz="4" w:space="0" w:color="auto"/>
              <w:right w:val="single" w:sz="4" w:space="0" w:color="auto"/>
            </w:tcBorders>
            <w:shd w:val="clear" w:color="auto" w:fill="auto"/>
            <w:vAlign w:val="center"/>
          </w:tcPr>
          <w:p w14:paraId="72D6BBB6"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32EC35B2" w14:textId="7EF481F8" w:rsidR="0085328E" w:rsidRPr="00781112" w:rsidRDefault="002B7490" w:rsidP="00A018D4">
            <w:pPr>
              <w:jc w:val="center"/>
              <w:rPr>
                <w:rFonts w:cs="Arial"/>
                <w:color w:val="000000" w:themeColor="text1"/>
                <w:szCs w:val="16"/>
              </w:rPr>
            </w:pPr>
            <w:r w:rsidRPr="00781112">
              <w:rPr>
                <w:rFonts w:cs="Arial"/>
                <w:color w:val="000000" w:themeColor="text1"/>
                <w:szCs w:val="16"/>
              </w:rPr>
              <w:t>2010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2AD4BBD1" w14:textId="1AF777EC"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E3605B6" w14:textId="09C06F1D" w:rsidR="0085328E"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985E737" w14:textId="1A9F0994" w:rsidR="0085328E" w:rsidRPr="00781112" w:rsidRDefault="002B7490" w:rsidP="00A018D4">
            <w:pPr>
              <w:jc w:val="center"/>
              <w:rPr>
                <w:rFonts w:cs="Arial"/>
                <w:color w:val="000000" w:themeColor="text1"/>
                <w:szCs w:val="16"/>
              </w:rPr>
            </w:pPr>
            <w:r w:rsidRPr="00781112">
              <w:rPr>
                <w:rFonts w:cs="Arial"/>
                <w:color w:val="000000" w:themeColor="text1"/>
                <w:szCs w:val="16"/>
              </w:rPr>
              <w:t>75.50%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104097D" w14:textId="3599EA63" w:rsidR="0085328E" w:rsidRPr="00781112" w:rsidRDefault="002B7490" w:rsidP="00A018D4">
            <w:pPr>
              <w:jc w:val="center"/>
              <w:rPr>
                <w:rFonts w:cs="Arial"/>
                <w:color w:val="000000" w:themeColor="text1"/>
                <w:szCs w:val="16"/>
              </w:rPr>
            </w:pPr>
            <w:r w:rsidRPr="00781112">
              <w:rPr>
                <w:rFonts w:cs="Arial"/>
                <w:color w:val="000000" w:themeColor="text1"/>
                <w:szCs w:val="16"/>
              </w:rPr>
              <w:t>76.00%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2ECD873" w14:textId="22C05487" w:rsidR="0085328E" w:rsidRPr="00781112" w:rsidRDefault="002B7490" w:rsidP="00A018D4">
            <w:pPr>
              <w:jc w:val="center"/>
              <w:rPr>
                <w:rFonts w:cs="Arial"/>
                <w:color w:val="000000" w:themeColor="text1"/>
                <w:szCs w:val="16"/>
              </w:rPr>
            </w:pPr>
            <w:r w:rsidRPr="00781112">
              <w:rPr>
                <w:rFonts w:cs="Arial"/>
                <w:color w:val="000000" w:themeColor="text1"/>
                <w:szCs w:val="16"/>
              </w:rPr>
              <w:t>76.50%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3389E08" w14:textId="39125BE4" w:rsidR="0085328E" w:rsidRPr="00781112" w:rsidRDefault="002B7490" w:rsidP="00A018D4">
            <w:pPr>
              <w:jc w:val="center"/>
              <w:rPr>
                <w:rFonts w:cs="Arial"/>
                <w:color w:val="000000" w:themeColor="text1"/>
                <w:szCs w:val="16"/>
              </w:rPr>
            </w:pPr>
            <w:r w:rsidRPr="00781112">
              <w:rPr>
                <w:rFonts w:cs="Arial"/>
                <w:color w:val="000000" w:themeColor="text1"/>
                <w:szCs w:val="16"/>
              </w:rPr>
              <w:t>76.50%</w:t>
            </w:r>
          </w:p>
        </w:tc>
      </w:tr>
      <w:tr w:rsidR="005F0D3B" w:rsidRPr="00781112" w14:paraId="542EE9A0" w14:textId="0624CABB" w:rsidTr="009023AD">
        <w:trPr>
          <w:trHeight w:val="85"/>
        </w:trPr>
        <w:tc>
          <w:tcPr>
            <w:tcW w:w="248" w:type="pct"/>
            <w:tcBorders>
              <w:left w:val="single" w:sz="4" w:space="0" w:color="auto"/>
              <w:right w:val="single" w:sz="4" w:space="0" w:color="auto"/>
            </w:tcBorders>
            <w:shd w:val="clear" w:color="auto" w:fill="auto"/>
            <w:vAlign w:val="center"/>
          </w:tcPr>
          <w:p w14:paraId="4DBC4231" w14:textId="38EC78AF"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4A443083" w14:textId="588F563E" w:rsidR="0085328E" w:rsidRPr="00781112" w:rsidRDefault="002B7490" w:rsidP="00A018D4">
            <w:pPr>
              <w:jc w:val="center"/>
              <w:rPr>
                <w:rFonts w:cs="Arial"/>
                <w:color w:val="000000" w:themeColor="text1"/>
                <w:szCs w:val="16"/>
              </w:rPr>
            </w:pPr>
            <w:r w:rsidRPr="00781112">
              <w:rPr>
                <w:rFonts w:cs="Arial"/>
                <w:color w:val="000000" w:themeColor="text1"/>
                <w:szCs w:val="16"/>
              </w:rPr>
              <w:t>74.70%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3505DBD8"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CFC788" w14:textId="0DEC691C" w:rsidR="0085328E" w:rsidRPr="00781112" w:rsidRDefault="002B7490" w:rsidP="00A018D4">
            <w:pPr>
              <w:jc w:val="center"/>
              <w:rPr>
                <w:rFonts w:cs="Arial"/>
                <w:color w:val="000000" w:themeColor="text1"/>
                <w:szCs w:val="16"/>
              </w:rPr>
            </w:pPr>
            <w:r w:rsidRPr="00781112">
              <w:rPr>
                <w:rFonts w:cs="Arial"/>
                <w:color w:val="000000" w:themeColor="text1"/>
                <w:szCs w:val="16"/>
              </w:rPr>
              <w:t>75.11%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A2692FD" w14:textId="41890FD1" w:rsidR="0085328E" w:rsidRPr="00781112" w:rsidRDefault="002B7490" w:rsidP="00A018D4">
            <w:pPr>
              <w:jc w:val="center"/>
              <w:rPr>
                <w:rFonts w:cs="Arial"/>
                <w:color w:val="000000" w:themeColor="text1"/>
                <w:szCs w:val="16"/>
              </w:rPr>
            </w:pPr>
            <w:r w:rsidRPr="00781112">
              <w:rPr>
                <w:rFonts w:cs="Arial"/>
                <w:color w:val="000000" w:themeColor="text1"/>
                <w:szCs w:val="16"/>
              </w:rPr>
              <w:t>75.96%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E19A94" w14:textId="4230AB0E" w:rsidR="0085328E" w:rsidRPr="00781112" w:rsidRDefault="002B7490" w:rsidP="00A018D4">
            <w:pPr>
              <w:jc w:val="center"/>
              <w:rPr>
                <w:rFonts w:cs="Arial"/>
                <w:color w:val="000000" w:themeColor="text1"/>
                <w:szCs w:val="16"/>
              </w:rPr>
            </w:pPr>
            <w:r w:rsidRPr="00781112">
              <w:rPr>
                <w:rFonts w:cs="Arial"/>
                <w:color w:val="000000" w:themeColor="text1"/>
                <w:szCs w:val="16"/>
              </w:rPr>
              <w:t>74.69%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F3C8C0" w14:textId="601F01AA" w:rsidR="0085328E" w:rsidRPr="00781112" w:rsidRDefault="002B7490" w:rsidP="00A018D4">
            <w:pPr>
              <w:jc w:val="center"/>
              <w:rPr>
                <w:rFonts w:cs="Arial"/>
                <w:color w:val="000000" w:themeColor="text1"/>
                <w:szCs w:val="16"/>
              </w:rPr>
            </w:pPr>
            <w:r w:rsidRPr="00781112">
              <w:rPr>
                <w:rFonts w:cs="Arial"/>
                <w:color w:val="000000" w:themeColor="text1"/>
                <w:szCs w:val="16"/>
              </w:rPr>
              <w:t>59.09%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69554C" w14:textId="208FBED6" w:rsidR="0085328E" w:rsidRPr="00781112" w:rsidRDefault="002B7490" w:rsidP="00A018D4">
            <w:pPr>
              <w:jc w:val="center"/>
              <w:rPr>
                <w:rFonts w:cs="Arial"/>
                <w:color w:val="000000" w:themeColor="text1"/>
                <w:szCs w:val="16"/>
              </w:rPr>
            </w:pPr>
            <w:r w:rsidRPr="00781112">
              <w:rPr>
                <w:rFonts w:cs="Arial"/>
                <w:color w:val="000000" w:themeColor="text1"/>
                <w:szCs w:val="16"/>
              </w:rPr>
              <w:t>54.70%</w:t>
            </w:r>
          </w:p>
        </w:tc>
      </w:tr>
      <w:tr w:rsidR="005F0D3B" w:rsidRPr="00781112" w14:paraId="1C3A879D" w14:textId="39451B95" w:rsidTr="009023AD">
        <w:trPr>
          <w:trHeight w:val="85"/>
        </w:trPr>
        <w:tc>
          <w:tcPr>
            <w:tcW w:w="248" w:type="pct"/>
            <w:tcBorders>
              <w:left w:val="single" w:sz="4" w:space="0" w:color="auto"/>
              <w:right w:val="single" w:sz="4" w:space="0" w:color="auto"/>
            </w:tcBorders>
            <w:shd w:val="clear" w:color="auto" w:fill="auto"/>
            <w:vAlign w:val="center"/>
          </w:tcPr>
          <w:p w14:paraId="26C585A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02A4378D" w14:textId="1370C13B" w:rsidR="0085328E" w:rsidRPr="00781112" w:rsidRDefault="002B7490" w:rsidP="00A018D4">
            <w:pPr>
              <w:jc w:val="center"/>
              <w:rPr>
                <w:rFonts w:cs="Arial"/>
                <w:color w:val="000000" w:themeColor="text1"/>
                <w:szCs w:val="16"/>
              </w:rPr>
            </w:pPr>
            <w:r w:rsidRPr="00781112">
              <w:rPr>
                <w:rFonts w:cs="Arial"/>
                <w:color w:val="000000" w:themeColor="text1"/>
                <w:szCs w:val="16"/>
              </w:rPr>
              <w:t>2010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0F3C954" w14:textId="5809F22B"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37F82B2" w14:textId="3FDA4D76" w:rsidR="0085328E" w:rsidRPr="00781112" w:rsidRDefault="002B7490" w:rsidP="00A018D4">
            <w:pPr>
              <w:jc w:val="center"/>
              <w:rPr>
                <w:rFonts w:cs="Arial"/>
                <w:color w:val="000000" w:themeColor="text1"/>
                <w:szCs w:val="16"/>
              </w:rPr>
            </w:pPr>
            <w:r w:rsidRPr="00781112">
              <w:rPr>
                <w:rFonts w:cs="Arial"/>
                <w:color w:val="000000" w:themeColor="text1"/>
                <w:szCs w:val="16"/>
              </w:rPr>
              <w:t>70.00%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C5B5B6" w14:textId="467D9866" w:rsidR="0085328E" w:rsidRPr="00781112" w:rsidRDefault="002B7490" w:rsidP="00A018D4">
            <w:pPr>
              <w:jc w:val="center"/>
              <w:rPr>
                <w:rFonts w:cs="Arial"/>
                <w:color w:val="000000" w:themeColor="text1"/>
                <w:szCs w:val="16"/>
              </w:rPr>
            </w:pPr>
            <w:r w:rsidRPr="00781112">
              <w:rPr>
                <w:rFonts w:cs="Arial"/>
                <w:color w:val="000000" w:themeColor="text1"/>
                <w:szCs w:val="16"/>
              </w:rPr>
              <w:t>70.50%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D8F929" w14:textId="659E25C7" w:rsidR="0085328E" w:rsidRPr="00781112" w:rsidRDefault="002B7490" w:rsidP="00A018D4">
            <w:pPr>
              <w:jc w:val="center"/>
              <w:rPr>
                <w:rFonts w:cs="Arial"/>
                <w:color w:val="000000" w:themeColor="text1"/>
                <w:szCs w:val="16"/>
              </w:rPr>
            </w:pPr>
            <w:r w:rsidRPr="00781112">
              <w:rPr>
                <w:rFonts w:cs="Arial"/>
                <w:color w:val="000000" w:themeColor="text1"/>
                <w:szCs w:val="16"/>
              </w:rPr>
              <w:t>71.00%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2DB5EE8" w14:textId="25FD6BE6" w:rsidR="0085328E" w:rsidRPr="00781112" w:rsidRDefault="002B7490" w:rsidP="00A018D4">
            <w:pPr>
              <w:jc w:val="center"/>
              <w:rPr>
                <w:rFonts w:cs="Arial"/>
                <w:color w:val="000000" w:themeColor="text1"/>
                <w:szCs w:val="16"/>
              </w:rPr>
            </w:pPr>
            <w:r w:rsidRPr="00781112">
              <w:rPr>
                <w:rFonts w:cs="Arial"/>
                <w:color w:val="000000" w:themeColor="text1"/>
                <w:szCs w:val="16"/>
              </w:rPr>
              <w:t>71.50%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4D4A8ED" w14:textId="7FD39DDF" w:rsidR="0085328E" w:rsidRPr="00781112" w:rsidRDefault="002B7490" w:rsidP="00A018D4">
            <w:pPr>
              <w:jc w:val="center"/>
              <w:rPr>
                <w:rFonts w:cs="Arial"/>
                <w:color w:val="000000" w:themeColor="text1"/>
                <w:szCs w:val="16"/>
              </w:rPr>
            </w:pPr>
            <w:r w:rsidRPr="00781112">
              <w:rPr>
                <w:rFonts w:cs="Arial"/>
                <w:color w:val="000000" w:themeColor="text1"/>
                <w:szCs w:val="16"/>
              </w:rPr>
              <w:t>71.50%</w:t>
            </w:r>
          </w:p>
        </w:tc>
      </w:tr>
      <w:tr w:rsidR="005F0D3B" w:rsidRPr="00781112" w14:paraId="2ED2CF15" w14:textId="4D4950C3" w:rsidTr="009023AD">
        <w:trPr>
          <w:trHeight w:val="85"/>
        </w:trPr>
        <w:tc>
          <w:tcPr>
            <w:tcW w:w="248" w:type="pct"/>
            <w:tcBorders>
              <w:left w:val="single" w:sz="4" w:space="0" w:color="auto"/>
              <w:right w:val="single" w:sz="4" w:space="0" w:color="auto"/>
            </w:tcBorders>
            <w:shd w:val="clear" w:color="auto" w:fill="auto"/>
            <w:vAlign w:val="center"/>
          </w:tcPr>
          <w:p w14:paraId="0C71509B" w14:textId="5F7D99B1"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722DF11E" w14:textId="268D7A3C" w:rsidR="0085328E" w:rsidRPr="00781112" w:rsidRDefault="002B7490" w:rsidP="00A018D4">
            <w:pPr>
              <w:jc w:val="center"/>
              <w:rPr>
                <w:rFonts w:cs="Arial"/>
                <w:color w:val="000000" w:themeColor="text1"/>
                <w:szCs w:val="16"/>
              </w:rPr>
            </w:pPr>
            <w:r w:rsidRPr="00781112">
              <w:rPr>
                <w:rFonts w:cs="Arial"/>
                <w:color w:val="000000" w:themeColor="text1"/>
                <w:szCs w:val="16"/>
              </w:rPr>
              <w:t>69.00%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7880F8C"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9C94D3E" w14:textId="1C9729B7" w:rsidR="0085328E" w:rsidRPr="00781112" w:rsidRDefault="002B7490" w:rsidP="00A018D4">
            <w:pPr>
              <w:jc w:val="center"/>
              <w:rPr>
                <w:rFonts w:cs="Arial"/>
                <w:color w:val="000000" w:themeColor="text1"/>
                <w:szCs w:val="16"/>
              </w:rPr>
            </w:pPr>
            <w:r w:rsidRPr="00781112">
              <w:rPr>
                <w:rFonts w:cs="Arial"/>
                <w:color w:val="000000" w:themeColor="text1"/>
                <w:szCs w:val="16"/>
              </w:rPr>
              <w:t>68.31%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AA52620" w14:textId="6E2803C1" w:rsidR="0085328E" w:rsidRPr="00781112" w:rsidRDefault="002B7490" w:rsidP="00A018D4">
            <w:pPr>
              <w:jc w:val="center"/>
              <w:rPr>
                <w:rFonts w:cs="Arial"/>
                <w:color w:val="000000" w:themeColor="text1"/>
                <w:szCs w:val="16"/>
              </w:rPr>
            </w:pPr>
            <w:r w:rsidRPr="00781112">
              <w:rPr>
                <w:rFonts w:cs="Arial"/>
                <w:color w:val="000000" w:themeColor="text1"/>
                <w:szCs w:val="16"/>
              </w:rPr>
              <w:t>67.30%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B49B53" w14:textId="1024FEC0" w:rsidR="0085328E" w:rsidRPr="00781112" w:rsidRDefault="002B7490" w:rsidP="00A018D4">
            <w:pPr>
              <w:jc w:val="center"/>
              <w:rPr>
                <w:rFonts w:cs="Arial"/>
                <w:color w:val="000000" w:themeColor="text1"/>
                <w:szCs w:val="16"/>
              </w:rPr>
            </w:pPr>
            <w:r w:rsidRPr="00781112">
              <w:rPr>
                <w:rFonts w:cs="Arial"/>
                <w:color w:val="000000" w:themeColor="text1"/>
                <w:szCs w:val="16"/>
              </w:rPr>
              <w:t>65.93%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B7A91B" w14:textId="764DB422" w:rsidR="0085328E" w:rsidRPr="00781112" w:rsidRDefault="002B7490" w:rsidP="00A018D4">
            <w:pPr>
              <w:jc w:val="center"/>
              <w:rPr>
                <w:rFonts w:cs="Arial"/>
                <w:color w:val="000000" w:themeColor="text1"/>
                <w:szCs w:val="16"/>
              </w:rPr>
            </w:pPr>
            <w:r w:rsidRPr="00781112">
              <w:rPr>
                <w:rFonts w:cs="Arial"/>
                <w:color w:val="000000" w:themeColor="text1"/>
                <w:szCs w:val="16"/>
              </w:rPr>
              <w:t>44.70%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BDF1E23" w14:textId="1E0478E3" w:rsidR="0085328E" w:rsidRPr="00781112" w:rsidRDefault="002B7490" w:rsidP="00A018D4">
            <w:pPr>
              <w:jc w:val="center"/>
              <w:rPr>
                <w:rFonts w:cs="Arial"/>
                <w:color w:val="000000" w:themeColor="text1"/>
                <w:szCs w:val="16"/>
              </w:rPr>
            </w:pPr>
            <w:r w:rsidRPr="00781112">
              <w:rPr>
                <w:rFonts w:cs="Arial"/>
                <w:color w:val="000000" w:themeColor="text1"/>
                <w:szCs w:val="16"/>
              </w:rPr>
              <w:t>30.79%</w:t>
            </w:r>
          </w:p>
        </w:tc>
      </w:tr>
    </w:tbl>
    <w:p w14:paraId="53B4B4AE" w14:textId="77777777" w:rsidR="007870F8" w:rsidRPr="00781112" w:rsidRDefault="007870F8" w:rsidP="004369B2">
      <w:pPr>
        <w:rPr>
          <w:color w:val="000000" w:themeColor="text1"/>
        </w:rPr>
      </w:pPr>
    </w:p>
    <w:p w14:paraId="0DB74FA5" w14:textId="79B945B9" w:rsidR="00F4192A" w:rsidRPr="00781112" w:rsidRDefault="00F4192A" w:rsidP="004369B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TARGETS"/>
      </w:tblPr>
      <w:tblGrid>
        <w:gridCol w:w="679"/>
        <w:gridCol w:w="1598"/>
        <w:gridCol w:w="1702"/>
        <w:gridCol w:w="1702"/>
        <w:gridCol w:w="1703"/>
        <w:gridCol w:w="1703"/>
        <w:gridCol w:w="1703"/>
      </w:tblGrid>
      <w:tr w:rsidR="00D62058" w:rsidRPr="00781112" w14:paraId="7154778B" w14:textId="326343BD" w:rsidTr="009023AD">
        <w:trPr>
          <w:trHeight w:val="333"/>
        </w:trPr>
        <w:tc>
          <w:tcPr>
            <w:tcW w:w="224" w:type="pct"/>
            <w:tcBorders>
              <w:bottom w:val="single" w:sz="4" w:space="0" w:color="auto"/>
            </w:tcBorders>
            <w:shd w:val="clear" w:color="auto" w:fill="auto"/>
            <w:vAlign w:val="center"/>
          </w:tcPr>
          <w:p w14:paraId="4C772A88" w14:textId="77777777" w:rsidR="00D62058" w:rsidRPr="00781112" w:rsidRDefault="00D62058" w:rsidP="00D62058">
            <w:pPr>
              <w:jc w:val="center"/>
              <w:rPr>
                <w:b/>
                <w:color w:val="000000" w:themeColor="text1"/>
              </w:rPr>
            </w:pPr>
            <w:r w:rsidRPr="00781112">
              <w:rPr>
                <w:b/>
                <w:color w:val="000000" w:themeColor="text1"/>
              </w:rPr>
              <w:t>FFY</w:t>
            </w:r>
          </w:p>
        </w:tc>
        <w:tc>
          <w:tcPr>
            <w:tcW w:w="756" w:type="pct"/>
            <w:shd w:val="clear" w:color="auto" w:fill="auto"/>
            <w:vAlign w:val="center"/>
          </w:tcPr>
          <w:p w14:paraId="12A78916" w14:textId="4FE79E21" w:rsidR="00D62058" w:rsidRPr="00781112" w:rsidRDefault="00D62058" w:rsidP="00D62058">
            <w:pPr>
              <w:jc w:val="center"/>
              <w:rPr>
                <w:b/>
                <w:color w:val="000000" w:themeColor="text1"/>
              </w:rPr>
            </w:pPr>
            <w:r w:rsidRPr="00781112">
              <w:rPr>
                <w:b/>
                <w:color w:val="000000" w:themeColor="text1"/>
              </w:rPr>
              <w:t>2020</w:t>
            </w:r>
          </w:p>
        </w:tc>
        <w:tc>
          <w:tcPr>
            <w:tcW w:w="804" w:type="pct"/>
            <w:vAlign w:val="center"/>
          </w:tcPr>
          <w:p w14:paraId="252A750A" w14:textId="25138A81" w:rsidR="00D62058" w:rsidRPr="00781112" w:rsidRDefault="00D62058" w:rsidP="00D62058">
            <w:pPr>
              <w:jc w:val="center"/>
              <w:rPr>
                <w:b/>
                <w:color w:val="000000" w:themeColor="text1"/>
              </w:rPr>
            </w:pPr>
            <w:r w:rsidRPr="00781112">
              <w:rPr>
                <w:rFonts w:cs="Arial"/>
                <w:b/>
                <w:color w:val="000000" w:themeColor="text1"/>
                <w:szCs w:val="16"/>
              </w:rPr>
              <w:t>2021</w:t>
            </w:r>
          </w:p>
        </w:tc>
        <w:tc>
          <w:tcPr>
            <w:tcW w:w="804" w:type="pct"/>
            <w:vAlign w:val="center"/>
          </w:tcPr>
          <w:p w14:paraId="68D8D021" w14:textId="79B543D0" w:rsidR="00D62058" w:rsidRPr="00781112" w:rsidRDefault="00D62058" w:rsidP="00D62058">
            <w:pPr>
              <w:jc w:val="center"/>
              <w:rPr>
                <w:b/>
                <w:color w:val="000000" w:themeColor="text1"/>
              </w:rPr>
            </w:pPr>
            <w:r w:rsidRPr="00781112">
              <w:rPr>
                <w:rFonts w:cs="Arial"/>
                <w:b/>
                <w:color w:val="000000" w:themeColor="text1"/>
                <w:szCs w:val="16"/>
              </w:rPr>
              <w:t>2022</w:t>
            </w:r>
          </w:p>
        </w:tc>
        <w:tc>
          <w:tcPr>
            <w:tcW w:w="804" w:type="pct"/>
            <w:vAlign w:val="center"/>
          </w:tcPr>
          <w:p w14:paraId="60B57779" w14:textId="39F7714F" w:rsidR="00D62058" w:rsidRPr="00781112" w:rsidRDefault="00D62058" w:rsidP="00D62058">
            <w:pPr>
              <w:jc w:val="center"/>
              <w:rPr>
                <w:b/>
                <w:color w:val="000000" w:themeColor="text1"/>
              </w:rPr>
            </w:pPr>
            <w:r w:rsidRPr="00781112">
              <w:rPr>
                <w:rFonts w:cs="Arial"/>
                <w:b/>
                <w:color w:val="000000" w:themeColor="text1"/>
                <w:szCs w:val="16"/>
              </w:rPr>
              <w:t>2023</w:t>
            </w:r>
          </w:p>
        </w:tc>
        <w:tc>
          <w:tcPr>
            <w:tcW w:w="804" w:type="pct"/>
            <w:vAlign w:val="center"/>
          </w:tcPr>
          <w:p w14:paraId="2CB555F8" w14:textId="64C2A928" w:rsidR="00D62058" w:rsidRPr="00781112" w:rsidRDefault="00D62058" w:rsidP="00D62058">
            <w:pPr>
              <w:jc w:val="center"/>
              <w:rPr>
                <w:b/>
                <w:color w:val="000000" w:themeColor="text1"/>
              </w:rPr>
            </w:pPr>
            <w:r w:rsidRPr="00781112">
              <w:rPr>
                <w:rFonts w:cs="Arial"/>
                <w:b/>
                <w:color w:val="000000" w:themeColor="text1"/>
                <w:szCs w:val="16"/>
              </w:rPr>
              <w:t>2024</w:t>
            </w:r>
          </w:p>
        </w:tc>
        <w:tc>
          <w:tcPr>
            <w:tcW w:w="804" w:type="pct"/>
            <w:vAlign w:val="center"/>
          </w:tcPr>
          <w:p w14:paraId="43AFCBFB" w14:textId="1AE04BFC" w:rsidR="00D62058" w:rsidRPr="00781112" w:rsidRDefault="00D62058" w:rsidP="00D62058">
            <w:pPr>
              <w:jc w:val="center"/>
              <w:rPr>
                <w:b/>
                <w:color w:val="000000" w:themeColor="text1"/>
              </w:rPr>
            </w:pPr>
            <w:r w:rsidRPr="00781112">
              <w:rPr>
                <w:rFonts w:cs="Arial"/>
                <w:b/>
                <w:color w:val="000000" w:themeColor="text1"/>
                <w:szCs w:val="16"/>
              </w:rPr>
              <w:t>2025</w:t>
            </w:r>
          </w:p>
        </w:tc>
      </w:tr>
      <w:tr w:rsidR="00D62058" w:rsidRPr="00781112" w14:paraId="18C73B9A" w14:textId="4A314190" w:rsidTr="00C40E4D">
        <w:trPr>
          <w:trHeight w:val="340"/>
        </w:trPr>
        <w:tc>
          <w:tcPr>
            <w:tcW w:w="224" w:type="pct"/>
            <w:shd w:val="clear" w:color="auto" w:fill="auto"/>
            <w:vAlign w:val="center"/>
          </w:tcPr>
          <w:p w14:paraId="507B0BCD" w14:textId="415A5723" w:rsidR="00D62058" w:rsidRPr="00781112" w:rsidRDefault="00D62058" w:rsidP="00D62058">
            <w:pPr>
              <w:rPr>
                <w:rFonts w:cs="Arial"/>
                <w:color w:val="000000" w:themeColor="text1"/>
                <w:szCs w:val="16"/>
              </w:rPr>
            </w:pPr>
            <w:r w:rsidRPr="00781112">
              <w:rPr>
                <w:rFonts w:cs="Arial"/>
                <w:color w:val="000000" w:themeColor="text1"/>
                <w:szCs w:val="16"/>
              </w:rPr>
              <w:t>Target A1 &gt;=</w:t>
            </w:r>
          </w:p>
        </w:tc>
        <w:tc>
          <w:tcPr>
            <w:tcW w:w="756" w:type="pct"/>
            <w:shd w:val="clear" w:color="auto" w:fill="auto"/>
            <w:vAlign w:val="center"/>
          </w:tcPr>
          <w:p w14:paraId="1B809E80" w14:textId="23651174" w:rsidR="00D62058" w:rsidRPr="00781112" w:rsidRDefault="00D62058" w:rsidP="00D62058">
            <w:pPr>
              <w:jc w:val="center"/>
              <w:rPr>
                <w:color w:val="000000" w:themeColor="text1"/>
              </w:rPr>
            </w:pPr>
            <w:r w:rsidRPr="00781112">
              <w:rPr>
                <w:color w:val="000000" w:themeColor="text1"/>
              </w:rPr>
              <w:t>71.50%</w:t>
            </w:r>
          </w:p>
        </w:tc>
        <w:tc>
          <w:tcPr>
            <w:tcW w:w="804" w:type="pct"/>
            <w:vAlign w:val="center"/>
          </w:tcPr>
          <w:p w14:paraId="5EAD01EF" w14:textId="12066A13" w:rsidR="00D62058" w:rsidRPr="00781112" w:rsidRDefault="00D62058" w:rsidP="00D62058">
            <w:pPr>
              <w:jc w:val="center"/>
              <w:rPr>
                <w:color w:val="000000" w:themeColor="text1"/>
              </w:rPr>
            </w:pPr>
            <w:r w:rsidRPr="00781112">
              <w:rPr>
                <w:color w:val="000000" w:themeColor="text1"/>
                <w:szCs w:val="16"/>
              </w:rPr>
              <w:t>72.00%</w:t>
            </w:r>
          </w:p>
        </w:tc>
        <w:tc>
          <w:tcPr>
            <w:tcW w:w="804" w:type="pct"/>
            <w:vAlign w:val="center"/>
          </w:tcPr>
          <w:p w14:paraId="2E3018C0" w14:textId="3758E6A1" w:rsidR="00D62058" w:rsidRPr="00781112" w:rsidRDefault="00D62058" w:rsidP="00D62058">
            <w:pPr>
              <w:jc w:val="center"/>
              <w:rPr>
                <w:color w:val="000000" w:themeColor="text1"/>
              </w:rPr>
            </w:pPr>
            <w:r w:rsidRPr="00781112">
              <w:rPr>
                <w:color w:val="000000" w:themeColor="text1"/>
                <w:szCs w:val="16"/>
              </w:rPr>
              <w:t>72.50%</w:t>
            </w:r>
          </w:p>
        </w:tc>
        <w:tc>
          <w:tcPr>
            <w:tcW w:w="804" w:type="pct"/>
            <w:vAlign w:val="center"/>
          </w:tcPr>
          <w:p w14:paraId="063238F2" w14:textId="239B2312" w:rsidR="00D62058" w:rsidRPr="00781112" w:rsidRDefault="00D62058" w:rsidP="00D62058">
            <w:pPr>
              <w:jc w:val="center"/>
              <w:rPr>
                <w:color w:val="000000" w:themeColor="text1"/>
              </w:rPr>
            </w:pPr>
            <w:r w:rsidRPr="00781112">
              <w:rPr>
                <w:color w:val="000000" w:themeColor="text1"/>
                <w:szCs w:val="16"/>
              </w:rPr>
              <w:t>73.00%</w:t>
            </w:r>
          </w:p>
        </w:tc>
        <w:tc>
          <w:tcPr>
            <w:tcW w:w="804" w:type="pct"/>
            <w:vAlign w:val="center"/>
          </w:tcPr>
          <w:p w14:paraId="4FBF626C" w14:textId="574BC7A3" w:rsidR="00D62058" w:rsidRPr="00781112" w:rsidRDefault="00D62058" w:rsidP="00D62058">
            <w:pPr>
              <w:jc w:val="center"/>
              <w:rPr>
                <w:color w:val="000000" w:themeColor="text1"/>
              </w:rPr>
            </w:pPr>
            <w:r w:rsidRPr="00781112">
              <w:rPr>
                <w:color w:val="000000" w:themeColor="text1"/>
                <w:szCs w:val="16"/>
              </w:rPr>
              <w:t>73.50%</w:t>
            </w:r>
          </w:p>
        </w:tc>
        <w:tc>
          <w:tcPr>
            <w:tcW w:w="804" w:type="pct"/>
            <w:vAlign w:val="center"/>
          </w:tcPr>
          <w:p w14:paraId="7C2FA026" w14:textId="291E11FA" w:rsidR="00D62058" w:rsidRPr="00781112" w:rsidRDefault="00D62058" w:rsidP="00D62058">
            <w:pPr>
              <w:jc w:val="center"/>
              <w:rPr>
                <w:color w:val="000000" w:themeColor="text1"/>
              </w:rPr>
            </w:pPr>
            <w:r w:rsidRPr="00781112">
              <w:rPr>
                <w:color w:val="000000" w:themeColor="text1"/>
                <w:szCs w:val="16"/>
              </w:rPr>
              <w:t>74.00%</w:t>
            </w:r>
          </w:p>
        </w:tc>
      </w:tr>
      <w:tr w:rsidR="00D62058" w:rsidRPr="00781112" w14:paraId="7C704220" w14:textId="4A1FC69E" w:rsidTr="00C40E4D">
        <w:trPr>
          <w:trHeight w:val="340"/>
        </w:trPr>
        <w:tc>
          <w:tcPr>
            <w:tcW w:w="224" w:type="pct"/>
            <w:shd w:val="clear" w:color="auto" w:fill="auto"/>
            <w:vAlign w:val="center"/>
          </w:tcPr>
          <w:p w14:paraId="253AADF0" w14:textId="721E9C65" w:rsidR="00D62058" w:rsidRPr="00781112" w:rsidRDefault="00D62058" w:rsidP="00D62058">
            <w:pPr>
              <w:rPr>
                <w:rFonts w:cs="Arial"/>
                <w:color w:val="000000" w:themeColor="text1"/>
                <w:szCs w:val="16"/>
              </w:rPr>
            </w:pPr>
            <w:r w:rsidRPr="00781112">
              <w:rPr>
                <w:rFonts w:cs="Arial"/>
                <w:color w:val="000000" w:themeColor="text1"/>
                <w:szCs w:val="16"/>
              </w:rPr>
              <w:t>Target A2 &gt;=</w:t>
            </w:r>
          </w:p>
        </w:tc>
        <w:tc>
          <w:tcPr>
            <w:tcW w:w="756" w:type="pct"/>
            <w:shd w:val="clear" w:color="auto" w:fill="auto"/>
            <w:vAlign w:val="center"/>
          </w:tcPr>
          <w:p w14:paraId="572F97E5" w14:textId="71E20118" w:rsidR="00D62058" w:rsidRPr="00781112" w:rsidRDefault="00D62058" w:rsidP="00D62058">
            <w:pPr>
              <w:jc w:val="center"/>
              <w:rPr>
                <w:rFonts w:cs="Arial"/>
                <w:color w:val="000000" w:themeColor="text1"/>
                <w:szCs w:val="16"/>
              </w:rPr>
            </w:pPr>
            <w:r w:rsidRPr="00781112">
              <w:rPr>
                <w:rFonts w:cs="Arial"/>
                <w:color w:val="000000" w:themeColor="text1"/>
                <w:szCs w:val="16"/>
              </w:rPr>
              <w:t>65.00%</w:t>
            </w:r>
          </w:p>
        </w:tc>
        <w:tc>
          <w:tcPr>
            <w:tcW w:w="804" w:type="pct"/>
            <w:vAlign w:val="center"/>
          </w:tcPr>
          <w:p w14:paraId="40137C22" w14:textId="775C9D4C" w:rsidR="00D62058" w:rsidRPr="00781112" w:rsidRDefault="00D62058" w:rsidP="00D62058">
            <w:pPr>
              <w:jc w:val="center"/>
              <w:rPr>
                <w:rFonts w:cs="Arial"/>
                <w:color w:val="000000" w:themeColor="text1"/>
                <w:szCs w:val="16"/>
              </w:rPr>
            </w:pPr>
            <w:r w:rsidRPr="00781112">
              <w:rPr>
                <w:color w:val="000000" w:themeColor="text1"/>
                <w:szCs w:val="16"/>
              </w:rPr>
              <w:t>65.20%</w:t>
            </w:r>
          </w:p>
        </w:tc>
        <w:tc>
          <w:tcPr>
            <w:tcW w:w="804" w:type="pct"/>
            <w:vAlign w:val="center"/>
          </w:tcPr>
          <w:p w14:paraId="468DEAEF" w14:textId="0B21BE62" w:rsidR="00D62058" w:rsidRPr="00781112" w:rsidRDefault="00D62058" w:rsidP="00D62058">
            <w:pPr>
              <w:jc w:val="center"/>
              <w:rPr>
                <w:rFonts w:cs="Arial"/>
                <w:color w:val="000000" w:themeColor="text1"/>
                <w:szCs w:val="16"/>
              </w:rPr>
            </w:pPr>
            <w:r w:rsidRPr="00781112">
              <w:rPr>
                <w:color w:val="000000" w:themeColor="text1"/>
                <w:szCs w:val="16"/>
              </w:rPr>
              <w:t>65.40%</w:t>
            </w:r>
          </w:p>
        </w:tc>
        <w:tc>
          <w:tcPr>
            <w:tcW w:w="804" w:type="pct"/>
            <w:vAlign w:val="center"/>
          </w:tcPr>
          <w:p w14:paraId="4D7AB0B5" w14:textId="5F153351" w:rsidR="00D62058" w:rsidRPr="00781112" w:rsidRDefault="00D62058" w:rsidP="00D62058">
            <w:pPr>
              <w:jc w:val="center"/>
              <w:rPr>
                <w:rFonts w:cs="Arial"/>
                <w:color w:val="000000" w:themeColor="text1"/>
                <w:szCs w:val="16"/>
              </w:rPr>
            </w:pPr>
            <w:r w:rsidRPr="00781112">
              <w:rPr>
                <w:color w:val="000000" w:themeColor="text1"/>
                <w:szCs w:val="16"/>
              </w:rPr>
              <w:t>65.60%</w:t>
            </w:r>
          </w:p>
        </w:tc>
        <w:tc>
          <w:tcPr>
            <w:tcW w:w="804" w:type="pct"/>
            <w:vAlign w:val="center"/>
          </w:tcPr>
          <w:p w14:paraId="76DA0071" w14:textId="5377DF32" w:rsidR="00D62058" w:rsidRPr="00781112" w:rsidRDefault="00D62058" w:rsidP="00D62058">
            <w:pPr>
              <w:jc w:val="center"/>
              <w:rPr>
                <w:rFonts w:cs="Arial"/>
                <w:color w:val="000000" w:themeColor="text1"/>
                <w:szCs w:val="16"/>
              </w:rPr>
            </w:pPr>
            <w:r w:rsidRPr="00781112">
              <w:rPr>
                <w:color w:val="000000" w:themeColor="text1"/>
                <w:szCs w:val="16"/>
              </w:rPr>
              <w:t>65.80%</w:t>
            </w:r>
          </w:p>
        </w:tc>
        <w:tc>
          <w:tcPr>
            <w:tcW w:w="804" w:type="pct"/>
            <w:vAlign w:val="center"/>
          </w:tcPr>
          <w:p w14:paraId="244FF673" w14:textId="616739D8" w:rsidR="00D62058" w:rsidRPr="00781112" w:rsidRDefault="00D62058" w:rsidP="00D62058">
            <w:pPr>
              <w:jc w:val="center"/>
              <w:rPr>
                <w:rFonts w:cs="Arial"/>
                <w:color w:val="000000" w:themeColor="text1"/>
                <w:szCs w:val="16"/>
              </w:rPr>
            </w:pPr>
            <w:r w:rsidRPr="00781112">
              <w:rPr>
                <w:color w:val="000000" w:themeColor="text1"/>
                <w:szCs w:val="16"/>
              </w:rPr>
              <w:t>66.00%</w:t>
            </w:r>
          </w:p>
        </w:tc>
      </w:tr>
      <w:tr w:rsidR="00D62058" w:rsidRPr="00781112" w14:paraId="6D44D644" w14:textId="2AAE55F2" w:rsidTr="00C40E4D">
        <w:trPr>
          <w:trHeight w:val="340"/>
        </w:trPr>
        <w:tc>
          <w:tcPr>
            <w:tcW w:w="224" w:type="pct"/>
            <w:shd w:val="clear" w:color="auto" w:fill="auto"/>
            <w:vAlign w:val="center"/>
          </w:tcPr>
          <w:p w14:paraId="2E46543E" w14:textId="484E799D" w:rsidR="00D62058" w:rsidRPr="00781112" w:rsidRDefault="00D62058" w:rsidP="00D62058">
            <w:pPr>
              <w:rPr>
                <w:rFonts w:cs="Arial"/>
                <w:color w:val="000000" w:themeColor="text1"/>
                <w:szCs w:val="16"/>
              </w:rPr>
            </w:pPr>
            <w:r w:rsidRPr="00781112">
              <w:rPr>
                <w:rFonts w:cs="Arial"/>
                <w:color w:val="000000" w:themeColor="text1"/>
                <w:szCs w:val="16"/>
              </w:rPr>
              <w:t>Target B1 &gt;=</w:t>
            </w:r>
          </w:p>
        </w:tc>
        <w:tc>
          <w:tcPr>
            <w:tcW w:w="756" w:type="pct"/>
            <w:shd w:val="clear" w:color="auto" w:fill="auto"/>
            <w:vAlign w:val="center"/>
          </w:tcPr>
          <w:p w14:paraId="5B1AAB6F" w14:textId="09987858" w:rsidR="00D62058" w:rsidRPr="00781112" w:rsidRDefault="00D62058" w:rsidP="00D62058">
            <w:pPr>
              <w:jc w:val="center"/>
              <w:rPr>
                <w:rFonts w:cs="Arial"/>
                <w:color w:val="000000" w:themeColor="text1"/>
                <w:szCs w:val="16"/>
              </w:rPr>
            </w:pPr>
            <w:r w:rsidRPr="00781112">
              <w:rPr>
                <w:rFonts w:cs="Arial"/>
                <w:color w:val="000000" w:themeColor="text1"/>
                <w:szCs w:val="16"/>
              </w:rPr>
              <w:t>72.00%</w:t>
            </w:r>
          </w:p>
        </w:tc>
        <w:tc>
          <w:tcPr>
            <w:tcW w:w="804" w:type="pct"/>
            <w:vAlign w:val="center"/>
          </w:tcPr>
          <w:p w14:paraId="7D23F948" w14:textId="1533C8CE" w:rsidR="00D62058" w:rsidRPr="00781112" w:rsidRDefault="00D62058" w:rsidP="00D62058">
            <w:pPr>
              <w:jc w:val="center"/>
              <w:rPr>
                <w:rFonts w:cs="Arial"/>
                <w:color w:val="000000" w:themeColor="text1"/>
                <w:szCs w:val="16"/>
              </w:rPr>
            </w:pPr>
            <w:r w:rsidRPr="00781112">
              <w:rPr>
                <w:color w:val="000000" w:themeColor="text1"/>
                <w:szCs w:val="16"/>
              </w:rPr>
              <w:t>72.00%</w:t>
            </w:r>
          </w:p>
        </w:tc>
        <w:tc>
          <w:tcPr>
            <w:tcW w:w="804" w:type="pct"/>
            <w:vAlign w:val="center"/>
          </w:tcPr>
          <w:p w14:paraId="681F2D39" w14:textId="3BA1761B" w:rsidR="00D62058" w:rsidRPr="00781112" w:rsidRDefault="00D62058" w:rsidP="00D62058">
            <w:pPr>
              <w:jc w:val="center"/>
              <w:rPr>
                <w:rFonts w:cs="Arial"/>
                <w:color w:val="000000" w:themeColor="text1"/>
                <w:szCs w:val="16"/>
              </w:rPr>
            </w:pPr>
            <w:r w:rsidRPr="00781112">
              <w:rPr>
                <w:color w:val="000000" w:themeColor="text1"/>
                <w:szCs w:val="16"/>
              </w:rPr>
              <w:t>72.50%</w:t>
            </w:r>
          </w:p>
        </w:tc>
        <w:tc>
          <w:tcPr>
            <w:tcW w:w="804" w:type="pct"/>
            <w:vAlign w:val="center"/>
          </w:tcPr>
          <w:p w14:paraId="0F16DD78" w14:textId="0278257D" w:rsidR="00D62058" w:rsidRPr="00781112" w:rsidRDefault="00D62058" w:rsidP="00D62058">
            <w:pPr>
              <w:jc w:val="center"/>
              <w:rPr>
                <w:rFonts w:cs="Arial"/>
                <w:color w:val="000000" w:themeColor="text1"/>
                <w:szCs w:val="16"/>
              </w:rPr>
            </w:pPr>
            <w:r w:rsidRPr="00781112">
              <w:rPr>
                <w:color w:val="000000" w:themeColor="text1"/>
                <w:szCs w:val="16"/>
              </w:rPr>
              <w:t>72.50%</w:t>
            </w:r>
          </w:p>
        </w:tc>
        <w:tc>
          <w:tcPr>
            <w:tcW w:w="804" w:type="pct"/>
            <w:vAlign w:val="center"/>
          </w:tcPr>
          <w:p w14:paraId="7B3AFE6F" w14:textId="6724BF4D" w:rsidR="00D62058" w:rsidRPr="00781112" w:rsidRDefault="00D62058" w:rsidP="00D62058">
            <w:pPr>
              <w:jc w:val="center"/>
              <w:rPr>
                <w:rFonts w:cs="Arial"/>
                <w:color w:val="000000" w:themeColor="text1"/>
                <w:szCs w:val="16"/>
              </w:rPr>
            </w:pPr>
            <w:r w:rsidRPr="00781112">
              <w:rPr>
                <w:color w:val="000000" w:themeColor="text1"/>
                <w:szCs w:val="16"/>
              </w:rPr>
              <w:t>73.00%</w:t>
            </w:r>
          </w:p>
        </w:tc>
        <w:tc>
          <w:tcPr>
            <w:tcW w:w="804" w:type="pct"/>
            <w:vAlign w:val="center"/>
          </w:tcPr>
          <w:p w14:paraId="213FF138" w14:textId="31239963" w:rsidR="00D62058" w:rsidRPr="00781112" w:rsidRDefault="00D62058" w:rsidP="00D62058">
            <w:pPr>
              <w:jc w:val="center"/>
              <w:rPr>
                <w:rFonts w:cs="Arial"/>
                <w:color w:val="000000" w:themeColor="text1"/>
                <w:szCs w:val="16"/>
              </w:rPr>
            </w:pPr>
            <w:r w:rsidRPr="00781112">
              <w:rPr>
                <w:color w:val="000000" w:themeColor="text1"/>
                <w:szCs w:val="16"/>
              </w:rPr>
              <w:t>73.00%</w:t>
            </w:r>
          </w:p>
        </w:tc>
      </w:tr>
      <w:tr w:rsidR="00D62058" w:rsidRPr="00781112" w14:paraId="23425CD0" w14:textId="2D15C5CA" w:rsidTr="00C40E4D">
        <w:trPr>
          <w:trHeight w:val="340"/>
        </w:trPr>
        <w:tc>
          <w:tcPr>
            <w:tcW w:w="224" w:type="pct"/>
            <w:shd w:val="clear" w:color="auto" w:fill="auto"/>
            <w:vAlign w:val="center"/>
          </w:tcPr>
          <w:p w14:paraId="7DAA620C" w14:textId="6D6F79FD" w:rsidR="00D62058" w:rsidRPr="00781112" w:rsidRDefault="00D62058" w:rsidP="00D62058">
            <w:pPr>
              <w:rPr>
                <w:rFonts w:cs="Arial"/>
                <w:color w:val="000000" w:themeColor="text1"/>
                <w:szCs w:val="16"/>
              </w:rPr>
            </w:pPr>
            <w:r w:rsidRPr="00781112">
              <w:rPr>
                <w:rFonts w:cs="Arial"/>
                <w:color w:val="000000" w:themeColor="text1"/>
                <w:szCs w:val="16"/>
              </w:rPr>
              <w:t>Target B2 &gt;=</w:t>
            </w:r>
          </w:p>
        </w:tc>
        <w:tc>
          <w:tcPr>
            <w:tcW w:w="756" w:type="pct"/>
            <w:shd w:val="clear" w:color="auto" w:fill="auto"/>
            <w:vAlign w:val="center"/>
          </w:tcPr>
          <w:p w14:paraId="0C8065AA" w14:textId="2AC4B20C" w:rsidR="00D62058" w:rsidRPr="00781112" w:rsidRDefault="00D62058" w:rsidP="00D62058">
            <w:pPr>
              <w:jc w:val="center"/>
              <w:rPr>
                <w:rFonts w:cs="Arial"/>
                <w:color w:val="000000" w:themeColor="text1"/>
                <w:szCs w:val="16"/>
              </w:rPr>
            </w:pPr>
            <w:r w:rsidRPr="00781112">
              <w:rPr>
                <w:rFonts w:cs="Arial"/>
                <w:color w:val="000000" w:themeColor="text1"/>
                <w:szCs w:val="16"/>
              </w:rPr>
              <w:t>57.00%</w:t>
            </w:r>
          </w:p>
        </w:tc>
        <w:tc>
          <w:tcPr>
            <w:tcW w:w="804" w:type="pct"/>
            <w:vAlign w:val="center"/>
          </w:tcPr>
          <w:p w14:paraId="3751A50F" w14:textId="3383D4A8" w:rsidR="00D62058" w:rsidRPr="00781112" w:rsidRDefault="00D62058" w:rsidP="00D62058">
            <w:pPr>
              <w:jc w:val="center"/>
              <w:rPr>
                <w:rFonts w:cs="Arial"/>
                <w:color w:val="000000" w:themeColor="text1"/>
                <w:szCs w:val="16"/>
              </w:rPr>
            </w:pPr>
            <w:r w:rsidRPr="00781112">
              <w:rPr>
                <w:color w:val="000000" w:themeColor="text1"/>
                <w:szCs w:val="16"/>
              </w:rPr>
              <w:t>57.20%</w:t>
            </w:r>
          </w:p>
        </w:tc>
        <w:tc>
          <w:tcPr>
            <w:tcW w:w="804" w:type="pct"/>
            <w:vAlign w:val="center"/>
          </w:tcPr>
          <w:p w14:paraId="5235FFA6" w14:textId="4138DEB0" w:rsidR="00D62058" w:rsidRPr="00781112" w:rsidRDefault="00D62058" w:rsidP="00D62058">
            <w:pPr>
              <w:jc w:val="center"/>
              <w:rPr>
                <w:rFonts w:cs="Arial"/>
                <w:color w:val="000000" w:themeColor="text1"/>
                <w:szCs w:val="16"/>
              </w:rPr>
            </w:pPr>
            <w:r w:rsidRPr="00781112">
              <w:rPr>
                <w:color w:val="000000" w:themeColor="text1"/>
                <w:szCs w:val="16"/>
              </w:rPr>
              <w:t>57.40%</w:t>
            </w:r>
          </w:p>
        </w:tc>
        <w:tc>
          <w:tcPr>
            <w:tcW w:w="804" w:type="pct"/>
            <w:vAlign w:val="center"/>
          </w:tcPr>
          <w:p w14:paraId="7C9D5CEA" w14:textId="1B842876" w:rsidR="00D62058" w:rsidRPr="00781112" w:rsidRDefault="00D62058" w:rsidP="00D62058">
            <w:pPr>
              <w:jc w:val="center"/>
              <w:rPr>
                <w:rFonts w:cs="Arial"/>
                <w:color w:val="000000" w:themeColor="text1"/>
                <w:szCs w:val="16"/>
              </w:rPr>
            </w:pPr>
            <w:r w:rsidRPr="00781112">
              <w:rPr>
                <w:color w:val="000000" w:themeColor="text1"/>
                <w:szCs w:val="16"/>
              </w:rPr>
              <w:t>57.60%</w:t>
            </w:r>
          </w:p>
        </w:tc>
        <w:tc>
          <w:tcPr>
            <w:tcW w:w="804" w:type="pct"/>
            <w:vAlign w:val="center"/>
          </w:tcPr>
          <w:p w14:paraId="3C028680" w14:textId="00A3EDF9" w:rsidR="00D62058" w:rsidRPr="00781112" w:rsidRDefault="00D62058" w:rsidP="00D62058">
            <w:pPr>
              <w:jc w:val="center"/>
              <w:rPr>
                <w:rFonts w:cs="Arial"/>
                <w:color w:val="000000" w:themeColor="text1"/>
                <w:szCs w:val="16"/>
              </w:rPr>
            </w:pPr>
            <w:r w:rsidRPr="00781112">
              <w:rPr>
                <w:color w:val="000000" w:themeColor="text1"/>
                <w:szCs w:val="16"/>
              </w:rPr>
              <w:t>57.80%</w:t>
            </w:r>
          </w:p>
        </w:tc>
        <w:tc>
          <w:tcPr>
            <w:tcW w:w="804" w:type="pct"/>
            <w:vAlign w:val="center"/>
          </w:tcPr>
          <w:p w14:paraId="47EEC254" w14:textId="44D49378" w:rsidR="00D62058" w:rsidRPr="00781112" w:rsidRDefault="00D62058" w:rsidP="00D62058">
            <w:pPr>
              <w:jc w:val="center"/>
              <w:rPr>
                <w:rFonts w:cs="Arial"/>
                <w:color w:val="000000" w:themeColor="text1"/>
                <w:szCs w:val="16"/>
              </w:rPr>
            </w:pPr>
            <w:r w:rsidRPr="00781112">
              <w:rPr>
                <w:color w:val="000000" w:themeColor="text1"/>
                <w:szCs w:val="16"/>
              </w:rPr>
              <w:t>58.00%</w:t>
            </w:r>
          </w:p>
        </w:tc>
      </w:tr>
      <w:tr w:rsidR="00D62058" w:rsidRPr="00781112" w14:paraId="3A0A624F" w14:textId="2DA1E496" w:rsidTr="00C40E4D">
        <w:trPr>
          <w:trHeight w:val="340"/>
        </w:trPr>
        <w:tc>
          <w:tcPr>
            <w:tcW w:w="224" w:type="pct"/>
            <w:shd w:val="clear" w:color="auto" w:fill="auto"/>
            <w:vAlign w:val="center"/>
          </w:tcPr>
          <w:p w14:paraId="04DCCFAA" w14:textId="5591B965" w:rsidR="00D62058" w:rsidRPr="00781112" w:rsidRDefault="00D62058" w:rsidP="00D62058">
            <w:pPr>
              <w:rPr>
                <w:rFonts w:cs="Arial"/>
                <w:color w:val="000000" w:themeColor="text1"/>
                <w:szCs w:val="16"/>
              </w:rPr>
            </w:pPr>
            <w:r w:rsidRPr="00781112">
              <w:rPr>
                <w:rFonts w:cs="Arial"/>
                <w:color w:val="000000" w:themeColor="text1"/>
                <w:szCs w:val="16"/>
              </w:rPr>
              <w:t>Target C1 &gt;=</w:t>
            </w:r>
          </w:p>
        </w:tc>
        <w:tc>
          <w:tcPr>
            <w:tcW w:w="756" w:type="pct"/>
            <w:shd w:val="clear" w:color="auto" w:fill="auto"/>
            <w:vAlign w:val="center"/>
          </w:tcPr>
          <w:p w14:paraId="26176209" w14:textId="03FEA13C" w:rsidR="00D62058" w:rsidRPr="00781112" w:rsidRDefault="00D62058" w:rsidP="00D62058">
            <w:pPr>
              <w:jc w:val="center"/>
              <w:rPr>
                <w:rFonts w:cs="Arial"/>
                <w:color w:val="000000" w:themeColor="text1"/>
                <w:szCs w:val="16"/>
              </w:rPr>
            </w:pPr>
            <w:r w:rsidRPr="00781112">
              <w:rPr>
                <w:rFonts w:cs="Arial"/>
                <w:color w:val="000000" w:themeColor="text1"/>
                <w:szCs w:val="16"/>
              </w:rPr>
              <w:t>72.50%</w:t>
            </w:r>
          </w:p>
        </w:tc>
        <w:tc>
          <w:tcPr>
            <w:tcW w:w="804" w:type="pct"/>
            <w:vAlign w:val="center"/>
          </w:tcPr>
          <w:p w14:paraId="36CB20B0" w14:textId="212CC3E5" w:rsidR="00D62058" w:rsidRPr="00781112" w:rsidRDefault="00D62058" w:rsidP="00D62058">
            <w:pPr>
              <w:jc w:val="center"/>
              <w:rPr>
                <w:rFonts w:cs="Arial"/>
                <w:color w:val="000000" w:themeColor="text1"/>
                <w:szCs w:val="16"/>
              </w:rPr>
            </w:pPr>
            <w:r w:rsidRPr="00781112">
              <w:rPr>
                <w:color w:val="000000" w:themeColor="text1"/>
                <w:szCs w:val="16"/>
              </w:rPr>
              <w:t>73.00%</w:t>
            </w:r>
          </w:p>
        </w:tc>
        <w:tc>
          <w:tcPr>
            <w:tcW w:w="804" w:type="pct"/>
            <w:vAlign w:val="center"/>
          </w:tcPr>
          <w:p w14:paraId="29B1E3BE" w14:textId="0FFFD561" w:rsidR="00D62058" w:rsidRPr="00781112" w:rsidRDefault="00D62058" w:rsidP="00D62058">
            <w:pPr>
              <w:jc w:val="center"/>
              <w:rPr>
                <w:rFonts w:cs="Arial"/>
                <w:color w:val="000000" w:themeColor="text1"/>
                <w:szCs w:val="16"/>
              </w:rPr>
            </w:pPr>
            <w:r w:rsidRPr="00781112">
              <w:rPr>
                <w:color w:val="000000" w:themeColor="text1"/>
                <w:szCs w:val="16"/>
              </w:rPr>
              <w:t>73.50%</w:t>
            </w:r>
          </w:p>
        </w:tc>
        <w:tc>
          <w:tcPr>
            <w:tcW w:w="804" w:type="pct"/>
            <w:vAlign w:val="center"/>
          </w:tcPr>
          <w:p w14:paraId="287AC7C4" w14:textId="5C0E3064" w:rsidR="00D62058" w:rsidRPr="00781112" w:rsidRDefault="00D62058" w:rsidP="00D62058">
            <w:pPr>
              <w:jc w:val="center"/>
              <w:rPr>
                <w:rFonts w:cs="Arial"/>
                <w:color w:val="000000" w:themeColor="text1"/>
                <w:szCs w:val="16"/>
              </w:rPr>
            </w:pPr>
            <w:r w:rsidRPr="00781112">
              <w:rPr>
                <w:color w:val="000000" w:themeColor="text1"/>
                <w:szCs w:val="16"/>
              </w:rPr>
              <w:t>74.00%</w:t>
            </w:r>
          </w:p>
        </w:tc>
        <w:tc>
          <w:tcPr>
            <w:tcW w:w="804" w:type="pct"/>
            <w:vAlign w:val="center"/>
          </w:tcPr>
          <w:p w14:paraId="094E7895" w14:textId="27006BDD" w:rsidR="00D62058" w:rsidRPr="00781112" w:rsidRDefault="00D62058" w:rsidP="00D62058">
            <w:pPr>
              <w:jc w:val="center"/>
              <w:rPr>
                <w:rFonts w:cs="Arial"/>
                <w:color w:val="000000" w:themeColor="text1"/>
                <w:szCs w:val="16"/>
              </w:rPr>
            </w:pPr>
            <w:r w:rsidRPr="00781112">
              <w:rPr>
                <w:color w:val="000000" w:themeColor="text1"/>
                <w:szCs w:val="16"/>
              </w:rPr>
              <w:t>74.50%</w:t>
            </w:r>
          </w:p>
        </w:tc>
        <w:tc>
          <w:tcPr>
            <w:tcW w:w="804" w:type="pct"/>
            <w:vAlign w:val="center"/>
          </w:tcPr>
          <w:p w14:paraId="22749F75" w14:textId="0DE55AF6" w:rsidR="00D62058" w:rsidRPr="00781112" w:rsidRDefault="00D62058" w:rsidP="00D62058">
            <w:pPr>
              <w:jc w:val="center"/>
              <w:rPr>
                <w:rFonts w:cs="Arial"/>
                <w:color w:val="000000" w:themeColor="text1"/>
                <w:szCs w:val="16"/>
              </w:rPr>
            </w:pPr>
            <w:r w:rsidRPr="00781112">
              <w:rPr>
                <w:color w:val="000000" w:themeColor="text1"/>
                <w:szCs w:val="16"/>
              </w:rPr>
              <w:t>75.00%</w:t>
            </w:r>
          </w:p>
        </w:tc>
      </w:tr>
      <w:tr w:rsidR="00AD5583" w:rsidRPr="00781112" w14:paraId="7FD0F8D0" w14:textId="6F160F3D" w:rsidTr="00C40E4D">
        <w:trPr>
          <w:trHeight w:val="340"/>
        </w:trPr>
        <w:tc>
          <w:tcPr>
            <w:tcW w:w="224" w:type="pct"/>
            <w:shd w:val="clear" w:color="auto" w:fill="auto"/>
            <w:vAlign w:val="center"/>
          </w:tcPr>
          <w:p w14:paraId="16DEC104" w14:textId="6A28B34F" w:rsidR="00AD5583" w:rsidRPr="00781112" w:rsidRDefault="00AD5583" w:rsidP="00AD5583">
            <w:pPr>
              <w:rPr>
                <w:rFonts w:cs="Arial"/>
                <w:color w:val="000000" w:themeColor="text1"/>
                <w:szCs w:val="16"/>
              </w:rPr>
            </w:pPr>
            <w:r w:rsidRPr="00781112">
              <w:rPr>
                <w:rFonts w:cs="Arial"/>
                <w:color w:val="000000" w:themeColor="text1"/>
                <w:szCs w:val="16"/>
              </w:rPr>
              <w:t>Target C2 &gt;=</w:t>
            </w:r>
          </w:p>
        </w:tc>
        <w:tc>
          <w:tcPr>
            <w:tcW w:w="756" w:type="pct"/>
            <w:shd w:val="clear" w:color="auto" w:fill="auto"/>
            <w:vAlign w:val="center"/>
          </w:tcPr>
          <w:p w14:paraId="7A9F674E" w14:textId="54CCEACA" w:rsidR="00AD5583" w:rsidRPr="00781112" w:rsidRDefault="00AD5583" w:rsidP="00AD5583">
            <w:pPr>
              <w:jc w:val="center"/>
              <w:rPr>
                <w:rFonts w:cs="Arial"/>
                <w:color w:val="000000" w:themeColor="text1"/>
                <w:szCs w:val="16"/>
              </w:rPr>
            </w:pPr>
            <w:r w:rsidRPr="00781112">
              <w:rPr>
                <w:rFonts w:cs="Arial"/>
                <w:color w:val="000000" w:themeColor="text1"/>
                <w:szCs w:val="16"/>
              </w:rPr>
              <w:t>60.00%</w:t>
            </w:r>
          </w:p>
        </w:tc>
        <w:tc>
          <w:tcPr>
            <w:tcW w:w="804" w:type="pct"/>
            <w:vAlign w:val="center"/>
          </w:tcPr>
          <w:p w14:paraId="1A528F77" w14:textId="13F14B9B" w:rsidR="00AD5583" w:rsidRPr="00781112" w:rsidRDefault="00AD5583" w:rsidP="00AD5583">
            <w:pPr>
              <w:jc w:val="center"/>
              <w:rPr>
                <w:rFonts w:cs="Arial"/>
                <w:color w:val="000000" w:themeColor="text1"/>
                <w:szCs w:val="16"/>
              </w:rPr>
            </w:pPr>
            <w:r w:rsidRPr="00781112">
              <w:rPr>
                <w:color w:val="000000" w:themeColor="text1"/>
                <w:szCs w:val="16"/>
              </w:rPr>
              <w:t>60.25%</w:t>
            </w:r>
          </w:p>
          <w:p w14:paraId="3C5378CB" w14:textId="5A59E833" w:rsidR="00AD5583" w:rsidRPr="00781112" w:rsidRDefault="00AD5583" w:rsidP="00AD5583">
            <w:pPr>
              <w:jc w:val="center"/>
              <w:rPr>
                <w:rFonts w:cs="Arial"/>
                <w:color w:val="000000" w:themeColor="text1"/>
                <w:szCs w:val="16"/>
              </w:rPr>
            </w:pPr>
          </w:p>
        </w:tc>
        <w:tc>
          <w:tcPr>
            <w:tcW w:w="804" w:type="pct"/>
            <w:vAlign w:val="center"/>
          </w:tcPr>
          <w:p w14:paraId="694DD14B" w14:textId="0FC2BAFA" w:rsidR="00AD5583" w:rsidRPr="00781112" w:rsidRDefault="00AD5583" w:rsidP="00AD5583">
            <w:pPr>
              <w:jc w:val="center"/>
              <w:rPr>
                <w:rFonts w:cs="Arial"/>
                <w:color w:val="000000" w:themeColor="text1"/>
                <w:szCs w:val="16"/>
              </w:rPr>
            </w:pPr>
            <w:r w:rsidRPr="00781112">
              <w:rPr>
                <w:color w:val="000000" w:themeColor="text1"/>
                <w:szCs w:val="16"/>
              </w:rPr>
              <w:t>60.50%</w:t>
            </w:r>
          </w:p>
        </w:tc>
        <w:tc>
          <w:tcPr>
            <w:tcW w:w="804" w:type="pct"/>
            <w:vAlign w:val="center"/>
          </w:tcPr>
          <w:p w14:paraId="69632A5F" w14:textId="59530F4E" w:rsidR="00AD5583" w:rsidRPr="00781112" w:rsidRDefault="00AD5583" w:rsidP="00AD5583">
            <w:pPr>
              <w:jc w:val="center"/>
              <w:rPr>
                <w:rFonts w:cs="Arial"/>
                <w:color w:val="000000" w:themeColor="text1"/>
                <w:szCs w:val="16"/>
              </w:rPr>
            </w:pPr>
            <w:r w:rsidRPr="00781112">
              <w:rPr>
                <w:color w:val="000000" w:themeColor="text1"/>
                <w:szCs w:val="16"/>
              </w:rPr>
              <w:t>60.75%</w:t>
            </w:r>
          </w:p>
        </w:tc>
        <w:tc>
          <w:tcPr>
            <w:tcW w:w="804" w:type="pct"/>
            <w:vAlign w:val="center"/>
          </w:tcPr>
          <w:p w14:paraId="1C5D6F95" w14:textId="3D16D545" w:rsidR="00AD5583" w:rsidRPr="00781112" w:rsidRDefault="00AD5583" w:rsidP="00AD5583">
            <w:pPr>
              <w:jc w:val="center"/>
              <w:rPr>
                <w:rFonts w:cs="Arial"/>
                <w:color w:val="000000" w:themeColor="text1"/>
                <w:szCs w:val="16"/>
              </w:rPr>
            </w:pPr>
            <w:r w:rsidRPr="00781112">
              <w:rPr>
                <w:color w:val="000000" w:themeColor="text1"/>
                <w:szCs w:val="16"/>
              </w:rPr>
              <w:t>70.00%</w:t>
            </w:r>
          </w:p>
        </w:tc>
        <w:tc>
          <w:tcPr>
            <w:tcW w:w="804" w:type="pct"/>
            <w:vAlign w:val="center"/>
          </w:tcPr>
          <w:p w14:paraId="478E5E47" w14:textId="202F6B5D" w:rsidR="00AD5583" w:rsidRPr="00781112" w:rsidRDefault="00AD5583" w:rsidP="00AD5583">
            <w:pPr>
              <w:jc w:val="center"/>
              <w:rPr>
                <w:rFonts w:cs="Arial"/>
                <w:color w:val="000000" w:themeColor="text1"/>
                <w:szCs w:val="16"/>
              </w:rPr>
            </w:pPr>
            <w:r w:rsidRPr="00781112">
              <w:rPr>
                <w:color w:val="000000" w:themeColor="text1"/>
                <w:szCs w:val="16"/>
              </w:rPr>
              <w:t>70.25%</w:t>
            </w:r>
          </w:p>
        </w:tc>
      </w:tr>
    </w:tbl>
    <w:p w14:paraId="49CD323A" w14:textId="0F9742B3" w:rsidR="002D145D" w:rsidRPr="00781112" w:rsidRDefault="002D145D" w:rsidP="004369B2">
      <w:pPr>
        <w:rPr>
          <w:b/>
          <w:color w:val="000000" w:themeColor="text1"/>
        </w:rPr>
      </w:pPr>
      <w:r w:rsidRPr="00781112">
        <w:rPr>
          <w:b/>
          <w:color w:val="000000" w:themeColor="text1"/>
        </w:rPr>
        <w:t xml:space="preserve">Targets: Description of Stakeholder Input </w:t>
      </w:r>
    </w:p>
    <w:p w14:paraId="600CB488" w14:textId="412B2B81" w:rsidR="002D145D" w:rsidRPr="00781112" w:rsidRDefault="002B7490" w:rsidP="002D145D">
      <w:pPr>
        <w:rPr>
          <w:rFonts w:cs="Arial"/>
          <w:color w:val="000000" w:themeColor="text1"/>
          <w:szCs w:val="16"/>
        </w:rPr>
      </w:pPr>
      <w:r w:rsidRPr="00781112">
        <w:rPr>
          <w:rFonts w:cs="Arial"/>
          <w:color w:val="000000" w:themeColor="text1"/>
          <w:szCs w:val="16"/>
        </w:rPr>
        <w:t>Louisiana has developed a comprehensive vision for the future of education in our state—Louisiana Believes. The driving force of this vision is that every one of Louisiana’s children should be on track to a college degree or a professional career. This inclusive vision and Louisiana’s values were apparent in the development of the SPP as we solicited and received broad stakeholder input to inform the target setting process for FFY 2020 - FFY 2025. The LDOE used three phases to develop the SPP targets for FFY 2020 - FFY 2025: 1) internal review, 2) external stakeholder feedback, and 3) Special Education Advisory Panel (SEAP) integration.</w:t>
      </w:r>
      <w:r w:rsidRPr="00781112">
        <w:rPr>
          <w:rFonts w:cs="Arial"/>
          <w:color w:val="000000" w:themeColor="text1"/>
          <w:szCs w:val="16"/>
        </w:rPr>
        <w:br/>
      </w:r>
      <w:r w:rsidRPr="00781112">
        <w:rPr>
          <w:rFonts w:cs="Arial"/>
          <w:color w:val="000000" w:themeColor="text1"/>
          <w:szCs w:val="16"/>
        </w:rPr>
        <w:br/>
        <w:t xml:space="preserve">Internal Review </w:t>
      </w:r>
      <w:r w:rsidRPr="00781112">
        <w:rPr>
          <w:rFonts w:cs="Arial"/>
          <w:color w:val="000000" w:themeColor="text1"/>
          <w:szCs w:val="16"/>
        </w:rPr>
        <w:br/>
        <w:t xml:space="preserve">The LDOE's Division for Diverse Learners reviewed historical data and LDOE policies, procedures, and practices; and collaborated with internal teams to develop targets that were rigorous and attainable. </w:t>
      </w:r>
      <w:r w:rsidRPr="00781112">
        <w:rPr>
          <w:rFonts w:cs="Arial"/>
          <w:color w:val="000000" w:themeColor="text1"/>
          <w:szCs w:val="16"/>
        </w:rPr>
        <w:br/>
      </w:r>
      <w:r w:rsidRPr="00781112">
        <w:rPr>
          <w:rFonts w:cs="Arial"/>
          <w:color w:val="000000" w:themeColor="text1"/>
          <w:szCs w:val="16"/>
        </w:rPr>
        <w:br/>
        <w:t>External Stakeholder Feedback</w:t>
      </w:r>
      <w:r w:rsidRPr="00781112">
        <w:rPr>
          <w:rFonts w:cs="Arial"/>
          <w:color w:val="000000" w:themeColor="text1"/>
          <w:szCs w:val="16"/>
        </w:rPr>
        <w:br/>
        <w:t xml:space="preserve">The Division for Diverse Learners developed and executed an SPP/APR target setting engagement strategy to solicit broad stakeholder feedback on the FFY 2020 - FFY 2025 targets. The LDOE developed a State Performance Plan / Annual Performance Report Target Setting webpage on the Louisiana Believes website. The webpage contains an overview document with an explanation of each indicator, historical data for each indicator, and tables to clearly identify whether or not the State met targets for each indicator. After review of the overview document, a target setting survey was available for stakeholders to provide input on targets. </w:t>
      </w:r>
      <w:r w:rsidRPr="00781112">
        <w:rPr>
          <w:rFonts w:cs="Arial"/>
          <w:color w:val="000000" w:themeColor="text1"/>
          <w:szCs w:val="16"/>
        </w:rPr>
        <w:br/>
      </w:r>
      <w:r w:rsidRPr="00781112">
        <w:rPr>
          <w:rFonts w:cs="Arial"/>
          <w:color w:val="000000" w:themeColor="text1"/>
          <w:szCs w:val="16"/>
        </w:rPr>
        <w:br/>
        <w:t>SEAP Integration</w:t>
      </w:r>
      <w:r w:rsidRPr="00781112">
        <w:rPr>
          <w:rFonts w:cs="Arial"/>
          <w:color w:val="000000" w:themeColor="text1"/>
          <w:szCs w:val="16"/>
        </w:rPr>
        <w:br/>
        <w:t>The LDOE informed the SEAP on the target setting process at two separate meetings. LDOE provided an overview of each indicator along with historical data to SEAP members who provided input. SEAP's structure also allows for public comments, which were exercised at the meetings, providing external stakeholder feedback.</w:t>
      </w:r>
      <w:r w:rsidRPr="00781112">
        <w:rPr>
          <w:rFonts w:cs="Arial"/>
          <w:color w:val="000000" w:themeColor="text1"/>
          <w:szCs w:val="16"/>
        </w:rPr>
        <w:br/>
      </w:r>
      <w:r w:rsidRPr="00781112">
        <w:rPr>
          <w:rFonts w:cs="Arial"/>
          <w:color w:val="000000" w:themeColor="text1"/>
          <w:szCs w:val="16"/>
        </w:rPr>
        <w:br/>
        <w:t>The LDOE set targets based on feedback, historical data, and whether previous targets set were met. LDOE will continue to monitor data, targets, and changes to Indicator methodology, and may revise targets in the future, as necessary. Any revisions will incorporate stakeholder feedback, including, but not limited to, SEAP.</w:t>
      </w:r>
    </w:p>
    <w:p w14:paraId="6276C0F6" w14:textId="56252E01" w:rsidR="002D145D" w:rsidRPr="00781112" w:rsidRDefault="002D145D" w:rsidP="002D145D">
      <w:pPr>
        <w:rPr>
          <w:rFonts w:cs="Arial"/>
          <w:color w:val="000000" w:themeColor="text1"/>
          <w:szCs w:val="16"/>
        </w:rPr>
      </w:pPr>
    </w:p>
    <w:p w14:paraId="1512BEE4" w14:textId="77777777" w:rsidR="007870F8" w:rsidRPr="00781112" w:rsidRDefault="007870F8" w:rsidP="004369B2">
      <w:pPr>
        <w:rPr>
          <w:color w:val="000000" w:themeColor="text1"/>
        </w:rPr>
      </w:pPr>
    </w:p>
    <w:p w14:paraId="4D0201C3" w14:textId="41F8CFF8" w:rsidR="008751D3" w:rsidRPr="00781112" w:rsidRDefault="00F6415A">
      <w:pPr>
        <w:rPr>
          <w:b/>
          <w:color w:val="000000" w:themeColor="text1"/>
        </w:rPr>
      </w:pPr>
      <w:r w:rsidRPr="00781112">
        <w:rPr>
          <w:b/>
          <w:color w:val="000000" w:themeColor="text1"/>
        </w:rPr>
        <w:t>FFY 2020 SPP/APR Data</w:t>
      </w:r>
    </w:p>
    <w:p w14:paraId="75F01957" w14:textId="463160A4" w:rsidR="004B2C2D" w:rsidRPr="00781112" w:rsidRDefault="004B2C2D">
      <w:pPr>
        <w:rPr>
          <w:rFonts w:cs="Arial"/>
          <w:b/>
          <w:color w:val="000000" w:themeColor="text1"/>
          <w:szCs w:val="16"/>
        </w:rPr>
      </w:pPr>
      <w:r w:rsidRPr="00781112">
        <w:rPr>
          <w:rFonts w:cs="Arial"/>
          <w:b/>
          <w:color w:val="000000" w:themeColor="text1"/>
          <w:szCs w:val="16"/>
        </w:rPr>
        <w:t>Number of preschool children aged 3 through 5 with IEPs assessed</w:t>
      </w:r>
    </w:p>
    <w:p w14:paraId="6F555236" w14:textId="5F84A3B7" w:rsidR="004B2C2D" w:rsidRPr="00781112" w:rsidRDefault="004B2C2D" w:rsidP="004369B2">
      <w:pPr>
        <w:rPr>
          <w:color w:val="000000" w:themeColor="text1"/>
        </w:rPr>
      </w:pPr>
      <w:r w:rsidRPr="00781112">
        <w:rPr>
          <w:rFonts w:cs="Arial"/>
          <w:color w:val="000000" w:themeColor="text1"/>
          <w:szCs w:val="16"/>
        </w:rPr>
        <w:t>2,091</w:t>
      </w:r>
    </w:p>
    <w:p w14:paraId="6AF5CF56" w14:textId="77777777" w:rsidR="00A80FEB" w:rsidRPr="00781112" w:rsidRDefault="00A80FEB" w:rsidP="004369B2">
      <w:pPr>
        <w:rPr>
          <w:color w:val="000000" w:themeColor="text1"/>
        </w:rPr>
      </w:pPr>
      <w:r w:rsidRPr="00781112">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A"/>
      </w:tblPr>
      <w:tblGrid>
        <w:gridCol w:w="7350"/>
        <w:gridCol w:w="1720"/>
        <w:gridCol w:w="1720"/>
      </w:tblGrid>
      <w:tr w:rsidR="005C29F8" w:rsidRPr="00781112" w14:paraId="7F9D0F86" w14:textId="5773C98B" w:rsidTr="0033429D">
        <w:trPr>
          <w:trHeight w:val="287"/>
          <w:tblHeader/>
        </w:trPr>
        <w:tc>
          <w:tcPr>
            <w:tcW w:w="3406" w:type="pct"/>
            <w:shd w:val="clear" w:color="auto" w:fill="auto"/>
            <w:vAlign w:val="bottom"/>
          </w:tcPr>
          <w:p w14:paraId="732006A2" w14:textId="4E4F994E" w:rsidR="008751D3" w:rsidRPr="00781112" w:rsidRDefault="00043AAB" w:rsidP="0024351A">
            <w:pPr>
              <w:rPr>
                <w:rFonts w:cs="Arial"/>
                <w:b/>
                <w:color w:val="000000" w:themeColor="text1"/>
                <w:szCs w:val="16"/>
              </w:rPr>
            </w:pPr>
            <w:r w:rsidRPr="00781112">
              <w:rPr>
                <w:rFonts w:cs="Arial"/>
                <w:b/>
                <w:color w:val="000000" w:themeColor="text1"/>
                <w:szCs w:val="16"/>
              </w:rPr>
              <w:t xml:space="preserve">Outcome A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797" w:type="pct"/>
            <w:shd w:val="clear" w:color="auto" w:fill="auto"/>
            <w:vAlign w:val="bottom"/>
          </w:tcPr>
          <w:p w14:paraId="2EAB6060" w14:textId="77777777" w:rsidR="008751D3" w:rsidRPr="00781112" w:rsidRDefault="008751D3" w:rsidP="004369B2">
            <w:pPr>
              <w:jc w:val="center"/>
              <w:rPr>
                <w:rFonts w:cs="Arial"/>
                <w:b/>
                <w:color w:val="000000" w:themeColor="text1"/>
                <w:szCs w:val="16"/>
              </w:rPr>
            </w:pPr>
            <w:r w:rsidRPr="00781112">
              <w:rPr>
                <w:rFonts w:cs="Arial"/>
                <w:b/>
                <w:color w:val="000000" w:themeColor="text1"/>
                <w:szCs w:val="16"/>
              </w:rPr>
              <w:t>Number of children</w:t>
            </w:r>
          </w:p>
        </w:tc>
        <w:tc>
          <w:tcPr>
            <w:tcW w:w="797" w:type="pct"/>
            <w:shd w:val="clear" w:color="auto" w:fill="auto"/>
            <w:vAlign w:val="bottom"/>
          </w:tcPr>
          <w:p w14:paraId="1007C28C" w14:textId="52952731" w:rsidR="008751D3" w:rsidRPr="00781112" w:rsidRDefault="008751D3" w:rsidP="004369B2">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D115F3B" w14:textId="14BF41AA" w:rsidTr="00AB0D6A">
        <w:trPr>
          <w:trHeight w:val="361"/>
        </w:trPr>
        <w:tc>
          <w:tcPr>
            <w:tcW w:w="3406" w:type="pct"/>
            <w:shd w:val="clear" w:color="auto" w:fill="auto"/>
            <w:vAlign w:val="center"/>
          </w:tcPr>
          <w:p w14:paraId="476980EA" w14:textId="77777777" w:rsidR="00A86385" w:rsidRPr="00781112" w:rsidRDefault="00A86385" w:rsidP="00A86385">
            <w:pPr>
              <w:rPr>
                <w:rFonts w:cs="Arial"/>
                <w:szCs w:val="16"/>
              </w:rPr>
            </w:pPr>
            <w:r w:rsidRPr="00781112">
              <w:rPr>
                <w:rFonts w:cs="Arial"/>
                <w:szCs w:val="16"/>
              </w:rPr>
              <w:t>a. Preschool children who did not improve functioning</w:t>
            </w:r>
          </w:p>
        </w:tc>
        <w:tc>
          <w:tcPr>
            <w:tcW w:w="797" w:type="pct"/>
            <w:shd w:val="clear" w:color="auto" w:fill="auto"/>
            <w:vAlign w:val="center"/>
          </w:tcPr>
          <w:p w14:paraId="358366F4" w14:textId="107FC5B1" w:rsidR="00A86385" w:rsidRPr="00781112" w:rsidRDefault="002B7490" w:rsidP="00A018D4">
            <w:pPr>
              <w:jc w:val="center"/>
              <w:rPr>
                <w:rFonts w:cs="Arial"/>
                <w:szCs w:val="16"/>
              </w:rPr>
            </w:pPr>
            <w:r w:rsidRPr="00781112">
              <w:rPr>
                <w:rFonts w:cs="Arial"/>
                <w:szCs w:val="16"/>
              </w:rPr>
              <w:t>237</w:t>
            </w:r>
          </w:p>
        </w:tc>
        <w:tc>
          <w:tcPr>
            <w:tcW w:w="797" w:type="pct"/>
            <w:shd w:val="clear" w:color="auto" w:fill="auto"/>
            <w:vAlign w:val="center"/>
          </w:tcPr>
          <w:p w14:paraId="0846D135" w14:textId="1043D337" w:rsidR="00A86385" w:rsidRPr="00781112" w:rsidRDefault="002B7490" w:rsidP="00A018D4">
            <w:pPr>
              <w:jc w:val="center"/>
              <w:rPr>
                <w:rFonts w:cs="Arial"/>
                <w:szCs w:val="16"/>
              </w:rPr>
            </w:pPr>
            <w:r w:rsidRPr="00781112">
              <w:rPr>
                <w:rFonts w:cs="Arial"/>
                <w:szCs w:val="16"/>
              </w:rPr>
              <w:t>11.33%</w:t>
            </w:r>
          </w:p>
        </w:tc>
      </w:tr>
      <w:tr w:rsidR="005C29F8" w:rsidRPr="00781112" w14:paraId="779019AB" w14:textId="1FD48572" w:rsidTr="00AB0D6A">
        <w:trPr>
          <w:trHeight w:val="361"/>
        </w:trPr>
        <w:tc>
          <w:tcPr>
            <w:tcW w:w="3406" w:type="pct"/>
            <w:shd w:val="clear" w:color="auto" w:fill="auto"/>
            <w:vAlign w:val="center"/>
          </w:tcPr>
          <w:p w14:paraId="6E7F23F0" w14:textId="77777777" w:rsidR="00A86385" w:rsidRPr="00781112" w:rsidRDefault="00A86385" w:rsidP="00A86385">
            <w:pPr>
              <w:rPr>
                <w:rFonts w:cs="Arial"/>
                <w:szCs w:val="16"/>
              </w:rPr>
            </w:pPr>
            <w:r w:rsidRPr="00781112">
              <w:rPr>
                <w:rFonts w:cs="Arial"/>
                <w:szCs w:val="16"/>
              </w:rPr>
              <w:lastRenderedPageBreak/>
              <w:t>b. Preschool children who improved functioning but not sufficient to move nearer to functioning comparable to same-aged peers</w:t>
            </w:r>
          </w:p>
        </w:tc>
        <w:tc>
          <w:tcPr>
            <w:tcW w:w="797" w:type="pct"/>
            <w:shd w:val="clear" w:color="auto" w:fill="auto"/>
            <w:vAlign w:val="center"/>
          </w:tcPr>
          <w:p w14:paraId="1E928F4C" w14:textId="54E616E3" w:rsidR="00A86385" w:rsidRPr="00781112" w:rsidRDefault="002B7490" w:rsidP="00A018D4">
            <w:pPr>
              <w:jc w:val="center"/>
              <w:rPr>
                <w:rFonts w:cs="Arial"/>
                <w:szCs w:val="16"/>
              </w:rPr>
            </w:pPr>
            <w:r w:rsidRPr="00781112">
              <w:rPr>
                <w:rFonts w:cs="Arial"/>
                <w:szCs w:val="16"/>
              </w:rPr>
              <w:t>298</w:t>
            </w:r>
          </w:p>
        </w:tc>
        <w:tc>
          <w:tcPr>
            <w:tcW w:w="797" w:type="pct"/>
            <w:shd w:val="clear" w:color="auto" w:fill="auto"/>
            <w:vAlign w:val="center"/>
          </w:tcPr>
          <w:p w14:paraId="371019D1" w14:textId="49035C13" w:rsidR="00A86385" w:rsidRPr="00781112" w:rsidRDefault="002B7490" w:rsidP="00A018D4">
            <w:pPr>
              <w:jc w:val="center"/>
              <w:rPr>
                <w:rFonts w:cs="Arial"/>
                <w:szCs w:val="16"/>
              </w:rPr>
            </w:pPr>
            <w:r w:rsidRPr="00781112">
              <w:rPr>
                <w:rFonts w:cs="Arial"/>
                <w:szCs w:val="16"/>
              </w:rPr>
              <w:t>14.25%</w:t>
            </w:r>
          </w:p>
        </w:tc>
      </w:tr>
      <w:tr w:rsidR="005C29F8" w:rsidRPr="00781112" w14:paraId="3A078806" w14:textId="7FBB31A0" w:rsidTr="00AB0D6A">
        <w:trPr>
          <w:trHeight w:val="361"/>
        </w:trPr>
        <w:tc>
          <w:tcPr>
            <w:tcW w:w="3406" w:type="pct"/>
            <w:shd w:val="clear" w:color="auto" w:fill="auto"/>
            <w:vAlign w:val="center"/>
          </w:tcPr>
          <w:p w14:paraId="6E35A4C3" w14:textId="77777777" w:rsidR="00A86385" w:rsidRPr="00781112" w:rsidRDefault="00A86385" w:rsidP="00A86385">
            <w:pPr>
              <w:rPr>
                <w:rFonts w:cs="Arial"/>
                <w:szCs w:val="16"/>
              </w:rPr>
            </w:pPr>
            <w:r w:rsidRPr="00781112">
              <w:rPr>
                <w:rFonts w:cs="Arial"/>
                <w:szCs w:val="16"/>
              </w:rPr>
              <w:t>c. Preschool children who improved functioning to a level nearer to same-aged peers but did not reach it</w:t>
            </w:r>
          </w:p>
        </w:tc>
        <w:tc>
          <w:tcPr>
            <w:tcW w:w="797" w:type="pct"/>
            <w:shd w:val="clear" w:color="auto" w:fill="auto"/>
            <w:vAlign w:val="center"/>
          </w:tcPr>
          <w:p w14:paraId="1AFEBF8F" w14:textId="2E4650C8" w:rsidR="00A86385" w:rsidRPr="00781112" w:rsidRDefault="002B7490" w:rsidP="00A018D4">
            <w:pPr>
              <w:jc w:val="center"/>
              <w:rPr>
                <w:rFonts w:cs="Arial"/>
                <w:szCs w:val="16"/>
              </w:rPr>
            </w:pPr>
            <w:r w:rsidRPr="00781112">
              <w:rPr>
                <w:rFonts w:cs="Arial"/>
                <w:szCs w:val="16"/>
              </w:rPr>
              <w:t>537</w:t>
            </w:r>
          </w:p>
        </w:tc>
        <w:tc>
          <w:tcPr>
            <w:tcW w:w="797" w:type="pct"/>
            <w:shd w:val="clear" w:color="auto" w:fill="auto"/>
            <w:vAlign w:val="center"/>
          </w:tcPr>
          <w:p w14:paraId="4B6BCB00" w14:textId="047D3E20" w:rsidR="00A86385" w:rsidRPr="00781112" w:rsidRDefault="002B7490" w:rsidP="00A018D4">
            <w:pPr>
              <w:jc w:val="center"/>
              <w:rPr>
                <w:rFonts w:cs="Arial"/>
                <w:szCs w:val="16"/>
              </w:rPr>
            </w:pPr>
            <w:r w:rsidRPr="00781112">
              <w:rPr>
                <w:rFonts w:cs="Arial"/>
                <w:szCs w:val="16"/>
              </w:rPr>
              <w:t>25.68%</w:t>
            </w:r>
          </w:p>
        </w:tc>
      </w:tr>
      <w:tr w:rsidR="005C29F8" w:rsidRPr="00781112" w14:paraId="37EE0376" w14:textId="01578CDB" w:rsidTr="00AB0D6A">
        <w:trPr>
          <w:trHeight w:val="361"/>
        </w:trPr>
        <w:tc>
          <w:tcPr>
            <w:tcW w:w="3406" w:type="pct"/>
            <w:shd w:val="clear" w:color="auto" w:fill="auto"/>
            <w:vAlign w:val="center"/>
          </w:tcPr>
          <w:p w14:paraId="4DFA1510" w14:textId="77777777" w:rsidR="00A86385" w:rsidRPr="00781112" w:rsidRDefault="00A86385" w:rsidP="00A86385">
            <w:pPr>
              <w:rPr>
                <w:rFonts w:cs="Arial"/>
                <w:szCs w:val="16"/>
              </w:rPr>
            </w:pPr>
            <w:r w:rsidRPr="00781112">
              <w:rPr>
                <w:rFonts w:cs="Arial"/>
                <w:szCs w:val="16"/>
              </w:rPr>
              <w:t>d. Preschool children who improved functioning to reach a level comparable to same-aged peers</w:t>
            </w:r>
          </w:p>
        </w:tc>
        <w:tc>
          <w:tcPr>
            <w:tcW w:w="797" w:type="pct"/>
            <w:shd w:val="clear" w:color="auto" w:fill="auto"/>
            <w:vAlign w:val="center"/>
          </w:tcPr>
          <w:p w14:paraId="0E06DA36" w14:textId="47CC0ED8" w:rsidR="00A86385" w:rsidRPr="00781112" w:rsidRDefault="002B7490" w:rsidP="00A018D4">
            <w:pPr>
              <w:jc w:val="center"/>
              <w:rPr>
                <w:rFonts w:cs="Arial"/>
                <w:szCs w:val="16"/>
              </w:rPr>
            </w:pPr>
            <w:r w:rsidRPr="00781112">
              <w:rPr>
                <w:rFonts w:cs="Arial"/>
                <w:szCs w:val="16"/>
              </w:rPr>
              <w:t>662</w:t>
            </w:r>
          </w:p>
        </w:tc>
        <w:tc>
          <w:tcPr>
            <w:tcW w:w="797" w:type="pct"/>
            <w:shd w:val="clear" w:color="auto" w:fill="auto"/>
            <w:vAlign w:val="center"/>
          </w:tcPr>
          <w:p w14:paraId="16C35679" w14:textId="25F05A91" w:rsidR="00A86385" w:rsidRPr="00781112" w:rsidRDefault="002B7490" w:rsidP="00A018D4">
            <w:pPr>
              <w:jc w:val="center"/>
              <w:rPr>
                <w:rFonts w:cs="Arial"/>
                <w:szCs w:val="16"/>
              </w:rPr>
            </w:pPr>
            <w:r w:rsidRPr="00781112">
              <w:rPr>
                <w:rFonts w:cs="Arial"/>
                <w:szCs w:val="16"/>
              </w:rPr>
              <w:t>31.66%</w:t>
            </w:r>
          </w:p>
        </w:tc>
      </w:tr>
      <w:tr w:rsidR="005C29F8" w:rsidRPr="00781112" w14:paraId="2EAC8E4E" w14:textId="5ED91A2D" w:rsidTr="00AB0D6A">
        <w:trPr>
          <w:trHeight w:val="361"/>
        </w:trPr>
        <w:tc>
          <w:tcPr>
            <w:tcW w:w="3406" w:type="pct"/>
            <w:shd w:val="clear" w:color="auto" w:fill="auto"/>
            <w:vAlign w:val="center"/>
          </w:tcPr>
          <w:p w14:paraId="4107A866" w14:textId="77777777" w:rsidR="00A86385" w:rsidRPr="00781112" w:rsidRDefault="00A86385" w:rsidP="00A86385">
            <w:pPr>
              <w:rPr>
                <w:rFonts w:cs="Arial"/>
                <w:szCs w:val="16"/>
              </w:rPr>
            </w:pPr>
            <w:r w:rsidRPr="00781112">
              <w:rPr>
                <w:rFonts w:cs="Arial"/>
                <w:szCs w:val="16"/>
              </w:rPr>
              <w:t>e. Preschool children who maintained functioning at a level comparable to same-aged peers</w:t>
            </w:r>
          </w:p>
        </w:tc>
        <w:tc>
          <w:tcPr>
            <w:tcW w:w="797" w:type="pct"/>
            <w:shd w:val="clear" w:color="auto" w:fill="auto"/>
            <w:vAlign w:val="center"/>
          </w:tcPr>
          <w:p w14:paraId="5DD4256C" w14:textId="3B268EB2" w:rsidR="00A86385" w:rsidRPr="00781112" w:rsidRDefault="002B7490" w:rsidP="00A018D4">
            <w:pPr>
              <w:jc w:val="center"/>
              <w:rPr>
                <w:rFonts w:cs="Arial"/>
                <w:szCs w:val="16"/>
              </w:rPr>
            </w:pPr>
            <w:r w:rsidRPr="00781112">
              <w:rPr>
                <w:rFonts w:cs="Arial"/>
                <w:szCs w:val="16"/>
              </w:rPr>
              <w:t>357</w:t>
            </w:r>
          </w:p>
        </w:tc>
        <w:tc>
          <w:tcPr>
            <w:tcW w:w="797" w:type="pct"/>
            <w:shd w:val="clear" w:color="auto" w:fill="auto"/>
            <w:vAlign w:val="center"/>
          </w:tcPr>
          <w:p w14:paraId="49CE1ADC" w14:textId="7D7D7E9C" w:rsidR="00A86385" w:rsidRPr="00781112" w:rsidRDefault="002B7490" w:rsidP="00A018D4">
            <w:pPr>
              <w:jc w:val="center"/>
              <w:rPr>
                <w:rFonts w:cs="Arial"/>
                <w:szCs w:val="16"/>
              </w:rPr>
            </w:pPr>
            <w:r w:rsidRPr="00781112">
              <w:rPr>
                <w:rFonts w:cs="Arial"/>
                <w:szCs w:val="16"/>
              </w:rPr>
              <w:t>17.07%</w:t>
            </w:r>
          </w:p>
        </w:tc>
      </w:tr>
    </w:tbl>
    <w:p w14:paraId="2CDC19A8"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ADATA"/>
      </w:tblPr>
      <w:tblGrid>
        <w:gridCol w:w="2245"/>
        <w:gridCol w:w="1147"/>
        <w:gridCol w:w="1234"/>
        <w:gridCol w:w="1232"/>
        <w:gridCol w:w="1234"/>
        <w:gridCol w:w="1232"/>
        <w:gridCol w:w="1234"/>
        <w:gridCol w:w="1232"/>
      </w:tblGrid>
      <w:tr w:rsidR="005C29F8" w:rsidRPr="00781112" w14:paraId="3D9EEDAD" w14:textId="30B2445F" w:rsidTr="00AB0D6A">
        <w:trPr>
          <w:trHeight w:val="354"/>
          <w:tblHeader/>
        </w:trPr>
        <w:tc>
          <w:tcPr>
            <w:tcW w:w="1040" w:type="pct"/>
            <w:shd w:val="clear" w:color="auto" w:fill="auto"/>
            <w:vAlign w:val="bottom"/>
          </w:tcPr>
          <w:p w14:paraId="12D11B46" w14:textId="1FAAAC6F" w:rsidR="00E13B95" w:rsidRPr="00781112" w:rsidRDefault="003E11AE" w:rsidP="0033429D">
            <w:pPr>
              <w:rPr>
                <w:rFonts w:cs="Arial"/>
                <w:color w:val="000000" w:themeColor="text1"/>
                <w:szCs w:val="16"/>
              </w:rPr>
            </w:pPr>
            <w:r w:rsidRPr="00781112">
              <w:rPr>
                <w:rFonts w:cs="Arial"/>
                <w:b/>
                <w:color w:val="000000" w:themeColor="text1"/>
                <w:szCs w:val="16"/>
              </w:rPr>
              <w:t>Outcome A</w:t>
            </w:r>
          </w:p>
        </w:tc>
        <w:tc>
          <w:tcPr>
            <w:tcW w:w="531" w:type="pct"/>
            <w:shd w:val="clear" w:color="auto" w:fill="auto"/>
            <w:vAlign w:val="bottom"/>
          </w:tcPr>
          <w:p w14:paraId="7B100CB7" w14:textId="77777777" w:rsidR="00E13B95" w:rsidRPr="00781112" w:rsidRDefault="00E13B95" w:rsidP="00681BA6">
            <w:pPr>
              <w:jc w:val="center"/>
              <w:rPr>
                <w:rFonts w:cs="Arial"/>
                <w:b/>
                <w:color w:val="000000" w:themeColor="text1"/>
                <w:szCs w:val="16"/>
              </w:rPr>
            </w:pPr>
            <w:r w:rsidRPr="00781112">
              <w:rPr>
                <w:rFonts w:cs="Arial"/>
                <w:b/>
                <w:color w:val="000000" w:themeColor="text1"/>
                <w:szCs w:val="16"/>
              </w:rPr>
              <w:t>Numerator</w:t>
            </w:r>
          </w:p>
        </w:tc>
        <w:tc>
          <w:tcPr>
            <w:tcW w:w="572" w:type="pct"/>
            <w:shd w:val="clear" w:color="auto" w:fill="auto"/>
            <w:vAlign w:val="bottom"/>
          </w:tcPr>
          <w:p w14:paraId="31C4C2D7" w14:textId="77777777" w:rsidR="00E13B95" w:rsidRPr="00781112" w:rsidRDefault="00E13B95" w:rsidP="00681BA6">
            <w:pPr>
              <w:jc w:val="center"/>
              <w:rPr>
                <w:rFonts w:cs="Arial"/>
                <w:b/>
                <w:color w:val="000000" w:themeColor="text1"/>
                <w:szCs w:val="16"/>
              </w:rPr>
            </w:pPr>
            <w:r w:rsidRPr="00781112">
              <w:rPr>
                <w:rFonts w:cs="Arial"/>
                <w:b/>
                <w:color w:val="000000" w:themeColor="text1"/>
                <w:szCs w:val="16"/>
              </w:rPr>
              <w:t>Denominator</w:t>
            </w:r>
          </w:p>
        </w:tc>
        <w:tc>
          <w:tcPr>
            <w:tcW w:w="571" w:type="pct"/>
            <w:shd w:val="clear" w:color="auto" w:fill="auto"/>
            <w:vAlign w:val="bottom"/>
          </w:tcPr>
          <w:p w14:paraId="1634F3BC" w14:textId="014F46D2" w:rsidR="00E13B95"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572" w:type="pct"/>
            <w:shd w:val="clear" w:color="auto" w:fill="auto"/>
            <w:vAlign w:val="bottom"/>
          </w:tcPr>
          <w:p w14:paraId="41DCEE89" w14:textId="595CA514" w:rsidR="00E13B95" w:rsidRPr="00781112" w:rsidRDefault="00F6415A" w:rsidP="00681BA6">
            <w:pPr>
              <w:jc w:val="center"/>
              <w:rPr>
                <w:rFonts w:cs="Arial"/>
                <w:b/>
                <w:color w:val="000000" w:themeColor="text1"/>
                <w:szCs w:val="16"/>
              </w:rPr>
            </w:pPr>
            <w:r w:rsidRPr="00781112">
              <w:rPr>
                <w:rFonts w:cs="Arial"/>
                <w:b/>
                <w:color w:val="000000" w:themeColor="text1"/>
                <w:szCs w:val="16"/>
              </w:rPr>
              <w:t>FFY 2020 Target</w:t>
            </w:r>
          </w:p>
        </w:tc>
        <w:tc>
          <w:tcPr>
            <w:tcW w:w="571" w:type="pct"/>
            <w:shd w:val="clear" w:color="auto" w:fill="auto"/>
            <w:vAlign w:val="bottom"/>
          </w:tcPr>
          <w:p w14:paraId="64737D68" w14:textId="5235D259" w:rsidR="00E13B95" w:rsidRPr="00781112" w:rsidRDefault="00F6415A" w:rsidP="00681BA6">
            <w:pPr>
              <w:jc w:val="center"/>
              <w:rPr>
                <w:rFonts w:cs="Arial"/>
                <w:b/>
                <w:color w:val="000000" w:themeColor="text1"/>
                <w:szCs w:val="16"/>
              </w:rPr>
            </w:pPr>
            <w:r w:rsidRPr="00781112">
              <w:rPr>
                <w:rFonts w:cs="Arial"/>
                <w:b/>
                <w:color w:val="000000" w:themeColor="text1"/>
                <w:szCs w:val="16"/>
              </w:rPr>
              <w:t>FFY 2020 Data</w:t>
            </w:r>
          </w:p>
        </w:tc>
        <w:tc>
          <w:tcPr>
            <w:tcW w:w="572" w:type="pct"/>
            <w:shd w:val="clear" w:color="auto" w:fill="auto"/>
            <w:vAlign w:val="bottom"/>
          </w:tcPr>
          <w:p w14:paraId="4592E227" w14:textId="424684DB" w:rsidR="00E13B95" w:rsidRPr="00781112" w:rsidRDefault="00E13B95" w:rsidP="00681BA6">
            <w:pPr>
              <w:jc w:val="center"/>
              <w:rPr>
                <w:rFonts w:cs="Arial"/>
                <w:b/>
                <w:color w:val="000000" w:themeColor="text1"/>
                <w:szCs w:val="16"/>
              </w:rPr>
            </w:pPr>
            <w:r w:rsidRPr="00781112">
              <w:rPr>
                <w:rFonts w:cs="Arial"/>
                <w:b/>
                <w:color w:val="000000" w:themeColor="text1"/>
                <w:szCs w:val="16"/>
              </w:rPr>
              <w:t>Status</w:t>
            </w:r>
          </w:p>
        </w:tc>
        <w:tc>
          <w:tcPr>
            <w:tcW w:w="572" w:type="pct"/>
            <w:shd w:val="clear" w:color="auto" w:fill="auto"/>
            <w:vAlign w:val="bottom"/>
          </w:tcPr>
          <w:p w14:paraId="41F5B2E6" w14:textId="7085A5D7" w:rsidR="00E13B95" w:rsidRPr="00781112" w:rsidRDefault="00E13B95"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18B94B2E" w14:textId="09DCF8DA" w:rsidTr="00AB0D6A">
        <w:trPr>
          <w:trHeight w:val="361"/>
        </w:trPr>
        <w:tc>
          <w:tcPr>
            <w:tcW w:w="1040" w:type="pct"/>
            <w:shd w:val="clear" w:color="auto" w:fill="auto"/>
          </w:tcPr>
          <w:p w14:paraId="423BC0C1"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A1. Of those children who entered or exited the program below age expectations in Outcome A, the percent who substantially increased their rate of growth by the time they turned 6 years of age or exited the program. </w:t>
            </w:r>
            <w:r w:rsidRPr="00266107">
              <w:rPr>
                <w:rFonts w:cs="Arial"/>
                <w:i/>
                <w:iCs/>
                <w:color w:val="000000" w:themeColor="text1"/>
                <w:szCs w:val="16"/>
              </w:rPr>
              <w:t>Calculation:(c+d)/(a+b+c+d)</w:t>
            </w:r>
          </w:p>
        </w:tc>
        <w:tc>
          <w:tcPr>
            <w:tcW w:w="531" w:type="pct"/>
            <w:shd w:val="clear" w:color="auto" w:fill="auto"/>
            <w:vAlign w:val="center"/>
          </w:tcPr>
          <w:p w14:paraId="4154B7AF" w14:textId="22483590" w:rsidR="00A86385" w:rsidRPr="00781112" w:rsidRDefault="002B7490" w:rsidP="00A86385">
            <w:pPr>
              <w:jc w:val="center"/>
              <w:rPr>
                <w:rFonts w:cs="Arial"/>
                <w:color w:val="000000" w:themeColor="text1"/>
                <w:szCs w:val="16"/>
              </w:rPr>
            </w:pPr>
            <w:r w:rsidRPr="00781112">
              <w:rPr>
                <w:rFonts w:cs="Arial"/>
                <w:color w:val="000000" w:themeColor="text1"/>
                <w:szCs w:val="16"/>
              </w:rPr>
              <w:t>1,199</w:t>
            </w:r>
          </w:p>
        </w:tc>
        <w:tc>
          <w:tcPr>
            <w:tcW w:w="572" w:type="pct"/>
            <w:shd w:val="clear" w:color="auto" w:fill="auto"/>
            <w:vAlign w:val="center"/>
          </w:tcPr>
          <w:p w14:paraId="6A178831" w14:textId="564F7234" w:rsidR="00A86385" w:rsidRPr="00781112" w:rsidRDefault="002B7490" w:rsidP="00A86385">
            <w:pPr>
              <w:jc w:val="center"/>
              <w:rPr>
                <w:rFonts w:cs="Arial"/>
                <w:color w:val="000000" w:themeColor="text1"/>
                <w:szCs w:val="16"/>
              </w:rPr>
            </w:pPr>
            <w:r w:rsidRPr="00781112">
              <w:rPr>
                <w:rFonts w:cs="Arial"/>
                <w:color w:val="000000" w:themeColor="text1"/>
                <w:szCs w:val="16"/>
              </w:rPr>
              <w:t>1,734</w:t>
            </w:r>
          </w:p>
        </w:tc>
        <w:tc>
          <w:tcPr>
            <w:tcW w:w="571" w:type="pct"/>
            <w:shd w:val="clear" w:color="auto" w:fill="auto"/>
            <w:vAlign w:val="center"/>
          </w:tcPr>
          <w:p w14:paraId="5EEC0208" w14:textId="526E193A" w:rsidR="00A86385" w:rsidRPr="00781112" w:rsidRDefault="002B7490" w:rsidP="00A86385">
            <w:pPr>
              <w:jc w:val="center"/>
              <w:rPr>
                <w:rFonts w:cs="Arial"/>
                <w:color w:val="000000" w:themeColor="text1"/>
                <w:szCs w:val="16"/>
              </w:rPr>
            </w:pPr>
            <w:r w:rsidRPr="00781112">
              <w:rPr>
                <w:rFonts w:cs="Arial"/>
                <w:color w:val="000000" w:themeColor="text1"/>
                <w:szCs w:val="16"/>
              </w:rPr>
              <w:t>68.11%</w:t>
            </w:r>
          </w:p>
        </w:tc>
        <w:tc>
          <w:tcPr>
            <w:tcW w:w="572" w:type="pct"/>
            <w:shd w:val="clear" w:color="auto" w:fill="auto"/>
            <w:vAlign w:val="center"/>
          </w:tcPr>
          <w:p w14:paraId="4FDFC172" w14:textId="02E04CF5" w:rsidR="00A86385" w:rsidRPr="00781112" w:rsidRDefault="003D7F56">
            <w:pPr>
              <w:jc w:val="center"/>
              <w:rPr>
                <w:color w:val="000000" w:themeColor="text1"/>
              </w:rPr>
            </w:pPr>
            <w:r w:rsidRPr="00781112">
              <w:rPr>
                <w:color w:val="000000" w:themeColor="text1"/>
              </w:rPr>
              <w:t>71.50%</w:t>
            </w:r>
          </w:p>
        </w:tc>
        <w:tc>
          <w:tcPr>
            <w:tcW w:w="571" w:type="pct"/>
            <w:shd w:val="clear" w:color="auto" w:fill="auto"/>
            <w:vAlign w:val="center"/>
          </w:tcPr>
          <w:p w14:paraId="23D0B4EA" w14:textId="4DE98DDB" w:rsidR="00A86385" w:rsidRPr="00781112" w:rsidRDefault="002B7490" w:rsidP="00A86385">
            <w:pPr>
              <w:jc w:val="center"/>
              <w:rPr>
                <w:rFonts w:cs="Arial"/>
                <w:color w:val="000000" w:themeColor="text1"/>
                <w:szCs w:val="16"/>
              </w:rPr>
            </w:pPr>
            <w:r w:rsidRPr="00781112">
              <w:rPr>
                <w:rFonts w:cs="Arial"/>
                <w:color w:val="000000" w:themeColor="text1"/>
                <w:szCs w:val="16"/>
              </w:rPr>
              <w:t>69.15%</w:t>
            </w:r>
          </w:p>
        </w:tc>
        <w:tc>
          <w:tcPr>
            <w:tcW w:w="572" w:type="pct"/>
            <w:shd w:val="clear" w:color="auto" w:fill="auto"/>
            <w:vAlign w:val="center"/>
          </w:tcPr>
          <w:p w14:paraId="64F5CB78" w14:textId="13F3F70F" w:rsidR="00A86385" w:rsidRPr="00781112" w:rsidRDefault="002B7490" w:rsidP="00A86385">
            <w:pPr>
              <w:jc w:val="center"/>
              <w:rPr>
                <w:rFonts w:cs="Arial"/>
                <w:color w:val="000000" w:themeColor="text1"/>
                <w:szCs w:val="16"/>
              </w:rPr>
            </w:pPr>
            <w:r w:rsidRPr="00781112">
              <w:rPr>
                <w:rFonts w:cs="Arial"/>
                <w:color w:val="000000" w:themeColor="text1"/>
                <w:szCs w:val="16"/>
              </w:rPr>
              <w:t>Did not meet target</w:t>
            </w:r>
          </w:p>
        </w:tc>
        <w:tc>
          <w:tcPr>
            <w:tcW w:w="572" w:type="pct"/>
            <w:shd w:val="clear" w:color="auto" w:fill="auto"/>
            <w:vAlign w:val="center"/>
          </w:tcPr>
          <w:p w14:paraId="7D4367C2" w14:textId="1159AE87" w:rsidR="00A86385" w:rsidRPr="00781112" w:rsidRDefault="002B7490" w:rsidP="00A86385">
            <w:pPr>
              <w:jc w:val="center"/>
              <w:rPr>
                <w:rFonts w:cs="Arial"/>
                <w:color w:val="000000" w:themeColor="text1"/>
                <w:szCs w:val="16"/>
              </w:rPr>
            </w:pPr>
            <w:r w:rsidRPr="00781112">
              <w:rPr>
                <w:rFonts w:cs="Arial"/>
                <w:color w:val="000000" w:themeColor="text1"/>
                <w:szCs w:val="16"/>
              </w:rPr>
              <w:t>No Slippage</w:t>
            </w:r>
          </w:p>
        </w:tc>
      </w:tr>
      <w:tr w:rsidR="005C29F8" w:rsidRPr="00781112" w14:paraId="79C043DE" w14:textId="1DF06FE5" w:rsidTr="00AB0D6A">
        <w:trPr>
          <w:trHeight w:val="361"/>
        </w:trPr>
        <w:tc>
          <w:tcPr>
            <w:tcW w:w="1040" w:type="pct"/>
            <w:shd w:val="clear" w:color="auto" w:fill="auto"/>
          </w:tcPr>
          <w:p w14:paraId="319F62FD"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A2. The percent of preschool children who were functioning within age expectations in Outcome A by the time they turned 6 years of age or exited the program. </w:t>
            </w:r>
            <w:r w:rsidRPr="00266107">
              <w:rPr>
                <w:rFonts w:cs="Arial"/>
                <w:i/>
                <w:iCs/>
                <w:color w:val="000000" w:themeColor="text1"/>
                <w:szCs w:val="16"/>
              </w:rPr>
              <w:t>Calculation: (d+e)/(a+b+c+d+e)</w:t>
            </w:r>
          </w:p>
        </w:tc>
        <w:tc>
          <w:tcPr>
            <w:tcW w:w="531" w:type="pct"/>
            <w:shd w:val="clear" w:color="auto" w:fill="auto"/>
            <w:vAlign w:val="center"/>
          </w:tcPr>
          <w:p w14:paraId="1EA4F3E8" w14:textId="01AC6416" w:rsidR="00A86385" w:rsidRPr="00781112" w:rsidRDefault="002B7490" w:rsidP="00A86385">
            <w:pPr>
              <w:jc w:val="center"/>
              <w:rPr>
                <w:rFonts w:cs="Arial"/>
                <w:color w:val="000000" w:themeColor="text1"/>
                <w:szCs w:val="16"/>
              </w:rPr>
            </w:pPr>
            <w:r w:rsidRPr="00781112">
              <w:rPr>
                <w:rFonts w:cs="Arial"/>
                <w:color w:val="000000" w:themeColor="text1"/>
                <w:szCs w:val="16"/>
              </w:rPr>
              <w:t>1,019</w:t>
            </w:r>
          </w:p>
        </w:tc>
        <w:tc>
          <w:tcPr>
            <w:tcW w:w="572" w:type="pct"/>
            <w:shd w:val="clear" w:color="auto" w:fill="auto"/>
            <w:vAlign w:val="center"/>
          </w:tcPr>
          <w:p w14:paraId="392DC3C7" w14:textId="706433AB" w:rsidR="00A86385" w:rsidRPr="00781112" w:rsidRDefault="002B7490" w:rsidP="00A86385">
            <w:pPr>
              <w:jc w:val="center"/>
              <w:rPr>
                <w:rFonts w:cs="Arial"/>
                <w:color w:val="000000" w:themeColor="text1"/>
                <w:szCs w:val="16"/>
              </w:rPr>
            </w:pPr>
            <w:r w:rsidRPr="00781112">
              <w:rPr>
                <w:rFonts w:cs="Arial"/>
                <w:color w:val="000000" w:themeColor="text1"/>
                <w:szCs w:val="16"/>
              </w:rPr>
              <w:t>2,091</w:t>
            </w:r>
          </w:p>
        </w:tc>
        <w:tc>
          <w:tcPr>
            <w:tcW w:w="571" w:type="pct"/>
            <w:shd w:val="clear" w:color="auto" w:fill="auto"/>
            <w:vAlign w:val="center"/>
          </w:tcPr>
          <w:p w14:paraId="480CDC79" w14:textId="4F1F0DEC" w:rsidR="00A86385" w:rsidRPr="00781112" w:rsidRDefault="002B7490" w:rsidP="00A86385">
            <w:pPr>
              <w:jc w:val="center"/>
              <w:rPr>
                <w:rFonts w:cs="Arial"/>
                <w:color w:val="000000" w:themeColor="text1"/>
                <w:szCs w:val="16"/>
              </w:rPr>
            </w:pPr>
            <w:r w:rsidRPr="00781112">
              <w:rPr>
                <w:rFonts w:cs="Arial"/>
                <w:color w:val="000000" w:themeColor="text1"/>
                <w:szCs w:val="16"/>
              </w:rPr>
              <w:t>47.51%</w:t>
            </w:r>
          </w:p>
        </w:tc>
        <w:tc>
          <w:tcPr>
            <w:tcW w:w="572" w:type="pct"/>
            <w:shd w:val="clear" w:color="auto" w:fill="auto"/>
            <w:vAlign w:val="center"/>
          </w:tcPr>
          <w:p w14:paraId="4E37244D" w14:textId="286AF534" w:rsidR="00A86385" w:rsidRPr="00781112" w:rsidRDefault="003D7F56">
            <w:pPr>
              <w:jc w:val="center"/>
              <w:rPr>
                <w:color w:val="000000" w:themeColor="text1"/>
              </w:rPr>
            </w:pPr>
            <w:r w:rsidRPr="00781112">
              <w:rPr>
                <w:color w:val="000000" w:themeColor="text1"/>
              </w:rPr>
              <w:t>65.00%</w:t>
            </w:r>
          </w:p>
        </w:tc>
        <w:tc>
          <w:tcPr>
            <w:tcW w:w="571" w:type="pct"/>
            <w:shd w:val="clear" w:color="auto" w:fill="auto"/>
            <w:vAlign w:val="center"/>
          </w:tcPr>
          <w:p w14:paraId="2BBC817C" w14:textId="65BC2730" w:rsidR="00A86385" w:rsidRPr="00781112" w:rsidRDefault="002B7490" w:rsidP="00A86385">
            <w:pPr>
              <w:jc w:val="center"/>
              <w:rPr>
                <w:rFonts w:cs="Arial"/>
                <w:color w:val="000000" w:themeColor="text1"/>
                <w:szCs w:val="16"/>
              </w:rPr>
            </w:pPr>
            <w:r w:rsidRPr="00781112">
              <w:rPr>
                <w:rFonts w:cs="Arial"/>
                <w:color w:val="000000" w:themeColor="text1"/>
                <w:szCs w:val="16"/>
              </w:rPr>
              <w:t>48.73%</w:t>
            </w:r>
          </w:p>
        </w:tc>
        <w:tc>
          <w:tcPr>
            <w:tcW w:w="572" w:type="pct"/>
            <w:shd w:val="clear" w:color="auto" w:fill="auto"/>
            <w:vAlign w:val="center"/>
          </w:tcPr>
          <w:p w14:paraId="3AC16CE0" w14:textId="7E3856A4" w:rsidR="00A86385" w:rsidRPr="00781112" w:rsidRDefault="002B7490" w:rsidP="00A86385">
            <w:pPr>
              <w:jc w:val="center"/>
              <w:rPr>
                <w:rFonts w:cs="Arial"/>
                <w:color w:val="000000" w:themeColor="text1"/>
                <w:szCs w:val="16"/>
              </w:rPr>
            </w:pPr>
            <w:r w:rsidRPr="00781112">
              <w:rPr>
                <w:rFonts w:cs="Arial"/>
                <w:color w:val="000000" w:themeColor="text1"/>
                <w:szCs w:val="16"/>
              </w:rPr>
              <w:t>Did not meet target</w:t>
            </w:r>
          </w:p>
        </w:tc>
        <w:tc>
          <w:tcPr>
            <w:tcW w:w="572" w:type="pct"/>
            <w:shd w:val="clear" w:color="auto" w:fill="auto"/>
            <w:vAlign w:val="center"/>
          </w:tcPr>
          <w:p w14:paraId="2C0165C1" w14:textId="5260DB98" w:rsidR="00A86385" w:rsidRPr="00781112" w:rsidRDefault="002B7490" w:rsidP="00A86385">
            <w:pPr>
              <w:jc w:val="center"/>
              <w:rPr>
                <w:rFonts w:cs="Arial"/>
                <w:color w:val="000000" w:themeColor="text1"/>
                <w:szCs w:val="16"/>
              </w:rPr>
            </w:pPr>
            <w:r w:rsidRPr="00781112">
              <w:rPr>
                <w:rFonts w:cs="Arial"/>
                <w:color w:val="000000" w:themeColor="text1"/>
                <w:szCs w:val="16"/>
              </w:rPr>
              <w:t>No Slippage</w:t>
            </w:r>
          </w:p>
        </w:tc>
      </w:tr>
    </w:tbl>
    <w:p w14:paraId="43C6FD6E" w14:textId="77777777" w:rsidR="00A80FEB" w:rsidRPr="00781112" w:rsidRDefault="00A80FEB" w:rsidP="004369B2">
      <w:pPr>
        <w:rPr>
          <w:color w:val="000000" w:themeColor="text1"/>
        </w:rPr>
      </w:pPr>
      <w:r w:rsidRPr="00781112">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B"/>
      </w:tblPr>
      <w:tblGrid>
        <w:gridCol w:w="7227"/>
        <w:gridCol w:w="1783"/>
        <w:gridCol w:w="1780"/>
      </w:tblGrid>
      <w:tr w:rsidR="005C29F8" w:rsidRPr="00781112" w14:paraId="637A7029" w14:textId="2CDA80A7" w:rsidTr="0033429D">
        <w:trPr>
          <w:trHeight w:val="361"/>
          <w:tblHeader/>
        </w:trPr>
        <w:tc>
          <w:tcPr>
            <w:tcW w:w="3349" w:type="pct"/>
            <w:shd w:val="clear" w:color="auto" w:fill="auto"/>
            <w:vAlign w:val="bottom"/>
          </w:tcPr>
          <w:p w14:paraId="43F5435F" w14:textId="01DC1145" w:rsidR="00E13B95" w:rsidRPr="00781112" w:rsidRDefault="003E11AE" w:rsidP="0024351A">
            <w:pPr>
              <w:rPr>
                <w:rFonts w:cs="Arial"/>
                <w:color w:val="000000" w:themeColor="text1"/>
                <w:szCs w:val="16"/>
              </w:rPr>
            </w:pPr>
            <w:r w:rsidRPr="00781112">
              <w:rPr>
                <w:rFonts w:cs="Arial"/>
                <w:b/>
                <w:color w:val="000000" w:themeColor="text1"/>
                <w:szCs w:val="16"/>
              </w:rPr>
              <w:t xml:space="preserve">Outcome B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826" w:type="pct"/>
            <w:shd w:val="clear" w:color="auto" w:fill="auto"/>
            <w:vAlign w:val="bottom"/>
          </w:tcPr>
          <w:p w14:paraId="33266842" w14:textId="77777777" w:rsidR="00E13B95" w:rsidRPr="00781112" w:rsidRDefault="00E13B95"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5864E39" w14:textId="3FAA808D" w:rsidR="00E13B95" w:rsidRPr="00781112" w:rsidRDefault="00E13B95"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5E399615" w14:textId="1C73CC75" w:rsidTr="00AB0D6A">
        <w:trPr>
          <w:trHeight w:val="361"/>
        </w:trPr>
        <w:tc>
          <w:tcPr>
            <w:tcW w:w="3349" w:type="pct"/>
            <w:shd w:val="clear" w:color="auto" w:fill="auto"/>
          </w:tcPr>
          <w:p w14:paraId="6B2DB9F8"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54446092" w14:textId="4023E756" w:rsidR="00A86385" w:rsidRPr="00781112" w:rsidRDefault="002B7490" w:rsidP="00A018D4">
            <w:pPr>
              <w:jc w:val="center"/>
              <w:rPr>
                <w:rFonts w:cs="Arial"/>
                <w:color w:val="000000" w:themeColor="text1"/>
                <w:szCs w:val="16"/>
              </w:rPr>
            </w:pPr>
            <w:r w:rsidRPr="00781112">
              <w:rPr>
                <w:rFonts w:cs="Arial"/>
                <w:color w:val="000000" w:themeColor="text1"/>
                <w:szCs w:val="16"/>
              </w:rPr>
              <w:t>270</w:t>
            </w:r>
          </w:p>
        </w:tc>
        <w:tc>
          <w:tcPr>
            <w:tcW w:w="825" w:type="pct"/>
            <w:shd w:val="clear" w:color="auto" w:fill="auto"/>
            <w:vAlign w:val="center"/>
          </w:tcPr>
          <w:p w14:paraId="21775FA0" w14:textId="7E6665F3" w:rsidR="00A86385" w:rsidRPr="00781112" w:rsidRDefault="002B7490" w:rsidP="00A018D4">
            <w:pPr>
              <w:jc w:val="center"/>
              <w:rPr>
                <w:rFonts w:cs="Arial"/>
                <w:color w:val="000000" w:themeColor="text1"/>
                <w:szCs w:val="16"/>
              </w:rPr>
            </w:pPr>
            <w:r w:rsidRPr="00781112">
              <w:rPr>
                <w:rFonts w:cs="Arial"/>
                <w:color w:val="000000" w:themeColor="text1"/>
                <w:szCs w:val="16"/>
              </w:rPr>
              <w:t>12.91%</w:t>
            </w:r>
          </w:p>
        </w:tc>
      </w:tr>
      <w:tr w:rsidR="005C29F8" w:rsidRPr="00781112" w14:paraId="0EABFD05" w14:textId="7B9C3CA9" w:rsidTr="00AB0D6A">
        <w:trPr>
          <w:trHeight w:val="361"/>
        </w:trPr>
        <w:tc>
          <w:tcPr>
            <w:tcW w:w="3349" w:type="pct"/>
            <w:shd w:val="clear" w:color="auto" w:fill="auto"/>
          </w:tcPr>
          <w:p w14:paraId="623F83AF"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39ABCB88" w14:textId="036353D5" w:rsidR="00A86385" w:rsidRPr="00781112" w:rsidRDefault="002B7490" w:rsidP="00A018D4">
            <w:pPr>
              <w:jc w:val="center"/>
              <w:rPr>
                <w:rFonts w:cs="Arial"/>
                <w:color w:val="000000" w:themeColor="text1"/>
                <w:szCs w:val="16"/>
              </w:rPr>
            </w:pPr>
            <w:r w:rsidRPr="00781112">
              <w:rPr>
                <w:rFonts w:cs="Arial"/>
                <w:color w:val="000000" w:themeColor="text1"/>
                <w:szCs w:val="16"/>
              </w:rPr>
              <w:t>347</w:t>
            </w:r>
          </w:p>
        </w:tc>
        <w:tc>
          <w:tcPr>
            <w:tcW w:w="825" w:type="pct"/>
            <w:shd w:val="clear" w:color="auto" w:fill="auto"/>
            <w:vAlign w:val="center"/>
          </w:tcPr>
          <w:p w14:paraId="33D020CC" w14:textId="0314A001" w:rsidR="00A86385" w:rsidRPr="00781112" w:rsidRDefault="002B7490" w:rsidP="00A018D4">
            <w:pPr>
              <w:jc w:val="center"/>
              <w:rPr>
                <w:rFonts w:cs="Arial"/>
                <w:color w:val="000000" w:themeColor="text1"/>
                <w:szCs w:val="16"/>
              </w:rPr>
            </w:pPr>
            <w:r w:rsidRPr="00781112">
              <w:rPr>
                <w:rFonts w:cs="Arial"/>
                <w:color w:val="000000" w:themeColor="text1"/>
                <w:szCs w:val="16"/>
              </w:rPr>
              <w:t>16.59%</w:t>
            </w:r>
          </w:p>
        </w:tc>
      </w:tr>
      <w:tr w:rsidR="005C29F8" w:rsidRPr="00781112" w14:paraId="2AFEEE7C" w14:textId="52870042" w:rsidTr="00AB0D6A">
        <w:trPr>
          <w:trHeight w:val="361"/>
        </w:trPr>
        <w:tc>
          <w:tcPr>
            <w:tcW w:w="3349" w:type="pct"/>
            <w:shd w:val="clear" w:color="auto" w:fill="auto"/>
          </w:tcPr>
          <w:p w14:paraId="77166FC5"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32CAD94B" w14:textId="37477BEB" w:rsidR="00A86385" w:rsidRPr="00781112" w:rsidRDefault="002B7490" w:rsidP="00A018D4">
            <w:pPr>
              <w:jc w:val="center"/>
              <w:rPr>
                <w:rFonts w:cs="Arial"/>
                <w:color w:val="000000" w:themeColor="text1"/>
                <w:szCs w:val="16"/>
              </w:rPr>
            </w:pPr>
            <w:r w:rsidRPr="00781112">
              <w:rPr>
                <w:rFonts w:cs="Arial"/>
                <w:color w:val="000000" w:themeColor="text1"/>
                <w:szCs w:val="16"/>
              </w:rPr>
              <w:t>505</w:t>
            </w:r>
          </w:p>
        </w:tc>
        <w:tc>
          <w:tcPr>
            <w:tcW w:w="825" w:type="pct"/>
            <w:shd w:val="clear" w:color="auto" w:fill="auto"/>
            <w:vAlign w:val="center"/>
          </w:tcPr>
          <w:p w14:paraId="2021CF20" w14:textId="181B68B8" w:rsidR="00A86385" w:rsidRPr="00781112" w:rsidRDefault="002B7490" w:rsidP="00A018D4">
            <w:pPr>
              <w:jc w:val="center"/>
              <w:rPr>
                <w:rFonts w:cs="Arial"/>
                <w:color w:val="000000" w:themeColor="text1"/>
                <w:szCs w:val="16"/>
              </w:rPr>
            </w:pPr>
            <w:r w:rsidRPr="00781112">
              <w:rPr>
                <w:rFonts w:cs="Arial"/>
                <w:color w:val="000000" w:themeColor="text1"/>
                <w:szCs w:val="16"/>
              </w:rPr>
              <w:t>24.15%</w:t>
            </w:r>
          </w:p>
        </w:tc>
      </w:tr>
      <w:tr w:rsidR="005C29F8" w:rsidRPr="00781112" w14:paraId="5D450E84" w14:textId="4C13CEB9" w:rsidTr="00AB0D6A">
        <w:trPr>
          <w:trHeight w:val="361"/>
        </w:trPr>
        <w:tc>
          <w:tcPr>
            <w:tcW w:w="3349" w:type="pct"/>
            <w:shd w:val="clear" w:color="auto" w:fill="auto"/>
          </w:tcPr>
          <w:p w14:paraId="110FD587"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277F64A6" w14:textId="32E985A0" w:rsidR="00A86385" w:rsidRPr="00781112" w:rsidRDefault="002B7490" w:rsidP="00A018D4">
            <w:pPr>
              <w:jc w:val="center"/>
              <w:rPr>
                <w:rFonts w:cs="Arial"/>
                <w:color w:val="000000" w:themeColor="text1"/>
                <w:szCs w:val="16"/>
              </w:rPr>
            </w:pPr>
            <w:r w:rsidRPr="00781112">
              <w:rPr>
                <w:rFonts w:cs="Arial"/>
                <w:color w:val="000000" w:themeColor="text1"/>
                <w:szCs w:val="16"/>
              </w:rPr>
              <w:t>724</w:t>
            </w:r>
          </w:p>
        </w:tc>
        <w:tc>
          <w:tcPr>
            <w:tcW w:w="825" w:type="pct"/>
            <w:shd w:val="clear" w:color="auto" w:fill="auto"/>
            <w:vAlign w:val="center"/>
          </w:tcPr>
          <w:p w14:paraId="2EEE6FB7" w14:textId="6E8D11C4" w:rsidR="00A86385" w:rsidRPr="00781112" w:rsidRDefault="002B7490" w:rsidP="00A018D4">
            <w:pPr>
              <w:jc w:val="center"/>
              <w:rPr>
                <w:rFonts w:cs="Arial"/>
                <w:color w:val="000000" w:themeColor="text1"/>
                <w:szCs w:val="16"/>
              </w:rPr>
            </w:pPr>
            <w:r w:rsidRPr="00781112">
              <w:rPr>
                <w:rFonts w:cs="Arial"/>
                <w:color w:val="000000" w:themeColor="text1"/>
                <w:szCs w:val="16"/>
              </w:rPr>
              <w:t>34.62%</w:t>
            </w:r>
          </w:p>
        </w:tc>
      </w:tr>
      <w:tr w:rsidR="005C29F8" w:rsidRPr="00781112" w14:paraId="108FFB57" w14:textId="0C409786" w:rsidTr="00AB0D6A">
        <w:trPr>
          <w:trHeight w:val="361"/>
        </w:trPr>
        <w:tc>
          <w:tcPr>
            <w:tcW w:w="3349" w:type="pct"/>
            <w:shd w:val="clear" w:color="auto" w:fill="auto"/>
          </w:tcPr>
          <w:p w14:paraId="3D4AD278"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A790A60" w14:textId="08E1839F" w:rsidR="00A86385" w:rsidRPr="00781112" w:rsidRDefault="002B7490" w:rsidP="00A018D4">
            <w:pPr>
              <w:jc w:val="center"/>
              <w:rPr>
                <w:rFonts w:cs="Arial"/>
                <w:color w:val="000000" w:themeColor="text1"/>
                <w:szCs w:val="16"/>
              </w:rPr>
            </w:pPr>
            <w:r w:rsidRPr="00781112">
              <w:rPr>
                <w:rFonts w:cs="Arial"/>
                <w:color w:val="000000" w:themeColor="text1"/>
                <w:szCs w:val="16"/>
              </w:rPr>
              <w:t>245</w:t>
            </w:r>
          </w:p>
        </w:tc>
        <w:tc>
          <w:tcPr>
            <w:tcW w:w="825" w:type="pct"/>
            <w:shd w:val="clear" w:color="auto" w:fill="auto"/>
            <w:vAlign w:val="center"/>
          </w:tcPr>
          <w:p w14:paraId="2501B391" w14:textId="1634A6F5" w:rsidR="00A86385" w:rsidRPr="00781112" w:rsidRDefault="002B7490" w:rsidP="00A018D4">
            <w:pPr>
              <w:jc w:val="center"/>
              <w:rPr>
                <w:rFonts w:cs="Arial"/>
                <w:color w:val="000000" w:themeColor="text1"/>
                <w:szCs w:val="16"/>
              </w:rPr>
            </w:pPr>
            <w:r w:rsidRPr="00781112">
              <w:rPr>
                <w:rFonts w:cs="Arial"/>
                <w:color w:val="000000" w:themeColor="text1"/>
                <w:szCs w:val="16"/>
              </w:rPr>
              <w:t>11.72%</w:t>
            </w:r>
          </w:p>
        </w:tc>
      </w:tr>
    </w:tbl>
    <w:p w14:paraId="7EA9F2D2"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BDATA"/>
      </w:tblPr>
      <w:tblGrid>
        <w:gridCol w:w="2159"/>
        <w:gridCol w:w="1262"/>
        <w:gridCol w:w="1262"/>
        <w:gridCol w:w="1172"/>
        <w:gridCol w:w="1260"/>
        <w:gridCol w:w="1260"/>
        <w:gridCol w:w="1049"/>
        <w:gridCol w:w="1366"/>
      </w:tblGrid>
      <w:tr w:rsidR="005C29F8" w:rsidRPr="00781112" w14:paraId="29447607" w14:textId="4B3B706C" w:rsidTr="00AB0D6A">
        <w:trPr>
          <w:tblHeader/>
        </w:trPr>
        <w:tc>
          <w:tcPr>
            <w:tcW w:w="1000" w:type="pct"/>
            <w:shd w:val="clear" w:color="auto" w:fill="auto"/>
            <w:vAlign w:val="bottom"/>
          </w:tcPr>
          <w:p w14:paraId="58D567A9" w14:textId="7BD30860" w:rsidR="00E13B95" w:rsidRPr="00781112" w:rsidRDefault="009028CA" w:rsidP="004369B2">
            <w:pPr>
              <w:rPr>
                <w:b/>
                <w:color w:val="000000" w:themeColor="text1"/>
              </w:rPr>
            </w:pPr>
            <w:r w:rsidRPr="00781112">
              <w:rPr>
                <w:b/>
                <w:color w:val="000000" w:themeColor="text1"/>
              </w:rPr>
              <w:t>Outcome B</w:t>
            </w:r>
          </w:p>
        </w:tc>
        <w:tc>
          <w:tcPr>
            <w:tcW w:w="584" w:type="pct"/>
            <w:shd w:val="clear" w:color="auto" w:fill="auto"/>
            <w:vAlign w:val="bottom"/>
          </w:tcPr>
          <w:p w14:paraId="0DF6A486" w14:textId="77777777" w:rsidR="00E13B95" w:rsidRPr="00781112" w:rsidRDefault="00E13B95" w:rsidP="004369B2">
            <w:pPr>
              <w:rPr>
                <w:b/>
                <w:color w:val="000000" w:themeColor="text1"/>
              </w:rPr>
            </w:pPr>
            <w:r w:rsidRPr="00781112">
              <w:rPr>
                <w:b/>
                <w:color w:val="000000" w:themeColor="text1"/>
              </w:rPr>
              <w:t>Numerator</w:t>
            </w:r>
          </w:p>
        </w:tc>
        <w:tc>
          <w:tcPr>
            <w:tcW w:w="585" w:type="pct"/>
            <w:shd w:val="clear" w:color="auto" w:fill="auto"/>
            <w:vAlign w:val="bottom"/>
          </w:tcPr>
          <w:p w14:paraId="4A127242" w14:textId="77777777" w:rsidR="00E13B95" w:rsidRPr="00781112" w:rsidRDefault="00E13B95" w:rsidP="004369B2">
            <w:pPr>
              <w:rPr>
                <w:b/>
                <w:color w:val="000000" w:themeColor="text1"/>
              </w:rPr>
            </w:pPr>
            <w:r w:rsidRPr="00781112">
              <w:rPr>
                <w:b/>
                <w:color w:val="000000" w:themeColor="text1"/>
              </w:rPr>
              <w:t>Denominator</w:t>
            </w:r>
          </w:p>
        </w:tc>
        <w:tc>
          <w:tcPr>
            <w:tcW w:w="543" w:type="pct"/>
            <w:shd w:val="clear" w:color="auto" w:fill="auto"/>
            <w:vAlign w:val="bottom"/>
          </w:tcPr>
          <w:p w14:paraId="03649132" w14:textId="75D37CB7" w:rsidR="00E13B95" w:rsidRPr="00781112" w:rsidRDefault="00B954DC" w:rsidP="004369B2">
            <w:pPr>
              <w:rPr>
                <w:b/>
                <w:color w:val="000000" w:themeColor="text1"/>
              </w:rPr>
            </w:pPr>
            <w:r w:rsidRPr="00781112">
              <w:rPr>
                <w:b/>
                <w:color w:val="000000" w:themeColor="text1"/>
              </w:rPr>
              <w:t>FFY  2019 Data</w:t>
            </w:r>
          </w:p>
        </w:tc>
        <w:tc>
          <w:tcPr>
            <w:tcW w:w="584" w:type="pct"/>
            <w:shd w:val="clear" w:color="auto" w:fill="auto"/>
            <w:vAlign w:val="bottom"/>
          </w:tcPr>
          <w:p w14:paraId="3AFAEBC5" w14:textId="4D647742" w:rsidR="00E13B95" w:rsidRPr="00781112" w:rsidRDefault="00F6415A" w:rsidP="004369B2">
            <w:pPr>
              <w:rPr>
                <w:b/>
                <w:color w:val="000000" w:themeColor="text1"/>
              </w:rPr>
            </w:pPr>
            <w:r w:rsidRPr="00781112">
              <w:rPr>
                <w:b/>
                <w:color w:val="000000" w:themeColor="text1"/>
              </w:rPr>
              <w:t>FFY 2020 Target</w:t>
            </w:r>
          </w:p>
        </w:tc>
        <w:tc>
          <w:tcPr>
            <w:tcW w:w="584" w:type="pct"/>
            <w:shd w:val="clear" w:color="auto" w:fill="auto"/>
            <w:vAlign w:val="bottom"/>
          </w:tcPr>
          <w:p w14:paraId="40B6360D" w14:textId="224005B5" w:rsidR="00E13B95" w:rsidRPr="00781112" w:rsidRDefault="00E13B95" w:rsidP="004369B2">
            <w:pPr>
              <w:rPr>
                <w:b/>
                <w:color w:val="000000" w:themeColor="text1"/>
              </w:rPr>
            </w:pPr>
            <w:r w:rsidRPr="00781112">
              <w:rPr>
                <w:b/>
                <w:color w:val="000000" w:themeColor="text1"/>
              </w:rPr>
              <w:t>FFY 2020 Data</w:t>
            </w:r>
          </w:p>
        </w:tc>
        <w:tc>
          <w:tcPr>
            <w:tcW w:w="486" w:type="pct"/>
            <w:shd w:val="clear" w:color="auto" w:fill="auto"/>
            <w:vAlign w:val="bottom"/>
          </w:tcPr>
          <w:p w14:paraId="17C85F8A" w14:textId="625B06E9" w:rsidR="00E13B95" w:rsidRPr="00781112" w:rsidRDefault="00E13B95" w:rsidP="004369B2">
            <w:pPr>
              <w:rPr>
                <w:b/>
                <w:color w:val="000000" w:themeColor="text1"/>
              </w:rPr>
            </w:pPr>
            <w:r w:rsidRPr="00781112">
              <w:rPr>
                <w:b/>
                <w:color w:val="000000" w:themeColor="text1"/>
              </w:rPr>
              <w:t>Status</w:t>
            </w:r>
          </w:p>
        </w:tc>
        <w:tc>
          <w:tcPr>
            <w:tcW w:w="635" w:type="pct"/>
            <w:shd w:val="clear" w:color="auto" w:fill="auto"/>
            <w:vAlign w:val="bottom"/>
          </w:tcPr>
          <w:p w14:paraId="4254BB19" w14:textId="15C403FF" w:rsidR="00E13B95" w:rsidRPr="00781112" w:rsidRDefault="00E13B95" w:rsidP="004369B2">
            <w:pPr>
              <w:rPr>
                <w:b/>
                <w:color w:val="000000" w:themeColor="text1"/>
              </w:rPr>
            </w:pPr>
            <w:r w:rsidRPr="00781112">
              <w:rPr>
                <w:b/>
                <w:color w:val="000000" w:themeColor="text1"/>
              </w:rPr>
              <w:t>Slippage</w:t>
            </w:r>
          </w:p>
        </w:tc>
      </w:tr>
      <w:tr w:rsidR="005C29F8" w:rsidRPr="00781112" w14:paraId="6493B1D4" w14:textId="479A7C15" w:rsidTr="00AB0D6A">
        <w:tc>
          <w:tcPr>
            <w:tcW w:w="999" w:type="pct"/>
            <w:shd w:val="clear" w:color="auto" w:fill="auto"/>
          </w:tcPr>
          <w:p w14:paraId="095FBDAA"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B1. Of those children who entered or exited the program below age expectations in Outcome B, the percent who substantially increased their rate of growth by the time they turned 6 years of age or exited the program. </w:t>
            </w:r>
            <w:r w:rsidRPr="00266107">
              <w:rPr>
                <w:rFonts w:cs="Arial"/>
                <w:i/>
                <w:iCs/>
                <w:color w:val="000000" w:themeColor="text1"/>
                <w:szCs w:val="16"/>
              </w:rPr>
              <w:t>Calculation: (c+d)/(a+b+c+d)</w:t>
            </w:r>
          </w:p>
        </w:tc>
        <w:tc>
          <w:tcPr>
            <w:tcW w:w="585" w:type="pct"/>
            <w:shd w:val="clear" w:color="auto" w:fill="auto"/>
            <w:vAlign w:val="center"/>
          </w:tcPr>
          <w:p w14:paraId="250FBF70" w14:textId="269E9F95" w:rsidR="00A86385" w:rsidRPr="00781112" w:rsidRDefault="002B7490" w:rsidP="00A018D4">
            <w:pPr>
              <w:jc w:val="center"/>
              <w:rPr>
                <w:rFonts w:cs="Arial"/>
                <w:color w:val="000000" w:themeColor="text1"/>
                <w:szCs w:val="16"/>
              </w:rPr>
            </w:pPr>
            <w:r w:rsidRPr="00781112">
              <w:rPr>
                <w:rFonts w:cs="Arial"/>
                <w:color w:val="000000" w:themeColor="text1"/>
                <w:szCs w:val="16"/>
              </w:rPr>
              <w:t>1,229</w:t>
            </w:r>
          </w:p>
        </w:tc>
        <w:tc>
          <w:tcPr>
            <w:tcW w:w="585" w:type="pct"/>
            <w:shd w:val="clear" w:color="auto" w:fill="auto"/>
            <w:vAlign w:val="center"/>
          </w:tcPr>
          <w:p w14:paraId="682FF5CA" w14:textId="4D1E8D34" w:rsidR="00A86385" w:rsidRPr="00781112" w:rsidRDefault="002B7490" w:rsidP="00A018D4">
            <w:pPr>
              <w:jc w:val="center"/>
              <w:rPr>
                <w:rFonts w:cs="Arial"/>
                <w:color w:val="000000" w:themeColor="text1"/>
                <w:szCs w:val="16"/>
              </w:rPr>
            </w:pPr>
            <w:r w:rsidRPr="00781112">
              <w:rPr>
                <w:rFonts w:cs="Arial"/>
                <w:color w:val="000000" w:themeColor="text1"/>
                <w:szCs w:val="16"/>
              </w:rPr>
              <w:t>1,846</w:t>
            </w:r>
          </w:p>
        </w:tc>
        <w:tc>
          <w:tcPr>
            <w:tcW w:w="543" w:type="pct"/>
            <w:shd w:val="clear" w:color="auto" w:fill="auto"/>
            <w:vAlign w:val="center"/>
          </w:tcPr>
          <w:p w14:paraId="07D855DC" w14:textId="52076A3B" w:rsidR="00A86385" w:rsidRPr="00781112" w:rsidRDefault="002B7490" w:rsidP="00A018D4">
            <w:pPr>
              <w:jc w:val="center"/>
              <w:rPr>
                <w:rFonts w:cs="Arial"/>
                <w:color w:val="000000" w:themeColor="text1"/>
                <w:szCs w:val="16"/>
              </w:rPr>
            </w:pPr>
            <w:r w:rsidRPr="00781112">
              <w:rPr>
                <w:rFonts w:cs="Arial"/>
                <w:color w:val="000000" w:themeColor="text1"/>
                <w:szCs w:val="16"/>
              </w:rPr>
              <w:t>68.90%</w:t>
            </w:r>
          </w:p>
        </w:tc>
        <w:tc>
          <w:tcPr>
            <w:tcW w:w="584" w:type="pct"/>
            <w:shd w:val="clear" w:color="auto" w:fill="auto"/>
            <w:vAlign w:val="center"/>
          </w:tcPr>
          <w:p w14:paraId="2830610A" w14:textId="6D7B3DE8" w:rsidR="00A86385" w:rsidRPr="00781112" w:rsidRDefault="002B7490" w:rsidP="00A018D4">
            <w:pPr>
              <w:jc w:val="center"/>
              <w:rPr>
                <w:rFonts w:cs="Arial"/>
                <w:color w:val="000000" w:themeColor="text1"/>
                <w:szCs w:val="16"/>
              </w:rPr>
            </w:pPr>
            <w:r w:rsidRPr="00781112">
              <w:rPr>
                <w:rFonts w:cs="Arial"/>
                <w:color w:val="000000" w:themeColor="text1"/>
                <w:szCs w:val="16"/>
              </w:rPr>
              <w:t>72.00%</w:t>
            </w:r>
          </w:p>
        </w:tc>
        <w:tc>
          <w:tcPr>
            <w:tcW w:w="584" w:type="pct"/>
            <w:shd w:val="clear" w:color="auto" w:fill="auto"/>
            <w:vAlign w:val="center"/>
          </w:tcPr>
          <w:p w14:paraId="12F538E0" w14:textId="1332D172" w:rsidR="00A86385" w:rsidRPr="00781112" w:rsidRDefault="002B7490" w:rsidP="00A018D4">
            <w:pPr>
              <w:jc w:val="center"/>
              <w:rPr>
                <w:rFonts w:cs="Arial"/>
                <w:color w:val="000000" w:themeColor="text1"/>
                <w:szCs w:val="16"/>
              </w:rPr>
            </w:pPr>
            <w:r w:rsidRPr="00781112">
              <w:rPr>
                <w:rFonts w:cs="Arial"/>
                <w:color w:val="000000" w:themeColor="text1"/>
                <w:szCs w:val="16"/>
              </w:rPr>
              <w:t>66.58%</w:t>
            </w:r>
          </w:p>
        </w:tc>
        <w:tc>
          <w:tcPr>
            <w:tcW w:w="486" w:type="pct"/>
            <w:shd w:val="clear" w:color="auto" w:fill="auto"/>
            <w:vAlign w:val="center"/>
          </w:tcPr>
          <w:p w14:paraId="68592CBC" w14:textId="66F66CA8"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35" w:type="pct"/>
            <w:shd w:val="clear" w:color="auto" w:fill="auto"/>
            <w:vAlign w:val="center"/>
          </w:tcPr>
          <w:p w14:paraId="0C970ED8" w14:textId="7AA3F255" w:rsidR="00A86385"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41A2A4C8" w14:textId="1A212673" w:rsidTr="00AB0D6A">
        <w:tc>
          <w:tcPr>
            <w:tcW w:w="999" w:type="pct"/>
            <w:shd w:val="clear" w:color="auto" w:fill="auto"/>
          </w:tcPr>
          <w:p w14:paraId="2DEF6925"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B2. The percent of preschool children who were functioning within age expectations in Outcome B by the time they turned 6 years of age or exited the program. </w:t>
            </w:r>
            <w:r w:rsidRPr="00266107">
              <w:rPr>
                <w:rFonts w:cs="Arial"/>
                <w:i/>
                <w:iCs/>
                <w:color w:val="000000" w:themeColor="text1"/>
                <w:szCs w:val="16"/>
              </w:rPr>
              <w:t>Calculation: (d+e)/(a+b+c+d+e)</w:t>
            </w:r>
          </w:p>
        </w:tc>
        <w:tc>
          <w:tcPr>
            <w:tcW w:w="585" w:type="pct"/>
            <w:shd w:val="clear" w:color="auto" w:fill="auto"/>
            <w:vAlign w:val="center"/>
          </w:tcPr>
          <w:p w14:paraId="3ABF54A2" w14:textId="3376A45C" w:rsidR="00A86385" w:rsidRPr="00781112" w:rsidRDefault="002B7490" w:rsidP="00A018D4">
            <w:pPr>
              <w:jc w:val="center"/>
              <w:rPr>
                <w:rFonts w:cs="Arial"/>
                <w:color w:val="000000" w:themeColor="text1"/>
                <w:szCs w:val="16"/>
              </w:rPr>
            </w:pPr>
            <w:r w:rsidRPr="00781112">
              <w:rPr>
                <w:rFonts w:cs="Arial"/>
                <w:color w:val="000000" w:themeColor="text1"/>
                <w:szCs w:val="16"/>
              </w:rPr>
              <w:t>969</w:t>
            </w:r>
          </w:p>
        </w:tc>
        <w:tc>
          <w:tcPr>
            <w:tcW w:w="585" w:type="pct"/>
            <w:shd w:val="clear" w:color="auto" w:fill="auto"/>
            <w:vAlign w:val="center"/>
          </w:tcPr>
          <w:p w14:paraId="591EA1FE" w14:textId="556EFD96" w:rsidR="00A86385" w:rsidRPr="00781112" w:rsidRDefault="002B7490" w:rsidP="00A018D4">
            <w:pPr>
              <w:jc w:val="center"/>
              <w:rPr>
                <w:rFonts w:cs="Arial"/>
                <w:color w:val="000000" w:themeColor="text1"/>
                <w:szCs w:val="16"/>
              </w:rPr>
            </w:pPr>
            <w:r w:rsidRPr="00781112">
              <w:rPr>
                <w:rFonts w:cs="Arial"/>
                <w:color w:val="000000" w:themeColor="text1"/>
                <w:szCs w:val="16"/>
              </w:rPr>
              <w:t>2,091</w:t>
            </w:r>
          </w:p>
        </w:tc>
        <w:tc>
          <w:tcPr>
            <w:tcW w:w="543" w:type="pct"/>
            <w:shd w:val="clear" w:color="auto" w:fill="auto"/>
            <w:vAlign w:val="center"/>
          </w:tcPr>
          <w:p w14:paraId="0B86042E" w14:textId="01488A08" w:rsidR="00A86385" w:rsidRPr="00781112" w:rsidRDefault="002B7490" w:rsidP="00A018D4">
            <w:pPr>
              <w:jc w:val="center"/>
              <w:rPr>
                <w:rFonts w:cs="Arial"/>
                <w:color w:val="000000" w:themeColor="text1"/>
                <w:szCs w:val="16"/>
              </w:rPr>
            </w:pPr>
            <w:r w:rsidRPr="00781112">
              <w:rPr>
                <w:rFonts w:cs="Arial"/>
                <w:color w:val="000000" w:themeColor="text1"/>
                <w:szCs w:val="16"/>
              </w:rPr>
              <w:t>45.99%</w:t>
            </w:r>
          </w:p>
        </w:tc>
        <w:tc>
          <w:tcPr>
            <w:tcW w:w="584" w:type="pct"/>
            <w:shd w:val="clear" w:color="auto" w:fill="auto"/>
            <w:vAlign w:val="center"/>
          </w:tcPr>
          <w:p w14:paraId="33474719" w14:textId="0E1ED729" w:rsidR="00A86385" w:rsidRPr="00781112" w:rsidRDefault="002B7490" w:rsidP="00A018D4">
            <w:pPr>
              <w:jc w:val="center"/>
              <w:rPr>
                <w:rFonts w:cs="Arial"/>
                <w:color w:val="000000" w:themeColor="text1"/>
                <w:szCs w:val="16"/>
              </w:rPr>
            </w:pPr>
            <w:r w:rsidRPr="00781112">
              <w:rPr>
                <w:rFonts w:cs="Arial"/>
                <w:color w:val="000000" w:themeColor="text1"/>
                <w:szCs w:val="16"/>
              </w:rPr>
              <w:t>57.00%</w:t>
            </w:r>
          </w:p>
        </w:tc>
        <w:tc>
          <w:tcPr>
            <w:tcW w:w="584" w:type="pct"/>
            <w:shd w:val="clear" w:color="auto" w:fill="auto"/>
            <w:vAlign w:val="center"/>
          </w:tcPr>
          <w:p w14:paraId="073970A2" w14:textId="5A7FF3FA" w:rsidR="00A86385" w:rsidRPr="00781112" w:rsidRDefault="002B7490" w:rsidP="00A018D4">
            <w:pPr>
              <w:jc w:val="center"/>
              <w:rPr>
                <w:rFonts w:cs="Arial"/>
                <w:color w:val="000000" w:themeColor="text1"/>
                <w:szCs w:val="16"/>
              </w:rPr>
            </w:pPr>
            <w:r w:rsidRPr="00781112">
              <w:rPr>
                <w:rFonts w:cs="Arial"/>
                <w:color w:val="000000" w:themeColor="text1"/>
                <w:szCs w:val="16"/>
              </w:rPr>
              <w:t>46.34%</w:t>
            </w:r>
          </w:p>
        </w:tc>
        <w:tc>
          <w:tcPr>
            <w:tcW w:w="486" w:type="pct"/>
            <w:shd w:val="clear" w:color="auto" w:fill="auto"/>
            <w:vAlign w:val="center"/>
          </w:tcPr>
          <w:p w14:paraId="2B7E9ACC" w14:textId="45CB2456"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35" w:type="pct"/>
            <w:shd w:val="clear" w:color="auto" w:fill="auto"/>
            <w:vAlign w:val="center"/>
          </w:tcPr>
          <w:p w14:paraId="04CCC32D" w14:textId="64DEC314"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12AAE7F9" w14:textId="77777777" w:rsidR="00A80FEB" w:rsidRPr="00781112" w:rsidRDefault="00A80FEB" w:rsidP="004369B2">
      <w:pPr>
        <w:rPr>
          <w:color w:val="000000" w:themeColor="text1"/>
        </w:rPr>
      </w:pPr>
      <w:r w:rsidRPr="00781112">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C"/>
      </w:tblPr>
      <w:tblGrid>
        <w:gridCol w:w="7227"/>
        <w:gridCol w:w="1783"/>
        <w:gridCol w:w="1780"/>
      </w:tblGrid>
      <w:tr w:rsidR="005C29F8" w:rsidRPr="00781112" w14:paraId="5A5015FC" w14:textId="4FA08BD6" w:rsidTr="0033429D">
        <w:trPr>
          <w:trHeight w:val="361"/>
          <w:tblHeader/>
        </w:trPr>
        <w:tc>
          <w:tcPr>
            <w:tcW w:w="3349" w:type="pct"/>
            <w:shd w:val="clear" w:color="auto" w:fill="auto"/>
            <w:vAlign w:val="bottom"/>
          </w:tcPr>
          <w:p w14:paraId="4191FDB2" w14:textId="72ED8C9D" w:rsidR="002F2379" w:rsidRPr="00781112" w:rsidRDefault="009028CA" w:rsidP="0024351A">
            <w:pPr>
              <w:rPr>
                <w:rFonts w:cs="Arial"/>
                <w:color w:val="000000" w:themeColor="text1"/>
                <w:szCs w:val="16"/>
              </w:rPr>
            </w:pPr>
            <w:r w:rsidRPr="00781112">
              <w:rPr>
                <w:rFonts w:cs="Arial"/>
                <w:b/>
                <w:color w:val="000000" w:themeColor="text1"/>
                <w:szCs w:val="16"/>
              </w:rPr>
              <w:lastRenderedPageBreak/>
              <w:t xml:space="preserve">Outcome C </w:t>
            </w:r>
            <w:r w:rsidRPr="00781112">
              <w:rPr>
                <w:rFonts w:cs="Arial"/>
                <w:b/>
                <w:bCs/>
                <w:color w:val="000000" w:themeColor="text1"/>
                <w:szCs w:val="16"/>
              </w:rPr>
              <w:t>Progress Categor</w:t>
            </w:r>
            <w:r w:rsidR="00E91363" w:rsidRPr="00781112">
              <w:rPr>
                <w:rFonts w:cs="Arial"/>
                <w:b/>
                <w:bCs/>
                <w:color w:val="000000" w:themeColor="text1"/>
                <w:szCs w:val="16"/>
              </w:rPr>
              <w:t>y</w:t>
            </w:r>
          </w:p>
        </w:tc>
        <w:tc>
          <w:tcPr>
            <w:tcW w:w="826" w:type="pct"/>
            <w:shd w:val="clear" w:color="auto" w:fill="auto"/>
            <w:vAlign w:val="bottom"/>
          </w:tcPr>
          <w:p w14:paraId="18BE5F06" w14:textId="77777777" w:rsidR="002F2379" w:rsidRPr="00781112" w:rsidRDefault="002F2379"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D2176F1" w14:textId="0AB04833" w:rsidR="002F2379" w:rsidRPr="00781112" w:rsidRDefault="002F2379"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91128D7" w14:textId="67DCF276" w:rsidTr="00AB0D6A">
        <w:trPr>
          <w:trHeight w:val="361"/>
        </w:trPr>
        <w:tc>
          <w:tcPr>
            <w:tcW w:w="3349" w:type="pct"/>
            <w:shd w:val="clear" w:color="auto" w:fill="auto"/>
          </w:tcPr>
          <w:p w14:paraId="4D685636"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36C04483" w14:textId="33014E3B" w:rsidR="00A86385" w:rsidRPr="00781112" w:rsidRDefault="002B7490" w:rsidP="00A018D4">
            <w:pPr>
              <w:jc w:val="center"/>
              <w:rPr>
                <w:rFonts w:cs="Arial"/>
                <w:color w:val="000000" w:themeColor="text1"/>
                <w:szCs w:val="16"/>
              </w:rPr>
            </w:pPr>
            <w:r w:rsidRPr="00781112">
              <w:rPr>
                <w:rFonts w:cs="Arial"/>
                <w:color w:val="000000" w:themeColor="text1"/>
                <w:szCs w:val="16"/>
              </w:rPr>
              <w:t>318</w:t>
            </w:r>
          </w:p>
        </w:tc>
        <w:tc>
          <w:tcPr>
            <w:tcW w:w="825" w:type="pct"/>
            <w:shd w:val="clear" w:color="auto" w:fill="auto"/>
            <w:vAlign w:val="center"/>
          </w:tcPr>
          <w:p w14:paraId="224E7CD3" w14:textId="5C0B6B10" w:rsidR="00A86385" w:rsidRPr="00781112" w:rsidRDefault="002B7490" w:rsidP="00A018D4">
            <w:pPr>
              <w:jc w:val="center"/>
              <w:rPr>
                <w:rFonts w:cs="Arial"/>
                <w:color w:val="000000" w:themeColor="text1"/>
                <w:szCs w:val="16"/>
              </w:rPr>
            </w:pPr>
            <w:r w:rsidRPr="00781112">
              <w:rPr>
                <w:rFonts w:cs="Arial"/>
                <w:color w:val="000000" w:themeColor="text1"/>
                <w:szCs w:val="16"/>
              </w:rPr>
              <w:t>15.21%</w:t>
            </w:r>
          </w:p>
        </w:tc>
      </w:tr>
      <w:tr w:rsidR="005C29F8" w:rsidRPr="00781112" w14:paraId="0DFF86FC" w14:textId="381769F8" w:rsidTr="00AB0D6A">
        <w:trPr>
          <w:trHeight w:val="361"/>
        </w:trPr>
        <w:tc>
          <w:tcPr>
            <w:tcW w:w="3349" w:type="pct"/>
            <w:shd w:val="clear" w:color="auto" w:fill="auto"/>
          </w:tcPr>
          <w:p w14:paraId="72586C03"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453499DD" w14:textId="60CEBF1E" w:rsidR="00A86385" w:rsidRPr="00781112" w:rsidRDefault="002B7490" w:rsidP="00A018D4">
            <w:pPr>
              <w:jc w:val="center"/>
              <w:rPr>
                <w:rFonts w:cs="Arial"/>
                <w:color w:val="000000" w:themeColor="text1"/>
                <w:szCs w:val="16"/>
              </w:rPr>
            </w:pPr>
            <w:r w:rsidRPr="00781112">
              <w:rPr>
                <w:rFonts w:cs="Arial"/>
                <w:color w:val="000000" w:themeColor="text1"/>
                <w:szCs w:val="16"/>
              </w:rPr>
              <w:t>453</w:t>
            </w:r>
          </w:p>
        </w:tc>
        <w:tc>
          <w:tcPr>
            <w:tcW w:w="825" w:type="pct"/>
            <w:shd w:val="clear" w:color="auto" w:fill="auto"/>
            <w:vAlign w:val="center"/>
          </w:tcPr>
          <w:p w14:paraId="75491539" w14:textId="4C6956ED" w:rsidR="00A86385" w:rsidRPr="00781112" w:rsidRDefault="002B7490" w:rsidP="00A018D4">
            <w:pPr>
              <w:jc w:val="center"/>
              <w:rPr>
                <w:rFonts w:cs="Arial"/>
                <w:color w:val="000000" w:themeColor="text1"/>
                <w:szCs w:val="16"/>
              </w:rPr>
            </w:pPr>
            <w:r w:rsidRPr="00781112">
              <w:rPr>
                <w:rFonts w:cs="Arial"/>
                <w:color w:val="000000" w:themeColor="text1"/>
                <w:szCs w:val="16"/>
              </w:rPr>
              <w:t>21.66%</w:t>
            </w:r>
          </w:p>
        </w:tc>
      </w:tr>
      <w:tr w:rsidR="005C29F8" w:rsidRPr="00781112" w14:paraId="055A4C9A" w14:textId="0FC02C83" w:rsidTr="00AB0D6A">
        <w:trPr>
          <w:trHeight w:val="395"/>
        </w:trPr>
        <w:tc>
          <w:tcPr>
            <w:tcW w:w="3349" w:type="pct"/>
            <w:shd w:val="clear" w:color="auto" w:fill="auto"/>
          </w:tcPr>
          <w:p w14:paraId="1EEA20E7"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16FD0FF8" w14:textId="15197C29" w:rsidR="00A86385" w:rsidRPr="00781112" w:rsidRDefault="002B7490" w:rsidP="00A018D4">
            <w:pPr>
              <w:jc w:val="center"/>
              <w:rPr>
                <w:rFonts w:cs="Arial"/>
                <w:color w:val="000000" w:themeColor="text1"/>
                <w:szCs w:val="16"/>
              </w:rPr>
            </w:pPr>
            <w:r w:rsidRPr="00781112">
              <w:rPr>
                <w:rFonts w:cs="Arial"/>
                <w:color w:val="000000" w:themeColor="text1"/>
                <w:szCs w:val="16"/>
              </w:rPr>
              <w:t>664</w:t>
            </w:r>
          </w:p>
        </w:tc>
        <w:tc>
          <w:tcPr>
            <w:tcW w:w="825" w:type="pct"/>
            <w:shd w:val="clear" w:color="auto" w:fill="auto"/>
            <w:vAlign w:val="center"/>
          </w:tcPr>
          <w:p w14:paraId="5A785A5B" w14:textId="096612D9" w:rsidR="00A86385" w:rsidRPr="00781112" w:rsidRDefault="002B7490" w:rsidP="00A018D4">
            <w:pPr>
              <w:jc w:val="center"/>
              <w:rPr>
                <w:rFonts w:cs="Arial"/>
                <w:color w:val="000000" w:themeColor="text1"/>
                <w:szCs w:val="16"/>
              </w:rPr>
            </w:pPr>
            <w:r w:rsidRPr="00781112">
              <w:rPr>
                <w:rFonts w:cs="Arial"/>
                <w:color w:val="000000" w:themeColor="text1"/>
                <w:szCs w:val="16"/>
              </w:rPr>
              <w:t>31.76%</w:t>
            </w:r>
          </w:p>
        </w:tc>
      </w:tr>
      <w:tr w:rsidR="005C29F8" w:rsidRPr="00781112" w14:paraId="116C43B5" w14:textId="562F3ACF" w:rsidTr="00AB0D6A">
        <w:trPr>
          <w:trHeight w:val="361"/>
        </w:trPr>
        <w:tc>
          <w:tcPr>
            <w:tcW w:w="3349" w:type="pct"/>
            <w:shd w:val="clear" w:color="auto" w:fill="auto"/>
          </w:tcPr>
          <w:p w14:paraId="74396990"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5993AD4D" w14:textId="0747815C" w:rsidR="00A86385" w:rsidRPr="00781112" w:rsidRDefault="002B7490" w:rsidP="00A018D4">
            <w:pPr>
              <w:jc w:val="center"/>
              <w:rPr>
                <w:rFonts w:cs="Arial"/>
                <w:color w:val="000000" w:themeColor="text1"/>
                <w:szCs w:val="16"/>
              </w:rPr>
            </w:pPr>
            <w:r w:rsidRPr="00781112">
              <w:rPr>
                <w:rFonts w:cs="Arial"/>
                <w:color w:val="000000" w:themeColor="text1"/>
                <w:szCs w:val="16"/>
              </w:rPr>
              <w:t>502</w:t>
            </w:r>
          </w:p>
        </w:tc>
        <w:tc>
          <w:tcPr>
            <w:tcW w:w="825" w:type="pct"/>
            <w:shd w:val="clear" w:color="auto" w:fill="auto"/>
            <w:vAlign w:val="center"/>
          </w:tcPr>
          <w:p w14:paraId="6CF00AA9" w14:textId="2DDC2AAD" w:rsidR="00A86385" w:rsidRPr="00781112" w:rsidRDefault="002B7490" w:rsidP="00A018D4">
            <w:pPr>
              <w:jc w:val="center"/>
              <w:rPr>
                <w:rFonts w:cs="Arial"/>
                <w:color w:val="000000" w:themeColor="text1"/>
                <w:szCs w:val="16"/>
              </w:rPr>
            </w:pPr>
            <w:r w:rsidRPr="00781112">
              <w:rPr>
                <w:rFonts w:cs="Arial"/>
                <w:color w:val="000000" w:themeColor="text1"/>
                <w:szCs w:val="16"/>
              </w:rPr>
              <w:t>24.01%</w:t>
            </w:r>
          </w:p>
        </w:tc>
      </w:tr>
      <w:tr w:rsidR="005C29F8" w:rsidRPr="00781112" w14:paraId="4BA9BE51" w14:textId="4FD5F213" w:rsidTr="00AB0D6A">
        <w:trPr>
          <w:trHeight w:val="361"/>
        </w:trPr>
        <w:tc>
          <w:tcPr>
            <w:tcW w:w="3349" w:type="pct"/>
            <w:shd w:val="clear" w:color="auto" w:fill="auto"/>
          </w:tcPr>
          <w:p w14:paraId="016E3D57"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D33EA20" w14:textId="42CC1D2C" w:rsidR="00A86385" w:rsidRPr="00781112" w:rsidRDefault="002B7490" w:rsidP="00A018D4">
            <w:pPr>
              <w:jc w:val="center"/>
              <w:rPr>
                <w:rFonts w:cs="Arial"/>
                <w:color w:val="000000" w:themeColor="text1"/>
                <w:szCs w:val="16"/>
              </w:rPr>
            </w:pPr>
            <w:r w:rsidRPr="00781112">
              <w:rPr>
                <w:rFonts w:cs="Arial"/>
                <w:color w:val="000000" w:themeColor="text1"/>
                <w:szCs w:val="16"/>
              </w:rPr>
              <w:t>154</w:t>
            </w:r>
          </w:p>
        </w:tc>
        <w:tc>
          <w:tcPr>
            <w:tcW w:w="825" w:type="pct"/>
            <w:shd w:val="clear" w:color="auto" w:fill="auto"/>
            <w:vAlign w:val="center"/>
          </w:tcPr>
          <w:p w14:paraId="5DB4A655" w14:textId="2961CB8C" w:rsidR="00A86385" w:rsidRPr="00781112" w:rsidRDefault="002B7490" w:rsidP="00A018D4">
            <w:pPr>
              <w:jc w:val="center"/>
              <w:rPr>
                <w:rFonts w:cs="Arial"/>
                <w:color w:val="000000" w:themeColor="text1"/>
                <w:szCs w:val="16"/>
              </w:rPr>
            </w:pPr>
            <w:r w:rsidRPr="00781112">
              <w:rPr>
                <w:rFonts w:cs="Arial"/>
                <w:color w:val="000000" w:themeColor="text1"/>
                <w:szCs w:val="16"/>
              </w:rPr>
              <w:t>7.36%</w:t>
            </w:r>
          </w:p>
        </w:tc>
      </w:tr>
    </w:tbl>
    <w:p w14:paraId="49F715FF"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CDATA"/>
      </w:tblPr>
      <w:tblGrid>
        <w:gridCol w:w="2156"/>
        <w:gridCol w:w="1260"/>
        <w:gridCol w:w="1260"/>
        <w:gridCol w:w="1172"/>
        <w:gridCol w:w="1260"/>
        <w:gridCol w:w="1349"/>
        <w:gridCol w:w="991"/>
        <w:gridCol w:w="1342"/>
      </w:tblGrid>
      <w:tr w:rsidR="005C29F8" w:rsidRPr="00781112" w14:paraId="6D854191" w14:textId="189CF04C" w:rsidTr="00AB0D6A">
        <w:trPr>
          <w:trHeight w:val="354"/>
          <w:tblHeader/>
        </w:trPr>
        <w:tc>
          <w:tcPr>
            <w:tcW w:w="999" w:type="pct"/>
            <w:shd w:val="clear" w:color="auto" w:fill="auto"/>
            <w:vAlign w:val="bottom"/>
          </w:tcPr>
          <w:p w14:paraId="2713B90C" w14:textId="70596E6D" w:rsidR="002F2379" w:rsidRPr="00781112" w:rsidRDefault="009028CA" w:rsidP="0033429D">
            <w:pPr>
              <w:rPr>
                <w:rFonts w:cs="Arial"/>
                <w:b/>
                <w:bCs/>
                <w:color w:val="000000" w:themeColor="text1"/>
                <w:szCs w:val="16"/>
              </w:rPr>
            </w:pPr>
            <w:r w:rsidRPr="00781112">
              <w:rPr>
                <w:rFonts w:cs="Arial"/>
                <w:b/>
                <w:bCs/>
                <w:color w:val="000000" w:themeColor="text1"/>
                <w:szCs w:val="16"/>
              </w:rPr>
              <w:t>Outcome C</w:t>
            </w:r>
          </w:p>
        </w:tc>
        <w:tc>
          <w:tcPr>
            <w:tcW w:w="584" w:type="pct"/>
            <w:shd w:val="clear" w:color="auto" w:fill="auto"/>
            <w:vAlign w:val="bottom"/>
          </w:tcPr>
          <w:p w14:paraId="3AAEB9EE" w14:textId="77777777" w:rsidR="002F2379" w:rsidRPr="00781112" w:rsidRDefault="002F2379" w:rsidP="00681BA6">
            <w:pPr>
              <w:jc w:val="center"/>
              <w:rPr>
                <w:rFonts w:cs="Arial"/>
                <w:b/>
                <w:color w:val="000000" w:themeColor="text1"/>
                <w:szCs w:val="16"/>
              </w:rPr>
            </w:pPr>
            <w:r w:rsidRPr="00781112">
              <w:rPr>
                <w:rFonts w:cs="Arial"/>
                <w:b/>
                <w:color w:val="000000" w:themeColor="text1"/>
                <w:szCs w:val="16"/>
              </w:rPr>
              <w:t>Numerator</w:t>
            </w:r>
          </w:p>
        </w:tc>
        <w:tc>
          <w:tcPr>
            <w:tcW w:w="584" w:type="pct"/>
            <w:shd w:val="clear" w:color="auto" w:fill="auto"/>
            <w:vAlign w:val="bottom"/>
          </w:tcPr>
          <w:p w14:paraId="5C1FBE9E" w14:textId="77777777" w:rsidR="002F2379" w:rsidRPr="00781112" w:rsidRDefault="002F2379" w:rsidP="00681BA6">
            <w:pPr>
              <w:jc w:val="center"/>
              <w:rPr>
                <w:rFonts w:cs="Arial"/>
                <w:b/>
                <w:color w:val="000000" w:themeColor="text1"/>
                <w:szCs w:val="16"/>
              </w:rPr>
            </w:pPr>
            <w:r w:rsidRPr="00781112">
              <w:rPr>
                <w:rFonts w:cs="Arial"/>
                <w:b/>
                <w:color w:val="000000" w:themeColor="text1"/>
                <w:szCs w:val="16"/>
              </w:rPr>
              <w:t>Denominator</w:t>
            </w:r>
          </w:p>
        </w:tc>
        <w:tc>
          <w:tcPr>
            <w:tcW w:w="543" w:type="pct"/>
            <w:shd w:val="clear" w:color="auto" w:fill="auto"/>
            <w:vAlign w:val="bottom"/>
          </w:tcPr>
          <w:p w14:paraId="7E124690" w14:textId="1B140509" w:rsidR="002F2379" w:rsidRPr="00781112" w:rsidRDefault="00B954DC" w:rsidP="00681BA6">
            <w:pPr>
              <w:jc w:val="center"/>
              <w:rPr>
                <w:rFonts w:cs="Arial"/>
                <w:b/>
                <w:color w:val="000000" w:themeColor="text1"/>
                <w:szCs w:val="16"/>
              </w:rPr>
            </w:pPr>
            <w:r w:rsidRPr="00781112">
              <w:rPr>
                <w:rFonts w:cs="Arial"/>
                <w:b/>
                <w:color w:val="000000" w:themeColor="text1"/>
                <w:szCs w:val="16"/>
              </w:rPr>
              <w:t>FFY 201</w:t>
            </w:r>
            <w:r w:rsidR="009B0EF0">
              <w:rPr>
                <w:rFonts w:cs="Arial"/>
                <w:b/>
                <w:color w:val="000000" w:themeColor="text1"/>
                <w:szCs w:val="16"/>
              </w:rPr>
              <w:t>9</w:t>
            </w:r>
            <w:r w:rsidRPr="00781112">
              <w:rPr>
                <w:rFonts w:cs="Arial"/>
                <w:b/>
                <w:color w:val="000000" w:themeColor="text1"/>
                <w:szCs w:val="16"/>
              </w:rPr>
              <w:t xml:space="preserve"> Data</w:t>
            </w:r>
          </w:p>
        </w:tc>
        <w:tc>
          <w:tcPr>
            <w:tcW w:w="584" w:type="pct"/>
            <w:shd w:val="clear" w:color="auto" w:fill="auto"/>
            <w:vAlign w:val="bottom"/>
          </w:tcPr>
          <w:p w14:paraId="7E59D447" w14:textId="0D27A55B" w:rsidR="002F2379" w:rsidRPr="00781112" w:rsidRDefault="00F6415A" w:rsidP="00681BA6">
            <w:pPr>
              <w:jc w:val="center"/>
              <w:rPr>
                <w:rFonts w:cs="Arial"/>
                <w:b/>
                <w:color w:val="000000" w:themeColor="text1"/>
                <w:szCs w:val="16"/>
              </w:rPr>
            </w:pPr>
            <w:r w:rsidRPr="00781112">
              <w:rPr>
                <w:rFonts w:cs="Arial"/>
                <w:b/>
                <w:color w:val="000000" w:themeColor="text1"/>
                <w:szCs w:val="16"/>
              </w:rPr>
              <w:t>FFY 2020 Target</w:t>
            </w:r>
          </w:p>
        </w:tc>
        <w:tc>
          <w:tcPr>
            <w:tcW w:w="625" w:type="pct"/>
            <w:shd w:val="clear" w:color="auto" w:fill="auto"/>
            <w:vAlign w:val="bottom"/>
          </w:tcPr>
          <w:p w14:paraId="48E0A776" w14:textId="44FF5B2A" w:rsidR="002F2379" w:rsidRPr="00781112" w:rsidRDefault="00F6415A" w:rsidP="00681BA6">
            <w:pPr>
              <w:jc w:val="center"/>
              <w:rPr>
                <w:rFonts w:cs="Arial"/>
                <w:b/>
                <w:color w:val="000000" w:themeColor="text1"/>
                <w:szCs w:val="16"/>
              </w:rPr>
            </w:pPr>
            <w:r w:rsidRPr="00781112">
              <w:rPr>
                <w:rFonts w:cs="Arial"/>
                <w:b/>
                <w:color w:val="000000" w:themeColor="text1"/>
                <w:szCs w:val="16"/>
              </w:rPr>
              <w:t>FFY 2020 Data</w:t>
            </w:r>
          </w:p>
        </w:tc>
        <w:tc>
          <w:tcPr>
            <w:tcW w:w="459" w:type="pct"/>
            <w:shd w:val="clear" w:color="auto" w:fill="auto"/>
            <w:vAlign w:val="bottom"/>
          </w:tcPr>
          <w:p w14:paraId="1271E5C2" w14:textId="7C29A2B3" w:rsidR="002F2379" w:rsidRPr="00781112" w:rsidRDefault="002F2379" w:rsidP="00681BA6">
            <w:pPr>
              <w:jc w:val="center"/>
              <w:rPr>
                <w:rFonts w:cs="Arial"/>
                <w:b/>
                <w:color w:val="000000" w:themeColor="text1"/>
                <w:szCs w:val="16"/>
              </w:rPr>
            </w:pPr>
            <w:r w:rsidRPr="00781112">
              <w:rPr>
                <w:rFonts w:cs="Arial"/>
                <w:b/>
                <w:color w:val="000000" w:themeColor="text1"/>
                <w:szCs w:val="16"/>
              </w:rPr>
              <w:t>Status</w:t>
            </w:r>
          </w:p>
        </w:tc>
        <w:tc>
          <w:tcPr>
            <w:tcW w:w="622" w:type="pct"/>
            <w:shd w:val="clear" w:color="auto" w:fill="auto"/>
            <w:vAlign w:val="bottom"/>
          </w:tcPr>
          <w:p w14:paraId="57BB5D90" w14:textId="5C773F81" w:rsidR="002F2379" w:rsidRPr="00781112" w:rsidRDefault="002F2379"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060DACA6" w14:textId="4A0141DE" w:rsidTr="00AB0D6A">
        <w:trPr>
          <w:trHeight w:val="361"/>
        </w:trPr>
        <w:tc>
          <w:tcPr>
            <w:tcW w:w="999" w:type="pct"/>
            <w:shd w:val="clear" w:color="auto" w:fill="auto"/>
          </w:tcPr>
          <w:p w14:paraId="53F10B71" w14:textId="77777777" w:rsidR="00757D21" w:rsidRPr="00781112" w:rsidRDefault="00A86385" w:rsidP="00E526FC">
            <w:pPr>
              <w:rPr>
                <w:rFonts w:cs="Arial"/>
                <w:color w:val="000000" w:themeColor="text1"/>
                <w:szCs w:val="16"/>
              </w:rPr>
            </w:pPr>
            <w:r w:rsidRPr="00781112">
              <w:rPr>
                <w:rFonts w:cs="Arial"/>
                <w:color w:val="000000" w:themeColor="text1"/>
                <w:szCs w:val="16"/>
              </w:rPr>
              <w:t>C1. Of those children who entered or exited the program below age expectations in Outcome C, the percent who substantially increased their rate of growth by the time they turned 6 years of age or exited the program.</w:t>
            </w:r>
          </w:p>
          <w:p w14:paraId="78844CD5" w14:textId="49EF12B7" w:rsidR="00A86385" w:rsidRPr="00781112" w:rsidRDefault="00757D21" w:rsidP="00E526FC">
            <w:pPr>
              <w:rPr>
                <w:rFonts w:cs="Arial"/>
                <w:color w:val="000000" w:themeColor="text1"/>
                <w:szCs w:val="16"/>
              </w:rPr>
            </w:pPr>
            <w:r w:rsidRPr="00781112">
              <w:rPr>
                <w:rFonts w:cs="Arial"/>
                <w:i/>
                <w:iCs/>
                <w:color w:val="C00000"/>
                <w:szCs w:val="16"/>
              </w:rPr>
              <w:t>Calculation:(c+d)/(a+b+c+d)</w:t>
            </w:r>
            <w:r w:rsidR="00A86385" w:rsidRPr="00781112">
              <w:rPr>
                <w:rFonts w:cs="Arial"/>
                <w:color w:val="000000" w:themeColor="text1"/>
                <w:szCs w:val="16"/>
              </w:rPr>
              <w:t xml:space="preserve"> </w:t>
            </w:r>
          </w:p>
        </w:tc>
        <w:tc>
          <w:tcPr>
            <w:tcW w:w="584" w:type="pct"/>
            <w:shd w:val="clear" w:color="auto" w:fill="auto"/>
            <w:vAlign w:val="center"/>
          </w:tcPr>
          <w:p w14:paraId="06847B86" w14:textId="57D8DF81" w:rsidR="00A86385" w:rsidRPr="00781112" w:rsidRDefault="002B7490" w:rsidP="00A018D4">
            <w:pPr>
              <w:jc w:val="center"/>
              <w:rPr>
                <w:rFonts w:cs="Arial"/>
                <w:color w:val="000000" w:themeColor="text1"/>
                <w:szCs w:val="16"/>
              </w:rPr>
            </w:pPr>
            <w:r w:rsidRPr="00781112">
              <w:rPr>
                <w:rFonts w:cs="Arial"/>
                <w:color w:val="000000" w:themeColor="text1"/>
                <w:szCs w:val="16"/>
              </w:rPr>
              <w:t>1,166</w:t>
            </w:r>
          </w:p>
        </w:tc>
        <w:tc>
          <w:tcPr>
            <w:tcW w:w="584" w:type="pct"/>
            <w:shd w:val="clear" w:color="auto" w:fill="auto"/>
            <w:vAlign w:val="center"/>
          </w:tcPr>
          <w:p w14:paraId="238365C6" w14:textId="3568431D" w:rsidR="00A86385" w:rsidRPr="00781112" w:rsidRDefault="002B7490" w:rsidP="00A018D4">
            <w:pPr>
              <w:jc w:val="center"/>
              <w:rPr>
                <w:rFonts w:cs="Arial"/>
                <w:color w:val="000000" w:themeColor="text1"/>
                <w:szCs w:val="16"/>
              </w:rPr>
            </w:pPr>
            <w:r w:rsidRPr="00781112">
              <w:rPr>
                <w:rFonts w:cs="Arial"/>
                <w:color w:val="000000" w:themeColor="text1"/>
                <w:szCs w:val="16"/>
              </w:rPr>
              <w:t>1,937</w:t>
            </w:r>
          </w:p>
        </w:tc>
        <w:tc>
          <w:tcPr>
            <w:tcW w:w="543" w:type="pct"/>
            <w:shd w:val="clear" w:color="auto" w:fill="auto"/>
            <w:vAlign w:val="center"/>
          </w:tcPr>
          <w:p w14:paraId="4D92698F" w14:textId="1CB8B6A4" w:rsidR="00A86385" w:rsidRPr="00781112" w:rsidRDefault="002B7490" w:rsidP="00A018D4">
            <w:pPr>
              <w:jc w:val="center"/>
              <w:rPr>
                <w:rFonts w:cs="Arial"/>
                <w:color w:val="000000" w:themeColor="text1"/>
                <w:szCs w:val="16"/>
              </w:rPr>
            </w:pPr>
            <w:r w:rsidRPr="00781112">
              <w:rPr>
                <w:rFonts w:cs="Arial"/>
                <w:color w:val="000000" w:themeColor="text1"/>
                <w:szCs w:val="16"/>
              </w:rPr>
              <w:t>54.70%</w:t>
            </w:r>
          </w:p>
        </w:tc>
        <w:tc>
          <w:tcPr>
            <w:tcW w:w="584" w:type="pct"/>
            <w:shd w:val="clear" w:color="auto" w:fill="auto"/>
            <w:vAlign w:val="center"/>
          </w:tcPr>
          <w:p w14:paraId="282346A8" w14:textId="638BF2E5" w:rsidR="00A86385" w:rsidRPr="00781112" w:rsidRDefault="002B7490" w:rsidP="00A018D4">
            <w:pPr>
              <w:jc w:val="center"/>
              <w:rPr>
                <w:rFonts w:cs="Arial"/>
                <w:color w:val="000000" w:themeColor="text1"/>
                <w:szCs w:val="16"/>
              </w:rPr>
            </w:pPr>
            <w:r w:rsidRPr="00781112">
              <w:rPr>
                <w:rFonts w:cs="Arial"/>
                <w:color w:val="000000" w:themeColor="text1"/>
                <w:szCs w:val="16"/>
              </w:rPr>
              <w:t>72.50%</w:t>
            </w:r>
          </w:p>
        </w:tc>
        <w:tc>
          <w:tcPr>
            <w:tcW w:w="625" w:type="pct"/>
            <w:shd w:val="clear" w:color="auto" w:fill="auto"/>
            <w:vAlign w:val="center"/>
          </w:tcPr>
          <w:p w14:paraId="02E42936" w14:textId="312E4B4A" w:rsidR="00A86385" w:rsidRPr="00781112" w:rsidRDefault="002B7490" w:rsidP="00A018D4">
            <w:pPr>
              <w:jc w:val="center"/>
              <w:rPr>
                <w:rFonts w:cs="Arial"/>
                <w:color w:val="000000" w:themeColor="text1"/>
                <w:szCs w:val="16"/>
              </w:rPr>
            </w:pPr>
            <w:r w:rsidRPr="00781112">
              <w:rPr>
                <w:rFonts w:cs="Arial"/>
                <w:color w:val="000000" w:themeColor="text1"/>
                <w:szCs w:val="16"/>
              </w:rPr>
              <w:t>60.20%</w:t>
            </w:r>
          </w:p>
        </w:tc>
        <w:tc>
          <w:tcPr>
            <w:tcW w:w="459" w:type="pct"/>
            <w:shd w:val="clear" w:color="auto" w:fill="auto"/>
            <w:vAlign w:val="center"/>
          </w:tcPr>
          <w:p w14:paraId="1B13A98E" w14:textId="3F3B6900"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2" w:type="pct"/>
            <w:shd w:val="clear" w:color="auto" w:fill="auto"/>
            <w:vAlign w:val="center"/>
          </w:tcPr>
          <w:p w14:paraId="2D48B259" w14:textId="3185C0C7"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01CBC0C6" w14:textId="58EECBDC" w:rsidTr="00AB0D6A">
        <w:trPr>
          <w:trHeight w:val="361"/>
        </w:trPr>
        <w:tc>
          <w:tcPr>
            <w:tcW w:w="999" w:type="pct"/>
            <w:shd w:val="clear" w:color="auto" w:fill="auto"/>
          </w:tcPr>
          <w:p w14:paraId="080A6F16" w14:textId="77777777" w:rsidR="00A86385" w:rsidRPr="00781112" w:rsidRDefault="00A86385" w:rsidP="00E526FC">
            <w:pPr>
              <w:rPr>
                <w:rFonts w:cs="Arial"/>
                <w:color w:val="000000" w:themeColor="text1"/>
                <w:szCs w:val="16"/>
              </w:rPr>
            </w:pPr>
            <w:r w:rsidRPr="00781112">
              <w:rPr>
                <w:rFonts w:cs="Arial"/>
                <w:color w:val="000000" w:themeColor="text1"/>
                <w:szCs w:val="16"/>
              </w:rPr>
              <w:t xml:space="preserve">C2. The percent of preschool children who were functioning within age expectations in Outcome C by the time they turned 6 years of age or exited the program. </w:t>
            </w:r>
          </w:p>
          <w:p w14:paraId="3AD697BE" w14:textId="13545BB0" w:rsidR="00757D21" w:rsidRPr="0075451F" w:rsidRDefault="00757D21" w:rsidP="00E526FC">
            <w:pPr>
              <w:rPr>
                <w:rFonts w:cs="Arial"/>
                <w:color w:val="000000" w:themeColor="text1"/>
                <w:szCs w:val="16"/>
                <w:lang w:val="es-ES"/>
              </w:rPr>
            </w:pPr>
            <w:r w:rsidRPr="0075451F">
              <w:rPr>
                <w:rFonts w:cs="Arial"/>
                <w:i/>
                <w:iCs/>
                <w:color w:val="C00000"/>
                <w:szCs w:val="16"/>
                <w:lang w:val="es-ES"/>
              </w:rPr>
              <w:t>Calculation: (d+e)/(a+b+c+d+e)</w:t>
            </w:r>
          </w:p>
        </w:tc>
        <w:tc>
          <w:tcPr>
            <w:tcW w:w="584" w:type="pct"/>
            <w:shd w:val="clear" w:color="auto" w:fill="auto"/>
            <w:vAlign w:val="center"/>
          </w:tcPr>
          <w:p w14:paraId="55881F07" w14:textId="24379895" w:rsidR="00E526FC" w:rsidRPr="00781112" w:rsidRDefault="002B7490" w:rsidP="00A018D4">
            <w:pPr>
              <w:jc w:val="center"/>
              <w:rPr>
                <w:rFonts w:cs="Arial"/>
                <w:color w:val="000000" w:themeColor="text1"/>
                <w:szCs w:val="16"/>
              </w:rPr>
            </w:pPr>
            <w:r w:rsidRPr="00781112">
              <w:rPr>
                <w:rFonts w:cs="Arial"/>
                <w:color w:val="000000" w:themeColor="text1"/>
                <w:szCs w:val="16"/>
              </w:rPr>
              <w:t>656</w:t>
            </w:r>
          </w:p>
        </w:tc>
        <w:tc>
          <w:tcPr>
            <w:tcW w:w="584" w:type="pct"/>
            <w:shd w:val="clear" w:color="auto" w:fill="auto"/>
            <w:vAlign w:val="center"/>
          </w:tcPr>
          <w:p w14:paraId="621B2290" w14:textId="0CB78FA1" w:rsidR="00E526FC" w:rsidRPr="00781112" w:rsidRDefault="002B7490" w:rsidP="00A018D4">
            <w:pPr>
              <w:jc w:val="center"/>
              <w:rPr>
                <w:rFonts w:cs="Arial"/>
                <w:color w:val="000000" w:themeColor="text1"/>
                <w:szCs w:val="16"/>
              </w:rPr>
            </w:pPr>
            <w:r w:rsidRPr="00781112">
              <w:rPr>
                <w:rFonts w:cs="Arial"/>
                <w:color w:val="000000" w:themeColor="text1"/>
                <w:szCs w:val="16"/>
              </w:rPr>
              <w:t>2,091</w:t>
            </w:r>
          </w:p>
        </w:tc>
        <w:tc>
          <w:tcPr>
            <w:tcW w:w="543" w:type="pct"/>
            <w:shd w:val="clear" w:color="auto" w:fill="auto"/>
            <w:vAlign w:val="center"/>
          </w:tcPr>
          <w:p w14:paraId="62DBFBFA" w14:textId="0CDB12CF" w:rsidR="00A86385" w:rsidRPr="00781112" w:rsidRDefault="002B7490" w:rsidP="00A018D4">
            <w:pPr>
              <w:jc w:val="center"/>
              <w:rPr>
                <w:rFonts w:cs="Arial"/>
                <w:color w:val="000000" w:themeColor="text1"/>
                <w:szCs w:val="16"/>
              </w:rPr>
            </w:pPr>
            <w:r w:rsidRPr="00781112">
              <w:rPr>
                <w:rFonts w:cs="Arial"/>
                <w:color w:val="000000" w:themeColor="text1"/>
                <w:szCs w:val="16"/>
              </w:rPr>
              <w:t>30.79%</w:t>
            </w:r>
          </w:p>
        </w:tc>
        <w:tc>
          <w:tcPr>
            <w:tcW w:w="584" w:type="pct"/>
            <w:shd w:val="clear" w:color="auto" w:fill="auto"/>
            <w:vAlign w:val="center"/>
          </w:tcPr>
          <w:p w14:paraId="63A1936F" w14:textId="04F440D6" w:rsidR="00A86385" w:rsidRPr="00781112" w:rsidRDefault="002B7490" w:rsidP="00A018D4">
            <w:pPr>
              <w:jc w:val="center"/>
              <w:rPr>
                <w:rFonts w:cs="Arial"/>
                <w:color w:val="000000" w:themeColor="text1"/>
                <w:szCs w:val="16"/>
              </w:rPr>
            </w:pPr>
            <w:r w:rsidRPr="00781112">
              <w:rPr>
                <w:rFonts w:cs="Arial"/>
                <w:color w:val="000000" w:themeColor="text1"/>
                <w:szCs w:val="16"/>
              </w:rPr>
              <w:t>60.00%</w:t>
            </w:r>
          </w:p>
        </w:tc>
        <w:tc>
          <w:tcPr>
            <w:tcW w:w="625" w:type="pct"/>
            <w:shd w:val="clear" w:color="auto" w:fill="auto"/>
            <w:vAlign w:val="center"/>
          </w:tcPr>
          <w:p w14:paraId="4609D20B" w14:textId="7D9B89C4" w:rsidR="00A86385" w:rsidRPr="00781112" w:rsidRDefault="002B7490" w:rsidP="00A018D4">
            <w:pPr>
              <w:jc w:val="center"/>
              <w:rPr>
                <w:rFonts w:cs="Arial"/>
                <w:color w:val="000000" w:themeColor="text1"/>
                <w:szCs w:val="16"/>
              </w:rPr>
            </w:pPr>
            <w:r w:rsidRPr="00781112">
              <w:rPr>
                <w:rFonts w:cs="Arial"/>
                <w:color w:val="000000" w:themeColor="text1"/>
                <w:szCs w:val="16"/>
              </w:rPr>
              <w:t>31.37%</w:t>
            </w:r>
          </w:p>
        </w:tc>
        <w:tc>
          <w:tcPr>
            <w:tcW w:w="459" w:type="pct"/>
            <w:shd w:val="clear" w:color="auto" w:fill="auto"/>
            <w:vAlign w:val="center"/>
          </w:tcPr>
          <w:p w14:paraId="5F56D20D" w14:textId="6A83021F"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2" w:type="pct"/>
            <w:shd w:val="clear" w:color="auto" w:fill="auto"/>
            <w:vAlign w:val="center"/>
          </w:tcPr>
          <w:p w14:paraId="5C0F945B" w14:textId="613A8501"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105291D6" w14:textId="2B417D4B" w:rsidR="009B37A2" w:rsidRPr="00781112" w:rsidRDefault="009B37A2" w:rsidP="00B3121C">
      <w:pPr>
        <w:rPr>
          <w:color w:val="000000" w:themeColor="text1"/>
        </w:rPr>
      </w:pPr>
    </w:p>
    <w:tbl>
      <w:tblPr>
        <w:tblStyle w:val="TableGrid"/>
        <w:tblW w:w="5000" w:type="pct"/>
        <w:shd w:val="clear" w:color="auto" w:fill="FBD4B4" w:themeFill="accent6" w:themeFillTint="66"/>
        <w:tblLook w:val="04A0" w:firstRow="1" w:lastRow="0" w:firstColumn="1" w:lastColumn="0" w:noHBand="0" w:noVBand="1"/>
        <w:tblCaption w:val="B07SLIPEXPLN"/>
      </w:tblPr>
      <w:tblGrid>
        <w:gridCol w:w="809"/>
        <w:gridCol w:w="9981"/>
      </w:tblGrid>
      <w:tr w:rsidR="005C29F8" w:rsidRPr="00781112" w14:paraId="61620C7C" w14:textId="77777777" w:rsidTr="003138F9">
        <w:trPr>
          <w:tblHeader/>
        </w:trPr>
        <w:tc>
          <w:tcPr>
            <w:tcW w:w="375" w:type="pct"/>
            <w:vAlign w:val="bottom"/>
          </w:tcPr>
          <w:p w14:paraId="0AA39E44" w14:textId="77777777" w:rsidR="005033CE" w:rsidRPr="00781112" w:rsidRDefault="005033CE" w:rsidP="004369B2">
            <w:pPr>
              <w:jc w:val="center"/>
              <w:rPr>
                <w:color w:val="000000" w:themeColor="text1"/>
              </w:rPr>
            </w:pPr>
            <w:r w:rsidRPr="00781112">
              <w:rPr>
                <w:b/>
                <w:color w:val="000000" w:themeColor="text1"/>
              </w:rPr>
              <w:t>Part</w:t>
            </w:r>
          </w:p>
        </w:tc>
        <w:tc>
          <w:tcPr>
            <w:tcW w:w="4625" w:type="pct"/>
            <w:shd w:val="clear" w:color="auto" w:fill="auto"/>
          </w:tcPr>
          <w:p w14:paraId="41FB5113" w14:textId="77777777" w:rsidR="005033CE" w:rsidRPr="00781112" w:rsidRDefault="005033CE" w:rsidP="004369B2">
            <w:pPr>
              <w:jc w:val="center"/>
              <w:rPr>
                <w:color w:val="000000" w:themeColor="text1"/>
              </w:rPr>
            </w:pPr>
            <w:r w:rsidRPr="00781112">
              <w:rPr>
                <w:b/>
                <w:color w:val="000000" w:themeColor="text1"/>
              </w:rPr>
              <w:t>Reasons for slippage, if applicable</w:t>
            </w:r>
          </w:p>
        </w:tc>
      </w:tr>
      <w:tr w:rsidR="005C29F8" w:rsidRPr="00781112" w14:paraId="4048A12D" w14:textId="77777777" w:rsidTr="003138F9">
        <w:tc>
          <w:tcPr>
            <w:tcW w:w="375" w:type="pct"/>
            <w:vAlign w:val="center"/>
          </w:tcPr>
          <w:p w14:paraId="145820F6" w14:textId="77777777" w:rsidR="005033CE" w:rsidRPr="00781112" w:rsidRDefault="005033CE" w:rsidP="004369B2">
            <w:pPr>
              <w:jc w:val="center"/>
              <w:rPr>
                <w:b/>
                <w:color w:val="000000" w:themeColor="text1"/>
              </w:rPr>
            </w:pPr>
            <w:r w:rsidRPr="00781112">
              <w:rPr>
                <w:b/>
                <w:color w:val="000000" w:themeColor="text1"/>
              </w:rPr>
              <w:t>B1</w:t>
            </w:r>
          </w:p>
        </w:tc>
        <w:tc>
          <w:tcPr>
            <w:tcW w:w="4625" w:type="pct"/>
            <w:shd w:val="clear" w:color="auto" w:fill="auto"/>
          </w:tcPr>
          <w:p w14:paraId="13F5303F" w14:textId="12C0A103" w:rsidR="005033CE" w:rsidRPr="00781112" w:rsidRDefault="00852D5E" w:rsidP="00E21107">
            <w:pPr>
              <w:rPr>
                <w:rFonts w:cs="Arial"/>
                <w:i/>
                <w:color w:val="000000" w:themeColor="text1"/>
                <w:szCs w:val="16"/>
              </w:rPr>
            </w:pPr>
            <w:r w:rsidRPr="00781112">
              <w:rPr>
                <w:rFonts w:cs="Arial"/>
                <w:color w:val="000000" w:themeColor="text1"/>
                <w:szCs w:val="16"/>
              </w:rPr>
              <w:t>In an effort to streamline the use of a common assessment tool, all publicly funded early childhood programs transitioned from using the Assessment, Evaluation and Programming System (AEPS) to Teaching Strategies GOLD as the assessment tool to measure child outcomes for all children ages 3-5 with IEPs in FFY 18. The Louisiana Department of Education (LDOE) provided all early childhood programs utilizing TS GOLD with the option to complete a default abbreviated version of the required item set, or 70% of the total objectives and dimensions, which requires the general early childhood TS GOLD license and the OSEP license to remain separate so that any child reported with an IEP is assessed using the complete item set, with the addition of objectives 1c1-1c4. All local networks were required to identify an OSEP Administrator in order to oversee and monitor the input of all entry and exit assessment data for any child with an IEP that must be entered into the OSEP specific license.</w:t>
            </w:r>
            <w:r w:rsidRPr="00781112">
              <w:rPr>
                <w:rFonts w:cs="Arial"/>
                <w:color w:val="000000" w:themeColor="text1"/>
                <w:szCs w:val="16"/>
              </w:rPr>
              <w:br/>
              <w:t xml:space="preserve"> </w:t>
            </w:r>
            <w:r w:rsidRPr="00781112">
              <w:rPr>
                <w:rFonts w:cs="Arial"/>
                <w:color w:val="000000" w:themeColor="text1"/>
                <w:szCs w:val="16"/>
              </w:rPr>
              <w:br/>
              <w:t>The monitoring and compliance of two separate licenses presented accountability challenges in the total number of children being reported, entry and exist submission timelines, and frequent turnover among the OSEP Administrator role. The LDOE developed significant field support resources during FFY 2019 to ensure new OSEP Administrators are meeting role and responsibility requirements. Furthermore, the LDOE recognized that the current systems for accountability and data quality needed additional support. Beginning in FFY 2021, the Department required a full item set completion for all early childhood TS GOLD licenses to streamline approaches to accountability and data quality for children ages 3-5 with disabilities.</w:t>
            </w:r>
          </w:p>
        </w:tc>
      </w:tr>
    </w:tbl>
    <w:p w14:paraId="399E6348" w14:textId="36EEF00B" w:rsidR="004B2C2D" w:rsidRPr="00781112" w:rsidRDefault="004B2C2D" w:rsidP="007D435F">
      <w:pPr>
        <w:rPr>
          <w:rFonts w:cs="Arial"/>
          <w:b/>
          <w:color w:val="000000" w:themeColor="text1"/>
          <w:szCs w:val="16"/>
        </w:rPr>
      </w:pPr>
      <w:r w:rsidRPr="00781112">
        <w:rPr>
          <w:rFonts w:cs="Arial"/>
          <w:b/>
          <w:color w:val="000000" w:themeColor="text1"/>
          <w:szCs w:val="16"/>
        </w:rPr>
        <w:t>Does the State include in the numerator and denominator only children who received special education and related services for at least six months during the age span of three through five years? (yes/no)</w:t>
      </w:r>
    </w:p>
    <w:p w14:paraId="35B562FF" w14:textId="1FE02532" w:rsidR="005033CE" w:rsidRPr="00781112" w:rsidRDefault="004B2C2D" w:rsidP="007D435F">
      <w:pPr>
        <w:rPr>
          <w:rFonts w:cs="Arial"/>
          <w:color w:val="000000" w:themeColor="text1"/>
          <w:szCs w:val="16"/>
        </w:rPr>
      </w:pPr>
      <w:r w:rsidRPr="00781112">
        <w:rPr>
          <w:rFonts w:cs="Arial"/>
          <w:color w:val="000000" w:themeColor="text1"/>
          <w:szCs w:val="16"/>
        </w:rPr>
        <w:t>YES</w:t>
      </w:r>
    </w:p>
    <w:tbl>
      <w:tblPr>
        <w:tblStyle w:val="TableGrid"/>
        <w:tblW w:w="5000" w:type="pct"/>
        <w:tblCellMar>
          <w:left w:w="115" w:type="dxa"/>
          <w:right w:w="115" w:type="dxa"/>
        </w:tblCellMar>
        <w:tblLook w:val="04A0" w:firstRow="1" w:lastRow="0" w:firstColumn="1" w:lastColumn="0" w:noHBand="0" w:noVBand="1"/>
        <w:tblCaption w:val="B07SAMPLINGUSED"/>
      </w:tblPr>
      <w:tblGrid>
        <w:gridCol w:w="8319"/>
        <w:gridCol w:w="2471"/>
      </w:tblGrid>
      <w:tr w:rsidR="005C29F8" w:rsidRPr="00781112" w14:paraId="0BD085FB" w14:textId="77777777" w:rsidTr="0033429D">
        <w:trPr>
          <w:tblHeader/>
        </w:trPr>
        <w:tc>
          <w:tcPr>
            <w:tcW w:w="3855" w:type="pct"/>
            <w:tcBorders>
              <w:top w:val="single" w:sz="4" w:space="0" w:color="auto"/>
              <w:left w:val="single" w:sz="4" w:space="0" w:color="auto"/>
            </w:tcBorders>
            <w:shd w:val="clear" w:color="auto" w:fill="auto"/>
          </w:tcPr>
          <w:p w14:paraId="5AC005B4" w14:textId="48902820" w:rsidR="00B461E1" w:rsidRPr="00781112" w:rsidRDefault="001D6B3B" w:rsidP="00A80FEB">
            <w:pPr>
              <w:rPr>
                <w:rFonts w:cs="Arial"/>
                <w:b/>
                <w:bCs/>
                <w:color w:val="000000" w:themeColor="text1"/>
                <w:szCs w:val="16"/>
              </w:rPr>
            </w:pPr>
            <w:r w:rsidRPr="00781112">
              <w:rPr>
                <w:rFonts w:cs="Arial"/>
                <w:b/>
                <w:bCs/>
                <w:color w:val="000000" w:themeColor="text1"/>
                <w:szCs w:val="16"/>
              </w:rPr>
              <w:t>Sampling Question</w:t>
            </w:r>
          </w:p>
        </w:tc>
        <w:tc>
          <w:tcPr>
            <w:tcW w:w="1145" w:type="pct"/>
            <w:tcBorders>
              <w:top w:val="single" w:sz="4" w:space="0" w:color="auto"/>
            </w:tcBorders>
            <w:shd w:val="clear" w:color="auto" w:fill="auto"/>
          </w:tcPr>
          <w:p w14:paraId="13A7BBAF" w14:textId="0D22562B" w:rsidR="00B461E1" w:rsidRPr="00781112" w:rsidRDefault="00B461E1"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58275667" w14:textId="54710A2D" w:rsidTr="000A4757">
        <w:tc>
          <w:tcPr>
            <w:tcW w:w="3855" w:type="pct"/>
            <w:shd w:val="clear" w:color="auto" w:fill="auto"/>
          </w:tcPr>
          <w:p w14:paraId="390A3887" w14:textId="13D1E4BC" w:rsidR="00B461E1" w:rsidRPr="00781112" w:rsidRDefault="00B461E1" w:rsidP="00A80FEB">
            <w:pPr>
              <w:rPr>
                <w:rFonts w:cs="Arial"/>
                <w:color w:val="000000" w:themeColor="text1"/>
                <w:szCs w:val="16"/>
              </w:rPr>
            </w:pPr>
            <w:r w:rsidRPr="00781112">
              <w:rPr>
                <w:rFonts w:cs="Arial"/>
                <w:color w:val="000000" w:themeColor="text1"/>
                <w:szCs w:val="16"/>
              </w:rPr>
              <w:t xml:space="preserve">Was sampling used? </w:t>
            </w:r>
          </w:p>
        </w:tc>
        <w:tc>
          <w:tcPr>
            <w:tcW w:w="1145" w:type="pct"/>
            <w:shd w:val="clear" w:color="auto" w:fill="auto"/>
          </w:tcPr>
          <w:p w14:paraId="057F9293" w14:textId="70B8666C" w:rsidR="00B461E1"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4EF81044" w14:textId="5EE5725F" w:rsidR="004B2C2D" w:rsidRPr="00781112" w:rsidRDefault="004B2C2D" w:rsidP="00A80FEB">
      <w:pPr>
        <w:rPr>
          <w:rFonts w:cs="Arial"/>
          <w:b/>
          <w:color w:val="000000" w:themeColor="text1"/>
          <w:szCs w:val="16"/>
        </w:rPr>
      </w:pPr>
      <w:r w:rsidRPr="00781112">
        <w:rPr>
          <w:rFonts w:cs="Arial"/>
          <w:b/>
          <w:color w:val="000000" w:themeColor="text1"/>
          <w:szCs w:val="16"/>
        </w:rPr>
        <w:t>Did you use the Early Childhood Outcomes Center (ECO) Child Outcomes Summary Form (COS) process? (yes/no)</w:t>
      </w:r>
    </w:p>
    <w:p w14:paraId="6C4FBAA6" w14:textId="1B6DC98D" w:rsidR="004B2C2D" w:rsidRPr="00781112" w:rsidRDefault="004B2C2D" w:rsidP="00A80FEB">
      <w:pPr>
        <w:rPr>
          <w:rFonts w:cs="Arial"/>
          <w:color w:val="000000" w:themeColor="text1"/>
          <w:szCs w:val="16"/>
        </w:rPr>
      </w:pPr>
      <w:r w:rsidRPr="00781112">
        <w:rPr>
          <w:rFonts w:cs="Arial"/>
          <w:color w:val="000000" w:themeColor="text1"/>
          <w:szCs w:val="16"/>
        </w:rPr>
        <w:t>NO</w:t>
      </w:r>
    </w:p>
    <w:p w14:paraId="6F131278" w14:textId="16A90DAD" w:rsidR="009B37A2" w:rsidRPr="00781112" w:rsidRDefault="007524CC" w:rsidP="00401663">
      <w:pPr>
        <w:rPr>
          <w:rFonts w:cs="Arial"/>
          <w:b/>
          <w:color w:val="000000" w:themeColor="text1"/>
          <w:szCs w:val="16"/>
        </w:rPr>
      </w:pPr>
      <w:r w:rsidRPr="00781112">
        <w:rPr>
          <w:rFonts w:cs="Arial"/>
          <w:b/>
          <w:color w:val="000000" w:themeColor="text1"/>
          <w:szCs w:val="16"/>
        </w:rPr>
        <w:t>If no, provide the criteria for defining “comparable to same-aged peers.”</w:t>
      </w:r>
    </w:p>
    <w:p w14:paraId="49B86640" w14:textId="0949E05B" w:rsidR="000A4757" w:rsidRPr="00781112" w:rsidRDefault="002B7490" w:rsidP="000A4757">
      <w:pPr>
        <w:rPr>
          <w:rFonts w:cs="Arial"/>
          <w:color w:val="000000" w:themeColor="text1"/>
          <w:szCs w:val="16"/>
        </w:rPr>
      </w:pPr>
      <w:r w:rsidRPr="00781112">
        <w:rPr>
          <w:rFonts w:cs="Arial"/>
          <w:color w:val="000000" w:themeColor="text1"/>
          <w:szCs w:val="16"/>
        </w:rPr>
        <w:t>Ratings are made on the tools standard objectives and the system pulls outcome data from the assessment checkpoints corresponding to the preschool IEP entry and exit dates to produce each category. Teaching Strategies GOLD uses their online system to automatically produce OSEP progress categories and crosswalk the data with the Global Child Outcomes 1-3, which can be found on ECTA’s website: https://ectacenter.org/eco/assets/pdfs/Crosswalk-TS%20GOLD.pdf</w:t>
      </w:r>
    </w:p>
    <w:p w14:paraId="015A471A" w14:textId="77777777" w:rsidR="004611C1" w:rsidRPr="00781112" w:rsidRDefault="004611C1" w:rsidP="00401663">
      <w:pPr>
        <w:rPr>
          <w:rFonts w:cs="Arial"/>
          <w:b/>
          <w:color w:val="000000" w:themeColor="text1"/>
          <w:szCs w:val="16"/>
        </w:rPr>
      </w:pPr>
      <w:bookmarkStart w:id="37" w:name="_Toc382082381"/>
      <w:bookmarkStart w:id="38" w:name="_Toc392159306"/>
      <w:r w:rsidRPr="00781112">
        <w:rPr>
          <w:rFonts w:cs="Arial"/>
          <w:b/>
          <w:color w:val="000000" w:themeColor="text1"/>
          <w:szCs w:val="16"/>
        </w:rPr>
        <w:t>List the instruments and procedures used to gather data for this indicator.</w:t>
      </w:r>
    </w:p>
    <w:p w14:paraId="48A16E25" w14:textId="1F2C8CE0" w:rsidR="009B37A2" w:rsidRPr="00781112" w:rsidRDefault="002B7490" w:rsidP="007D435F">
      <w:pPr>
        <w:rPr>
          <w:rFonts w:cs="Arial"/>
          <w:color w:val="000000" w:themeColor="text1"/>
          <w:szCs w:val="16"/>
        </w:rPr>
      </w:pPr>
      <w:r w:rsidRPr="00781112">
        <w:rPr>
          <w:rFonts w:cs="Arial"/>
          <w:color w:val="000000" w:themeColor="text1"/>
          <w:szCs w:val="16"/>
        </w:rPr>
        <w:lastRenderedPageBreak/>
        <w:t>Ratings are made on the tools standard objectives and the system pulls outcome data from the assessment checkpoints corresponding to the preschool IEP entry and exit dates to produce each category. Teaching Strategies GOLD uses their online system to automatically produce OSEP progress categories and crosswalk the data with the Global Child Outcomes 1-3, which can be found on ECTA’s website: https://ectacenter.org/eco/assets/pdfs/Crosswalk-TS%20GOLD.pdf</w:t>
      </w:r>
    </w:p>
    <w:p w14:paraId="393ECB24"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215673F" w14:textId="7230C48B" w:rsidR="009B37A2" w:rsidRPr="00781112" w:rsidRDefault="009B37A2" w:rsidP="007D435F">
      <w:pPr>
        <w:rPr>
          <w:rFonts w:cs="Arial"/>
          <w:color w:val="000000" w:themeColor="text1"/>
          <w:szCs w:val="16"/>
        </w:rPr>
      </w:pPr>
    </w:p>
    <w:p w14:paraId="729220FB" w14:textId="2C05A12E" w:rsidR="000A2C83" w:rsidRPr="00781112" w:rsidRDefault="00C96236" w:rsidP="008645AD">
      <w:pPr>
        <w:pStyle w:val="Heading2"/>
      </w:pPr>
      <w:r w:rsidRPr="00781112">
        <w:t>7</w:t>
      </w:r>
      <w:r w:rsidR="00444A9D" w:rsidRPr="00781112">
        <w:t xml:space="preserve"> </w:t>
      </w:r>
      <w:r w:rsidRPr="00781112">
        <w:t xml:space="preserve">- </w:t>
      </w:r>
      <w:r w:rsidR="000A2C83" w:rsidRPr="00781112">
        <w:t>Prior FFY Required Actions</w:t>
      </w:r>
    </w:p>
    <w:p w14:paraId="6B082508" w14:textId="28E3454C" w:rsidR="000A2C83" w:rsidRPr="00781112" w:rsidRDefault="002B7490" w:rsidP="000A2C83">
      <w:pPr>
        <w:rPr>
          <w:rFonts w:cs="Arial"/>
          <w:color w:val="000000" w:themeColor="text1"/>
          <w:szCs w:val="16"/>
        </w:rPr>
      </w:pPr>
      <w:r w:rsidRPr="00781112">
        <w:rPr>
          <w:rFonts w:cs="Arial"/>
          <w:color w:val="000000" w:themeColor="text1"/>
          <w:szCs w:val="16"/>
        </w:rPr>
        <w:t>None</w:t>
      </w:r>
    </w:p>
    <w:p w14:paraId="342951AE" w14:textId="530DEEBF" w:rsidR="00B1280F" w:rsidRPr="00781112" w:rsidRDefault="00B1280F" w:rsidP="000A2C83">
      <w:pPr>
        <w:rPr>
          <w:rFonts w:cs="Arial"/>
          <w:color w:val="000000" w:themeColor="text1"/>
          <w:szCs w:val="16"/>
        </w:rPr>
      </w:pPr>
    </w:p>
    <w:p w14:paraId="311D27F5" w14:textId="36383184"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4844645A" w14:textId="6F051FE6" w:rsidR="00221EC9" w:rsidRPr="00781112" w:rsidRDefault="00C96236" w:rsidP="008645AD">
      <w:pPr>
        <w:pStyle w:val="Heading2"/>
      </w:pPr>
      <w:r w:rsidRPr="00781112">
        <w:t>7 - OSEP Response</w:t>
      </w:r>
    </w:p>
    <w:p w14:paraId="408E3220" w14:textId="3BF99ADA" w:rsidR="009B37A2" w:rsidRPr="00781112" w:rsidRDefault="002B7490" w:rsidP="001F692C">
      <w:pPr>
        <w:rPr>
          <w:rFonts w:cs="Arial"/>
          <w:color w:val="000000" w:themeColor="text1"/>
          <w:szCs w:val="16"/>
        </w:rPr>
      </w:pPr>
      <w:r w:rsidRPr="00781112">
        <w:rPr>
          <w:rFonts w:cs="Arial"/>
          <w:color w:val="000000" w:themeColor="text1"/>
          <w:szCs w:val="16"/>
        </w:rPr>
        <w:t>The State provided targets for FFYs 2020 through 2025 for this indicator, and OSEP accepts those targets.</w:t>
      </w:r>
    </w:p>
    <w:p w14:paraId="50C7CF43" w14:textId="32A5B19E" w:rsidR="00221EC9" w:rsidRPr="00781112" w:rsidRDefault="00C96236" w:rsidP="008645AD">
      <w:pPr>
        <w:pStyle w:val="Heading2"/>
      </w:pPr>
      <w:r w:rsidRPr="00781112">
        <w:t>7 - Required Actions</w:t>
      </w:r>
    </w:p>
    <w:p w14:paraId="44281A32" w14:textId="371D4770" w:rsidR="009B37A2" w:rsidRPr="00781112" w:rsidRDefault="009B37A2" w:rsidP="001F692C">
      <w:pPr>
        <w:rPr>
          <w:rFonts w:cs="Arial"/>
          <w:color w:val="000000" w:themeColor="text1"/>
          <w:szCs w:val="16"/>
        </w:rPr>
      </w:pPr>
    </w:p>
    <w:p w14:paraId="4FFE0FC1"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BCCFF07" w14:textId="34122B32" w:rsidR="00B3462E" w:rsidRPr="00781112" w:rsidRDefault="00B3462E" w:rsidP="000444E2">
      <w:pPr>
        <w:pStyle w:val="Heading1"/>
        <w:rPr>
          <w:color w:val="000000" w:themeColor="text1"/>
          <w:sz w:val="22"/>
        </w:rPr>
      </w:pPr>
      <w:r w:rsidRPr="00781112">
        <w:rPr>
          <w:color w:val="000000" w:themeColor="text1"/>
          <w:sz w:val="22"/>
        </w:rPr>
        <w:lastRenderedPageBreak/>
        <w:t>Indicator 8: Parent involvement</w:t>
      </w:r>
      <w:bookmarkEnd w:id="37"/>
      <w:bookmarkEnd w:id="38"/>
    </w:p>
    <w:p w14:paraId="66FBCA03" w14:textId="77777777" w:rsidR="00B654C1" w:rsidRPr="00781112" w:rsidRDefault="00B654C1" w:rsidP="00A018D4">
      <w:pPr>
        <w:rPr>
          <w:color w:val="000000" w:themeColor="text1"/>
          <w:szCs w:val="20"/>
        </w:rPr>
      </w:pPr>
      <w:bookmarkStart w:id="39" w:name="_Toc392159307"/>
      <w:r w:rsidRPr="00781112">
        <w:rPr>
          <w:b/>
          <w:color w:val="000000" w:themeColor="text1"/>
          <w:sz w:val="20"/>
          <w:szCs w:val="20"/>
        </w:rPr>
        <w:t>Instructions and Measurement</w:t>
      </w:r>
    </w:p>
    <w:p w14:paraId="42608CC1" w14:textId="182D7AD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090EFEAD" w14:textId="77777777" w:rsidR="009C613A" w:rsidRPr="00781112" w:rsidRDefault="00CC634E" w:rsidP="006424B2">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parents with a child receiving special education services who report that schools facilitated parent involvement as a means of improving services and results for children with disabilities.</w:t>
      </w:r>
    </w:p>
    <w:p w14:paraId="0D04A075" w14:textId="3BF2EC6D" w:rsidR="00CC634E" w:rsidRPr="00781112" w:rsidRDefault="00CC634E" w:rsidP="006424B2">
      <w:pPr>
        <w:rPr>
          <w:rFonts w:cs="Arial"/>
          <w:color w:val="000000" w:themeColor="text1"/>
          <w:szCs w:val="16"/>
        </w:rPr>
      </w:pPr>
      <w:r w:rsidRPr="00781112">
        <w:rPr>
          <w:rFonts w:cs="Arial"/>
          <w:color w:val="000000" w:themeColor="text1"/>
          <w:szCs w:val="16"/>
        </w:rPr>
        <w:t>(20 U.S.C. 1416(a)(3)(A))</w:t>
      </w:r>
    </w:p>
    <w:p w14:paraId="59F98396" w14:textId="77777777" w:rsidR="009C613A" w:rsidRPr="00781112" w:rsidRDefault="009C613A" w:rsidP="004369B2">
      <w:pPr>
        <w:rPr>
          <w:color w:val="000000" w:themeColor="text1"/>
        </w:rPr>
      </w:pPr>
      <w:r w:rsidRPr="00781112">
        <w:rPr>
          <w:b/>
          <w:color w:val="000000" w:themeColor="text1"/>
        </w:rPr>
        <w:t>Data Source</w:t>
      </w:r>
    </w:p>
    <w:p w14:paraId="543A03AF" w14:textId="13B8F95C" w:rsidR="009C613A" w:rsidRPr="00781112" w:rsidRDefault="009C613A" w:rsidP="00286BDF">
      <w:pPr>
        <w:rPr>
          <w:rFonts w:cs="Arial"/>
          <w:color w:val="000000" w:themeColor="text1"/>
          <w:szCs w:val="16"/>
        </w:rPr>
      </w:pPr>
      <w:r w:rsidRPr="00781112">
        <w:rPr>
          <w:rFonts w:cs="Arial"/>
          <w:color w:val="000000" w:themeColor="text1"/>
          <w:szCs w:val="16"/>
        </w:rPr>
        <w:t>State selected data source.</w:t>
      </w:r>
    </w:p>
    <w:p w14:paraId="50AC2385" w14:textId="77777777" w:rsidR="009C613A" w:rsidRPr="00781112" w:rsidRDefault="009C613A" w:rsidP="004369B2">
      <w:pPr>
        <w:rPr>
          <w:color w:val="000000" w:themeColor="text1"/>
        </w:rPr>
      </w:pPr>
      <w:r w:rsidRPr="00781112">
        <w:rPr>
          <w:b/>
          <w:color w:val="000000" w:themeColor="text1"/>
        </w:rPr>
        <w:t>Measurement</w:t>
      </w:r>
    </w:p>
    <w:p w14:paraId="5E1A0E28" w14:textId="46D6A5D9" w:rsidR="009C613A" w:rsidRPr="00781112" w:rsidRDefault="009C613A" w:rsidP="00286BDF">
      <w:pPr>
        <w:rPr>
          <w:rFonts w:cs="Arial"/>
          <w:color w:val="000000" w:themeColor="text1"/>
          <w:szCs w:val="16"/>
        </w:rPr>
      </w:pPr>
      <w:r w:rsidRPr="00781112">
        <w:rPr>
          <w:rFonts w:cs="Arial"/>
          <w:color w:val="000000" w:themeColor="text1"/>
          <w:szCs w:val="16"/>
        </w:rPr>
        <w:t>Percent</w:t>
      </w:r>
      <w:r w:rsidRPr="00781112">
        <w:rPr>
          <w:rFonts w:cs="Arial"/>
          <w:color w:val="000000" w:themeColor="text1"/>
          <w:szCs w:val="16"/>
          <w:shd w:val="clear" w:color="auto" w:fill="FFFFFF"/>
        </w:rPr>
        <w:t xml:space="preserve"> = </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of respondent parents who report schools facilitated parent involvement as a means of improving services and results for children with disabilities) divided by the (total # of respondent parents of children with disabilities)</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289E0D18" w14:textId="5D04C177" w:rsidR="009C613A" w:rsidRPr="00781112" w:rsidRDefault="009C613A" w:rsidP="004369B2">
      <w:pPr>
        <w:rPr>
          <w:color w:val="000000" w:themeColor="text1"/>
        </w:rPr>
      </w:pPr>
      <w:r w:rsidRPr="00781112">
        <w:rPr>
          <w:b/>
          <w:color w:val="000000" w:themeColor="text1"/>
        </w:rPr>
        <w:t>Instructions</w:t>
      </w:r>
    </w:p>
    <w:p w14:paraId="60A1EAFB" w14:textId="77777777" w:rsidR="002D7AD6" w:rsidRPr="00781112" w:rsidRDefault="002D7AD6" w:rsidP="00286BDF">
      <w:pPr>
        <w:rPr>
          <w:rFonts w:cs="Arial"/>
          <w:color w:val="000000" w:themeColor="text1"/>
          <w:szCs w:val="16"/>
        </w:rPr>
      </w:pPr>
      <w:r w:rsidRPr="00781112">
        <w:rPr>
          <w:rFonts w:cs="Arial"/>
          <w:i/>
          <w:iCs/>
          <w:color w:val="000000" w:themeColor="text1"/>
          <w:szCs w:val="16"/>
        </w:rPr>
        <w:t>Sampling </w:t>
      </w:r>
      <w:r w:rsidRPr="00781112">
        <w:rPr>
          <w:rFonts w:cs="Arial"/>
          <w:b/>
          <w:bCs/>
          <w:i/>
          <w:iCs/>
          <w:color w:val="000000" w:themeColor="text1"/>
          <w:szCs w:val="16"/>
        </w:rPr>
        <w:t>of parents from whom response is requested</w:t>
      </w:r>
      <w:r w:rsidRPr="00781112">
        <w:rPr>
          <w:rFonts w:cs="Arial"/>
          <w:i/>
          <w:iCs/>
          <w:color w:val="000000" w:themeColor="text1"/>
          <w:szCs w:val="16"/>
        </w:rPr>
        <w:t> is allowed.</w:t>
      </w:r>
      <w:r w:rsidRPr="00781112">
        <w:rPr>
          <w:rFonts w:cs="Arial"/>
          <w:color w:val="000000" w:themeColor="text1"/>
          <w:szCs w:val="16"/>
        </w:rPr>
        <w:t xml:space="preserve"> </w:t>
      </w:r>
      <w:r w:rsidRPr="00781112">
        <w:rPr>
          <w:rFonts w:cs="Arial"/>
          <w:i/>
          <w:iCs/>
          <w:color w:val="000000" w:themeColor="text1"/>
          <w:szCs w:val="16"/>
        </w:rPr>
        <w:t>When sampling is used, submit a description of the sampling methodology outlining how the design will yield valid and reliable estimates. (See </w:t>
      </w:r>
      <w:r w:rsidRPr="00781112">
        <w:rPr>
          <w:rFonts w:cs="Arial"/>
          <w:i/>
          <w:iCs/>
          <w:color w:val="000000" w:themeColor="text1"/>
          <w:szCs w:val="16"/>
          <w:u w:val="single"/>
        </w:rPr>
        <w:t>General Instructions</w:t>
      </w:r>
      <w:r w:rsidRPr="00781112">
        <w:rPr>
          <w:rFonts w:cs="Arial"/>
          <w:i/>
          <w:iCs/>
          <w:color w:val="000000" w:themeColor="text1"/>
          <w:szCs w:val="16"/>
        </w:rPr>
        <w:t> on page 2 for additional instructions on sampling.)</w:t>
      </w:r>
    </w:p>
    <w:p w14:paraId="3EC08FBA" w14:textId="77777777" w:rsidR="002D7AD6" w:rsidRPr="00781112" w:rsidRDefault="002D7AD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7C56A5AA" w14:textId="77777777" w:rsidR="002D7AD6" w:rsidRPr="00781112" w:rsidRDefault="002D7AD6" w:rsidP="00286BDF">
      <w:pPr>
        <w:rPr>
          <w:rFonts w:cs="Arial"/>
          <w:color w:val="000000" w:themeColor="text1"/>
          <w:szCs w:val="16"/>
        </w:rPr>
      </w:pPr>
      <w:r w:rsidRPr="00781112">
        <w:rPr>
          <w:rFonts w:cs="Arial"/>
          <w:color w:val="000000" w:themeColor="text1"/>
          <w:szCs w:val="16"/>
        </w:rPr>
        <w:t>Provide the actual numbers used in the calculation.</w:t>
      </w:r>
    </w:p>
    <w:p w14:paraId="231E5575" w14:textId="77777777" w:rsidR="002D7AD6" w:rsidRPr="00781112" w:rsidRDefault="002D7AD6" w:rsidP="00286BDF">
      <w:pPr>
        <w:rPr>
          <w:rFonts w:cs="Arial"/>
          <w:color w:val="000000" w:themeColor="text1"/>
          <w:szCs w:val="16"/>
        </w:rPr>
      </w:pPr>
      <w:r w:rsidRPr="00781112">
        <w:rPr>
          <w:rFonts w:cs="Arial"/>
          <w:color w:val="000000" w:themeColor="text1"/>
          <w:szCs w:val="16"/>
        </w:rPr>
        <w:t>If the State is using a separate data collection methodology for preschool children, the State must provide separate baseline data, targets, and actual target data or discuss the procedures used to combine data from school age and preschool data collection methodologies in a manner that is valid and reliable.</w:t>
      </w:r>
    </w:p>
    <w:p w14:paraId="5DC13627" w14:textId="77777777" w:rsidR="002D7AD6" w:rsidRPr="00781112" w:rsidRDefault="002D7AD6" w:rsidP="00286BDF">
      <w:pPr>
        <w:rPr>
          <w:rFonts w:cs="Arial"/>
          <w:color w:val="000000" w:themeColor="text1"/>
          <w:szCs w:val="16"/>
        </w:rPr>
      </w:pPr>
      <w:r w:rsidRPr="00781112">
        <w:rPr>
          <w:rFonts w:cs="Arial"/>
          <w:color w:val="000000" w:themeColor="text1"/>
          <w:szCs w:val="16"/>
        </w:rPr>
        <w:t>While a survey is not required for this indicator, a State using a survey must submit a copy of any new or revised survey with its SPP/APR.</w:t>
      </w:r>
    </w:p>
    <w:p w14:paraId="75233790" w14:textId="6A11D847" w:rsidR="004A6352" w:rsidRPr="00781112" w:rsidRDefault="002D7AD6" w:rsidP="004A6352">
      <w:pPr>
        <w:rPr>
          <w:rFonts w:cs="Arial"/>
          <w:szCs w:val="16"/>
        </w:rPr>
      </w:pPr>
      <w:r w:rsidRPr="00781112">
        <w:rPr>
          <w:rFonts w:cs="Arial"/>
          <w:color w:val="000000" w:themeColor="text1"/>
          <w:szCs w:val="16"/>
        </w:rPr>
        <w:t xml:space="preserve">Report the number of parents to whom the surveys were distributed </w:t>
      </w:r>
      <w:r w:rsidR="004A6352" w:rsidRPr="00781112">
        <w:rPr>
          <w:rFonts w:cs="Arial"/>
          <w:szCs w:val="16"/>
        </w:rPr>
        <w:t>and the number of respondent parents. The survey response rate is automatically calculated using the submitted data.</w:t>
      </w:r>
    </w:p>
    <w:p w14:paraId="4699B320" w14:textId="77777777" w:rsidR="009C74BD" w:rsidRPr="00781112" w:rsidRDefault="009C74BD" w:rsidP="009C74BD">
      <w:pPr>
        <w:rPr>
          <w:rFonts w:cs="Arial"/>
          <w:szCs w:val="16"/>
        </w:rPr>
      </w:pPr>
      <w:r w:rsidRPr="00781112">
        <w:rPr>
          <w:rFonts w:cs="Arial"/>
          <w:szCs w:val="16"/>
        </w:rPr>
        <w:t>States must compare the response rate for the reporting year to the response rate for the previous year (e.g., in the FFY 2020 SPP/APR, compare the FFY 2020 response rate to the FFY 2019 response rate) and describe strategies that will be implemented which are expected to increase the response rate, particularly for those groups that are underrepresented.</w:t>
      </w:r>
    </w:p>
    <w:p w14:paraId="1179A7AC" w14:textId="0C70F11F" w:rsidR="009C74BD" w:rsidRPr="00781112" w:rsidRDefault="009C74BD" w:rsidP="009C74BD">
      <w:pPr>
        <w:rPr>
          <w:rFonts w:cs="Arial"/>
          <w:szCs w:val="16"/>
        </w:rPr>
      </w:pPr>
      <w:r w:rsidRPr="00781112">
        <w:rPr>
          <w:rFonts w:cs="Arial"/>
          <w:szCs w:val="16"/>
        </w:rPr>
        <w:t xml:space="preserve">The State must also analyze the response rate to identify potential nonresponse bias and take steps to reduce any identified bias and promote response from a broad cross section of </w:t>
      </w:r>
      <w:r w:rsidR="009620B1">
        <w:rPr>
          <w:rFonts w:cs="Arial"/>
          <w:szCs w:val="16"/>
        </w:rPr>
        <w:t>parents of children with disabilities.</w:t>
      </w:r>
    </w:p>
    <w:p w14:paraId="7CC85D28" w14:textId="7928F4F1" w:rsidR="00F4021E" w:rsidRDefault="00F4021E" w:rsidP="001F448F">
      <w:pPr>
        <w:spacing w:before="0" w:after="160" w:line="259" w:lineRule="auto"/>
      </w:pPr>
      <w:bookmarkStart w:id="40" w:name="_Hlk90757179"/>
      <w:r>
        <w:t xml:space="preserve">Include in the State’s analysis the extent to which the demographics of the children for whom parents responded are representative of the demographics of children receiving special education services. </w:t>
      </w:r>
      <w:r w:rsidR="009620B1">
        <w:t>States should consider categories such as race/ethnicity, age of student, disability category, and geographic location in the State.</w:t>
      </w:r>
    </w:p>
    <w:bookmarkEnd w:id="40"/>
    <w:p w14:paraId="3C4DAE99" w14:textId="77777777" w:rsidR="00944E51" w:rsidRPr="00781112" w:rsidRDefault="00944E51" w:rsidP="00944E51">
      <w:pPr>
        <w:rPr>
          <w:rFonts w:cs="Arial"/>
          <w:szCs w:val="16"/>
        </w:rPr>
      </w:pPr>
      <w:r w:rsidRPr="00781112">
        <w:rPr>
          <w:rFonts w:cs="Arial"/>
          <w:szCs w:val="16"/>
        </w:rPr>
        <w:t>States must describe the metric used to determine representativeness (e.g., +/- 3% discrepancy in the proportion of responders compared to target group).</w:t>
      </w:r>
    </w:p>
    <w:p w14:paraId="697B09AA" w14:textId="77777777" w:rsidR="00390746" w:rsidRPr="004F491A" w:rsidRDefault="00390746" w:rsidP="00390746">
      <w:bookmarkStart w:id="41" w:name="_Hlk90757133"/>
      <w:r w:rsidRPr="004F491A">
        <w:t>If the analysis shows that the demographics of the children for whom parents responding are not representative of the demographics of children receiving special education services in the State, describe the strategies that the State will use to ensure that in the future the response data are representative of those demographics. In identifying such strategies, the State should consider factors such as how the State distributed the survey to parents (e.g., by mail, by e-mail, on-line, by telephone, in-person through school personnel), and how responses were collected.</w:t>
      </w:r>
    </w:p>
    <w:bookmarkEnd w:id="41"/>
    <w:p w14:paraId="18909B69" w14:textId="771CA1F4" w:rsidR="00256FF8" w:rsidRPr="00781112" w:rsidRDefault="00256FF8" w:rsidP="00256FF8">
      <w:pPr>
        <w:rPr>
          <w:rFonts w:cs="Arial"/>
          <w:szCs w:val="16"/>
        </w:rPr>
      </w:pPr>
      <w:r w:rsidRPr="00781112">
        <w:rPr>
          <w:rFonts w:cs="Arial"/>
          <w:b/>
          <w:szCs w:val="16"/>
        </w:rPr>
        <w:t xml:space="preserve">Beginning with the FFY 2021 SPP/APR, due February 1, 2023, </w:t>
      </w:r>
      <w:r w:rsidRPr="00781112">
        <w:rPr>
          <w:rFonts w:cs="Arial"/>
          <w:szCs w:val="16"/>
        </w:rPr>
        <w:t>when reporting the extent to which the demographics of the children for whom parents responded are representative of the demographics of children receiving special education services, States must include race</w:t>
      </w:r>
      <w:r w:rsidR="00071D42" w:rsidRPr="00781112">
        <w:rPr>
          <w:rFonts w:cs="Arial"/>
          <w:szCs w:val="16"/>
        </w:rPr>
        <w:t>/</w:t>
      </w:r>
      <w:r w:rsidRPr="00781112">
        <w:rPr>
          <w:rFonts w:cs="Arial"/>
          <w:szCs w:val="16"/>
        </w:rPr>
        <w:t>ethnicity in their analysis. In addition, the State’s analysis must also include at least one of the following demographics: age of the student, disability category, gender, geographic location, and/or another demographic category approved through the stakeholder input process.</w:t>
      </w:r>
    </w:p>
    <w:p w14:paraId="38028E97" w14:textId="3CEA9087" w:rsidR="009C613A" w:rsidRPr="00781112" w:rsidRDefault="002D7AD6" w:rsidP="00286BDF">
      <w:pPr>
        <w:rPr>
          <w:rFonts w:cs="Arial"/>
          <w:color w:val="000000" w:themeColor="text1"/>
          <w:szCs w:val="16"/>
        </w:rPr>
      </w:pPr>
      <w:r w:rsidRPr="00781112">
        <w:rPr>
          <w:rFonts w:cs="Arial"/>
          <w:color w:val="000000" w:themeColor="text1"/>
          <w:szCs w:val="16"/>
        </w:rPr>
        <w:t>States are encouraged to work in collaboration with their OSEP-funded parent centers in collecting data.</w:t>
      </w:r>
    </w:p>
    <w:p w14:paraId="2EF00B98" w14:textId="1D44A6D0" w:rsidR="000B547A" w:rsidRPr="00781112" w:rsidRDefault="00752BAF" w:rsidP="008645AD">
      <w:pPr>
        <w:pStyle w:val="Heading2"/>
      </w:pPr>
      <w:r w:rsidRPr="00781112">
        <w:t>8</w:t>
      </w:r>
      <w:r w:rsidR="001F6BAA" w:rsidRPr="00781112">
        <w:t xml:space="preserve"> </w:t>
      </w:r>
      <w:r w:rsidRPr="00781112">
        <w:t xml:space="preserve">- </w:t>
      </w:r>
      <w:r w:rsidR="000B547A" w:rsidRPr="00781112">
        <w:t>Indicator Data</w:t>
      </w:r>
    </w:p>
    <w:tbl>
      <w:tblPr>
        <w:tblStyle w:val="TableGrid"/>
        <w:tblW w:w="10800" w:type="dxa"/>
        <w:tblLook w:val="04A0" w:firstRow="1" w:lastRow="0" w:firstColumn="1" w:lastColumn="0" w:noHBand="0" w:noVBand="1"/>
        <w:tblCaption w:val="B08INDDATA"/>
      </w:tblPr>
      <w:tblGrid>
        <w:gridCol w:w="8324"/>
        <w:gridCol w:w="2476"/>
      </w:tblGrid>
      <w:tr w:rsidR="005C29F8" w:rsidRPr="00781112" w14:paraId="74873645" w14:textId="77777777" w:rsidTr="0033429D">
        <w:trPr>
          <w:tblHeader/>
        </w:trPr>
        <w:tc>
          <w:tcPr>
            <w:tcW w:w="8324" w:type="dxa"/>
          </w:tcPr>
          <w:p w14:paraId="08995901" w14:textId="6A8EBD47" w:rsidR="000B547A" w:rsidRPr="00781112" w:rsidRDefault="002E111A" w:rsidP="00286BDF">
            <w:pPr>
              <w:rPr>
                <w:rFonts w:cs="Arial"/>
                <w:b/>
                <w:bCs/>
                <w:color w:val="000000" w:themeColor="text1"/>
                <w:szCs w:val="16"/>
              </w:rPr>
            </w:pPr>
            <w:r w:rsidRPr="00781112">
              <w:rPr>
                <w:rFonts w:cs="Arial"/>
                <w:b/>
                <w:bCs/>
                <w:color w:val="000000" w:themeColor="text1"/>
                <w:szCs w:val="16"/>
              </w:rPr>
              <w:t>Question</w:t>
            </w:r>
          </w:p>
        </w:tc>
        <w:tc>
          <w:tcPr>
            <w:tcW w:w="2476" w:type="dxa"/>
          </w:tcPr>
          <w:p w14:paraId="7DF826E5" w14:textId="55897261" w:rsidR="000B547A" w:rsidRPr="00781112" w:rsidRDefault="000B547A" w:rsidP="001011BB">
            <w:pPr>
              <w:jc w:val="center"/>
              <w:rPr>
                <w:rFonts w:cs="Arial"/>
                <w:b/>
                <w:color w:val="000000" w:themeColor="text1"/>
                <w:szCs w:val="16"/>
              </w:rPr>
            </w:pPr>
            <w:r w:rsidRPr="00781112">
              <w:rPr>
                <w:rFonts w:cs="Arial"/>
                <w:b/>
                <w:color w:val="000000" w:themeColor="text1"/>
                <w:szCs w:val="16"/>
              </w:rPr>
              <w:t xml:space="preserve">Yes / No </w:t>
            </w:r>
          </w:p>
        </w:tc>
      </w:tr>
      <w:tr w:rsidR="005C29F8" w:rsidRPr="00781112" w14:paraId="1461C216" w14:textId="7FAEFB03" w:rsidTr="00487CBD">
        <w:trPr>
          <w:trHeight w:val="215"/>
        </w:trPr>
        <w:tc>
          <w:tcPr>
            <w:tcW w:w="8324" w:type="dxa"/>
          </w:tcPr>
          <w:p w14:paraId="443084C1" w14:textId="2A55FAF5" w:rsidR="000B547A" w:rsidRPr="00781112" w:rsidRDefault="000B547A" w:rsidP="00286BDF">
            <w:pPr>
              <w:rPr>
                <w:rFonts w:cs="Arial"/>
                <w:color w:val="000000" w:themeColor="text1"/>
                <w:szCs w:val="16"/>
              </w:rPr>
            </w:pPr>
            <w:r w:rsidRPr="00781112">
              <w:rPr>
                <w:rFonts w:cs="Arial"/>
                <w:color w:val="000000" w:themeColor="text1"/>
                <w:szCs w:val="16"/>
              </w:rPr>
              <w:t xml:space="preserve">Do you use a separate data collection methodology for preschool children? </w:t>
            </w:r>
          </w:p>
        </w:tc>
        <w:tc>
          <w:tcPr>
            <w:tcW w:w="2476" w:type="dxa"/>
          </w:tcPr>
          <w:p w14:paraId="11B72775" w14:textId="3F895E29" w:rsidR="000B547A" w:rsidRPr="00781112" w:rsidRDefault="002B7490" w:rsidP="00A018D4">
            <w:pPr>
              <w:jc w:val="center"/>
              <w:rPr>
                <w:rFonts w:cs="Arial"/>
                <w:color w:val="000000" w:themeColor="text1"/>
                <w:szCs w:val="16"/>
              </w:rPr>
            </w:pPr>
            <w:r w:rsidRPr="00781112">
              <w:rPr>
                <w:rFonts w:cs="Arial"/>
                <w:color w:val="000000" w:themeColor="text1"/>
                <w:szCs w:val="16"/>
              </w:rPr>
              <w:t>NO</w:t>
            </w:r>
          </w:p>
        </w:tc>
      </w:tr>
    </w:tbl>
    <w:bookmarkEnd w:id="39"/>
    <w:p w14:paraId="4CE8E077" w14:textId="24912129" w:rsidR="00487CBD" w:rsidRPr="00781112" w:rsidRDefault="00487CBD" w:rsidP="00487CBD">
      <w:pPr>
        <w:rPr>
          <w:b/>
          <w:color w:val="000000" w:themeColor="text1"/>
        </w:rPr>
      </w:pPr>
      <w:r w:rsidRPr="00781112">
        <w:rPr>
          <w:b/>
          <w:color w:val="000000" w:themeColor="text1"/>
        </w:rPr>
        <w:t xml:space="preserve">Targets: Description of Stakeholder Input </w:t>
      </w:r>
    </w:p>
    <w:p w14:paraId="1CF8039C" w14:textId="30DA616B" w:rsidR="00487CBD" w:rsidRPr="00781112" w:rsidRDefault="00487CBD" w:rsidP="00487CBD">
      <w:pPr>
        <w:rPr>
          <w:rFonts w:cs="Arial"/>
          <w:color w:val="000000" w:themeColor="text1"/>
          <w:szCs w:val="16"/>
        </w:rPr>
      </w:pPr>
      <w:r w:rsidRPr="00781112">
        <w:rPr>
          <w:rFonts w:cs="Arial"/>
          <w:color w:val="000000" w:themeColor="text1"/>
          <w:szCs w:val="16"/>
        </w:rPr>
        <w:t>Louisiana has developed a comprehensive vision for the future of education in our state—Louisiana Believes. The driving force of this vision is that every one of Louisiana’s children should be on track to a college degree or a professional career. This inclusive vision and Louisiana’s values were apparent in the development of the SPP as we solicited and received broad stakeholder input to inform the target setting process for FFY 2020 - FFY 2025. The LDOE used three phases to develop the SPP targets for FFY 2020 - FFY 2025: 1) internal review, 2) external stakeholder feedback, and 3) Special Education Advisory Panel (SEAP) integration.</w:t>
      </w:r>
      <w:r w:rsidRPr="00781112">
        <w:rPr>
          <w:rFonts w:cs="Arial"/>
          <w:color w:val="000000" w:themeColor="text1"/>
          <w:szCs w:val="16"/>
        </w:rPr>
        <w:br/>
      </w:r>
      <w:r w:rsidRPr="00781112">
        <w:rPr>
          <w:rFonts w:cs="Arial"/>
          <w:color w:val="000000" w:themeColor="text1"/>
          <w:szCs w:val="16"/>
        </w:rPr>
        <w:br/>
        <w:t xml:space="preserve">Internal Review </w:t>
      </w:r>
      <w:r w:rsidRPr="00781112">
        <w:rPr>
          <w:rFonts w:cs="Arial"/>
          <w:color w:val="000000" w:themeColor="text1"/>
          <w:szCs w:val="16"/>
        </w:rPr>
        <w:br/>
        <w:t xml:space="preserve">The LDOE's Division for Diverse Learners reviewed historical data and LDOE policies, procedures, and practices; and collaborated with internal teams to develop targets that were rigorous and attainable. </w:t>
      </w:r>
      <w:r w:rsidRPr="00781112">
        <w:rPr>
          <w:rFonts w:cs="Arial"/>
          <w:color w:val="000000" w:themeColor="text1"/>
          <w:szCs w:val="16"/>
        </w:rPr>
        <w:br/>
      </w:r>
      <w:r w:rsidRPr="00781112">
        <w:rPr>
          <w:rFonts w:cs="Arial"/>
          <w:color w:val="000000" w:themeColor="text1"/>
          <w:szCs w:val="16"/>
        </w:rPr>
        <w:br/>
        <w:t>External Stakeholder Feedback</w:t>
      </w:r>
      <w:r w:rsidRPr="00781112">
        <w:rPr>
          <w:rFonts w:cs="Arial"/>
          <w:color w:val="000000" w:themeColor="text1"/>
          <w:szCs w:val="16"/>
        </w:rPr>
        <w:br/>
        <w:t xml:space="preserve">The Division for Diverse Learners developed and executed an SPP/APR target setting engagement strategy to solicit broad stakeholder feedback on the FFY 2020 - FFY 2025 targets. The LDOE developed a State Performance Plan / Annual Performance Report Target Setting webpage on the Louisiana Believes website. The webpage contains an overview document with an explanation of each indicator, historical data for each indicator, and tables to clearly identify whether or not the State met targets for each indicator. After review of the overview document, a target setting survey was available for stakeholders to provide input on targets. </w:t>
      </w:r>
      <w:r w:rsidRPr="00781112">
        <w:rPr>
          <w:rFonts w:cs="Arial"/>
          <w:color w:val="000000" w:themeColor="text1"/>
          <w:szCs w:val="16"/>
        </w:rPr>
        <w:br/>
      </w:r>
      <w:r w:rsidRPr="00781112">
        <w:rPr>
          <w:rFonts w:cs="Arial"/>
          <w:color w:val="000000" w:themeColor="text1"/>
          <w:szCs w:val="16"/>
        </w:rPr>
        <w:br/>
        <w:t>SEAP Integration</w:t>
      </w:r>
      <w:r w:rsidRPr="00781112">
        <w:rPr>
          <w:rFonts w:cs="Arial"/>
          <w:color w:val="000000" w:themeColor="text1"/>
          <w:szCs w:val="16"/>
        </w:rPr>
        <w:br/>
        <w:t>The LDOE informed the SEAP on the target setting process at two separate meetings. LDOE provided an overview of each indicator along with historical data to SEAP members who provided input. SEAP's structure also allows for public comments, which were exercised at the meetings, providing external stakeholder feedback.</w:t>
      </w:r>
      <w:r w:rsidRPr="00781112">
        <w:rPr>
          <w:rFonts w:cs="Arial"/>
          <w:color w:val="000000" w:themeColor="text1"/>
          <w:szCs w:val="16"/>
        </w:rPr>
        <w:br/>
      </w:r>
      <w:r w:rsidRPr="00781112">
        <w:rPr>
          <w:rFonts w:cs="Arial"/>
          <w:color w:val="000000" w:themeColor="text1"/>
          <w:szCs w:val="16"/>
        </w:rPr>
        <w:lastRenderedPageBreak/>
        <w:br/>
        <w:t>The LDOE set targets based on feedback, historical data, and whether previous targets set were met. LDOE will continue to monitor data, targets, and changes to Indicator methodology, and may revise targets in the future, as necessary. Any revisions will incorporate stakeholder feedback, including, but not limited to, SEAP.</w:t>
      </w:r>
    </w:p>
    <w:p w14:paraId="71AF2AFF" w14:textId="77777777" w:rsidR="00487CBD" w:rsidRPr="00781112" w:rsidRDefault="00487CBD" w:rsidP="00487CBD">
      <w:pPr>
        <w:rPr>
          <w:rFonts w:cs="Arial"/>
          <w:color w:val="000000" w:themeColor="text1"/>
          <w:szCs w:val="16"/>
        </w:rPr>
      </w:pPr>
    </w:p>
    <w:p w14:paraId="339F3968" w14:textId="6278D154" w:rsidR="008B600B" w:rsidRPr="00781112" w:rsidRDefault="008B600B" w:rsidP="004369B2">
      <w:pPr>
        <w:rPr>
          <w:rFonts w:cs="Arial"/>
          <w:color w:val="000000" w:themeColor="text1"/>
          <w:szCs w:val="16"/>
        </w:rPr>
      </w:pPr>
    </w:p>
    <w:p w14:paraId="39D78FC4" w14:textId="60D247B6" w:rsidR="00ED0065" w:rsidRPr="00781112" w:rsidRDefault="00ED006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8BASELINEDATA"/>
      </w:tblPr>
      <w:tblGrid>
        <w:gridCol w:w="1797"/>
        <w:gridCol w:w="1798"/>
      </w:tblGrid>
      <w:tr w:rsidR="002E111A" w:rsidRPr="00781112" w14:paraId="4FD416E2" w14:textId="77777777" w:rsidTr="00123D76">
        <w:trPr>
          <w:trHeight w:val="311"/>
          <w:tblHeader/>
        </w:trPr>
        <w:tc>
          <w:tcPr>
            <w:tcW w:w="1797" w:type="dxa"/>
          </w:tcPr>
          <w:p w14:paraId="30EEE37E" w14:textId="77777777" w:rsidR="002E111A" w:rsidRPr="00781112" w:rsidRDefault="002E111A" w:rsidP="00123D76">
            <w:pPr>
              <w:jc w:val="center"/>
              <w:rPr>
                <w:b/>
                <w:color w:val="000000" w:themeColor="text1"/>
              </w:rPr>
            </w:pPr>
            <w:r w:rsidRPr="00781112">
              <w:rPr>
                <w:rFonts w:cs="Arial"/>
                <w:b/>
                <w:color w:val="000000" w:themeColor="text1"/>
                <w:szCs w:val="16"/>
              </w:rPr>
              <w:t>Baseline Year</w:t>
            </w:r>
          </w:p>
        </w:tc>
        <w:tc>
          <w:tcPr>
            <w:tcW w:w="1798" w:type="dxa"/>
          </w:tcPr>
          <w:p w14:paraId="579A26EC" w14:textId="77777777" w:rsidR="002E111A" w:rsidRPr="00781112" w:rsidRDefault="002E111A" w:rsidP="00123D76">
            <w:pPr>
              <w:jc w:val="center"/>
              <w:rPr>
                <w:b/>
                <w:color w:val="000000" w:themeColor="text1"/>
              </w:rPr>
            </w:pPr>
            <w:r w:rsidRPr="00781112">
              <w:rPr>
                <w:b/>
                <w:color w:val="000000" w:themeColor="text1"/>
              </w:rPr>
              <w:t>Baseline Data</w:t>
            </w:r>
          </w:p>
        </w:tc>
      </w:tr>
      <w:tr w:rsidR="002E111A" w:rsidRPr="00781112" w14:paraId="7FB18E4F" w14:textId="77777777" w:rsidTr="00123D76">
        <w:trPr>
          <w:trHeight w:val="311"/>
        </w:trPr>
        <w:tc>
          <w:tcPr>
            <w:tcW w:w="1797" w:type="dxa"/>
            <w:vAlign w:val="center"/>
          </w:tcPr>
          <w:p w14:paraId="167EAC34" w14:textId="69ED71A1" w:rsidR="002E111A" w:rsidRPr="00781112" w:rsidRDefault="002E111A" w:rsidP="00123D76">
            <w:pPr>
              <w:jc w:val="center"/>
              <w:rPr>
                <w:bCs/>
                <w:color w:val="000000" w:themeColor="text1"/>
              </w:rPr>
            </w:pPr>
            <w:r w:rsidRPr="00781112">
              <w:rPr>
                <w:bCs/>
                <w:color w:val="000000" w:themeColor="text1"/>
              </w:rPr>
              <w:t>2005</w:t>
            </w:r>
          </w:p>
        </w:tc>
        <w:tc>
          <w:tcPr>
            <w:tcW w:w="1798" w:type="dxa"/>
            <w:vAlign w:val="center"/>
          </w:tcPr>
          <w:p w14:paraId="14A1010A" w14:textId="403EDC7C" w:rsidR="002E111A" w:rsidRPr="00781112" w:rsidRDefault="002E111A" w:rsidP="00123D76">
            <w:pPr>
              <w:jc w:val="center"/>
              <w:rPr>
                <w:bCs/>
                <w:color w:val="000000" w:themeColor="text1"/>
              </w:rPr>
            </w:pPr>
            <w:r w:rsidRPr="00781112">
              <w:rPr>
                <w:bCs/>
                <w:color w:val="000000" w:themeColor="text1"/>
              </w:rPr>
              <w:t>39.00%</w:t>
            </w:r>
          </w:p>
        </w:tc>
      </w:tr>
    </w:tbl>
    <w:p w14:paraId="79684A14" w14:textId="77777777" w:rsidR="002E111A" w:rsidRPr="00781112" w:rsidRDefault="002E111A"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HISTDATAOPT1"/>
      </w:tblPr>
      <w:tblGrid>
        <w:gridCol w:w="1798"/>
        <w:gridCol w:w="1798"/>
        <w:gridCol w:w="1798"/>
        <w:gridCol w:w="1798"/>
        <w:gridCol w:w="1798"/>
        <w:gridCol w:w="1800"/>
      </w:tblGrid>
      <w:tr w:rsidR="005C29F8" w:rsidRPr="00781112" w14:paraId="06FA8C8B" w14:textId="77777777" w:rsidTr="00C40E4D">
        <w:trPr>
          <w:trHeight w:val="287"/>
        </w:trPr>
        <w:tc>
          <w:tcPr>
            <w:tcW w:w="833" w:type="pct"/>
            <w:tcBorders>
              <w:bottom w:val="single" w:sz="4" w:space="0" w:color="auto"/>
            </w:tcBorders>
            <w:shd w:val="clear" w:color="auto" w:fill="auto"/>
          </w:tcPr>
          <w:p w14:paraId="31735078" w14:textId="77777777" w:rsidR="00FB6462" w:rsidRPr="00781112" w:rsidRDefault="00FB6462" w:rsidP="0033429D">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2FE2E19D" w14:textId="1650DFDD" w:rsidR="00FB6462" w:rsidRPr="00781112" w:rsidRDefault="002B7490" w:rsidP="00DC263A">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2DF60B98" w14:textId="1CF7D6BE" w:rsidR="00FB6462" w:rsidRPr="00781112" w:rsidRDefault="002B7490" w:rsidP="00DC263A">
            <w:pPr>
              <w:keepNext/>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53278B9A" w14:textId="6050DB27" w:rsidR="00FB6462" w:rsidRPr="00781112" w:rsidRDefault="002B7490" w:rsidP="00DC263A">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2F23746E" w14:textId="403244A2" w:rsidR="00FB6462" w:rsidRPr="00781112" w:rsidRDefault="002B7490" w:rsidP="00DC263A">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7E365F7F" w14:textId="686F85A1" w:rsidR="00FB6462" w:rsidRPr="00781112" w:rsidRDefault="002B7490" w:rsidP="00DC263A">
            <w:pPr>
              <w:jc w:val="center"/>
              <w:rPr>
                <w:rFonts w:cs="Arial"/>
                <w:b/>
                <w:color w:val="000000" w:themeColor="text1"/>
                <w:szCs w:val="16"/>
              </w:rPr>
            </w:pPr>
            <w:r w:rsidRPr="00781112">
              <w:rPr>
                <w:rFonts w:cs="Arial"/>
                <w:b/>
                <w:color w:val="000000" w:themeColor="text1"/>
                <w:szCs w:val="16"/>
              </w:rPr>
              <w:t>2019</w:t>
            </w:r>
          </w:p>
        </w:tc>
      </w:tr>
      <w:tr w:rsidR="005C29F8" w:rsidRPr="00781112" w14:paraId="040D0378" w14:textId="77777777" w:rsidTr="00C40E4D">
        <w:trPr>
          <w:trHeight w:val="357"/>
        </w:trPr>
        <w:tc>
          <w:tcPr>
            <w:tcW w:w="833" w:type="pct"/>
            <w:shd w:val="clear" w:color="auto" w:fill="auto"/>
          </w:tcPr>
          <w:p w14:paraId="54EE5848" w14:textId="7260CA74" w:rsidR="00FB6462" w:rsidRPr="00781112" w:rsidRDefault="00FB6462" w:rsidP="005A338D">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56BDAD4D" w14:textId="1C7EF6C0" w:rsidR="00FB6462" w:rsidRPr="00781112" w:rsidRDefault="002B7490" w:rsidP="00A018D4">
            <w:pPr>
              <w:jc w:val="center"/>
              <w:rPr>
                <w:rFonts w:cs="Arial"/>
                <w:color w:val="000000" w:themeColor="text1"/>
                <w:szCs w:val="16"/>
              </w:rPr>
            </w:pPr>
            <w:r w:rsidRPr="00781112">
              <w:rPr>
                <w:rFonts w:cs="Arial"/>
                <w:color w:val="000000" w:themeColor="text1"/>
                <w:szCs w:val="16"/>
              </w:rPr>
              <w:t>38.00%</w:t>
            </w:r>
          </w:p>
        </w:tc>
        <w:tc>
          <w:tcPr>
            <w:tcW w:w="833" w:type="pct"/>
            <w:shd w:val="clear" w:color="auto" w:fill="auto"/>
          </w:tcPr>
          <w:p w14:paraId="45AE596F" w14:textId="6983147C" w:rsidR="00FB6462" w:rsidRPr="00781112" w:rsidRDefault="002B7490" w:rsidP="00A018D4">
            <w:pPr>
              <w:jc w:val="center"/>
              <w:rPr>
                <w:rFonts w:cs="Arial"/>
                <w:color w:val="000000" w:themeColor="text1"/>
                <w:szCs w:val="16"/>
              </w:rPr>
            </w:pPr>
            <w:r w:rsidRPr="00781112">
              <w:rPr>
                <w:rFonts w:cs="Arial"/>
                <w:color w:val="000000" w:themeColor="text1"/>
                <w:szCs w:val="16"/>
              </w:rPr>
              <w:t>81.50%</w:t>
            </w:r>
          </w:p>
        </w:tc>
        <w:tc>
          <w:tcPr>
            <w:tcW w:w="833" w:type="pct"/>
            <w:shd w:val="clear" w:color="auto" w:fill="auto"/>
            <w:vAlign w:val="center"/>
          </w:tcPr>
          <w:p w14:paraId="4CA9D7D5" w14:textId="26724736" w:rsidR="00FB6462" w:rsidRPr="00781112" w:rsidRDefault="002B7490" w:rsidP="00A018D4">
            <w:pPr>
              <w:jc w:val="center"/>
              <w:rPr>
                <w:rFonts w:cs="Arial"/>
                <w:color w:val="000000" w:themeColor="text1"/>
                <w:szCs w:val="16"/>
              </w:rPr>
            </w:pPr>
            <w:r w:rsidRPr="00781112">
              <w:rPr>
                <w:rFonts w:cs="Arial"/>
                <w:color w:val="000000" w:themeColor="text1"/>
                <w:szCs w:val="16"/>
              </w:rPr>
              <w:t>82.50%</w:t>
            </w:r>
          </w:p>
        </w:tc>
        <w:tc>
          <w:tcPr>
            <w:tcW w:w="833" w:type="pct"/>
            <w:shd w:val="clear" w:color="auto" w:fill="auto"/>
            <w:vAlign w:val="center"/>
          </w:tcPr>
          <w:p w14:paraId="2AC9DE6C" w14:textId="662D879E" w:rsidR="00FB6462" w:rsidRPr="00781112" w:rsidRDefault="002B7490" w:rsidP="00A018D4">
            <w:pPr>
              <w:jc w:val="center"/>
              <w:rPr>
                <w:rFonts w:cs="Arial"/>
                <w:color w:val="000000" w:themeColor="text1"/>
                <w:szCs w:val="16"/>
              </w:rPr>
            </w:pPr>
            <w:r w:rsidRPr="00781112">
              <w:rPr>
                <w:rFonts w:cs="Arial"/>
                <w:color w:val="000000" w:themeColor="text1"/>
                <w:szCs w:val="16"/>
              </w:rPr>
              <w:t>83.50%</w:t>
            </w:r>
          </w:p>
        </w:tc>
        <w:tc>
          <w:tcPr>
            <w:tcW w:w="834" w:type="pct"/>
            <w:shd w:val="clear" w:color="auto" w:fill="auto"/>
            <w:vAlign w:val="center"/>
          </w:tcPr>
          <w:p w14:paraId="1D66991F" w14:textId="5308C1A9" w:rsidR="00FB6462" w:rsidRPr="00781112" w:rsidRDefault="002B7490" w:rsidP="00A018D4">
            <w:pPr>
              <w:jc w:val="center"/>
              <w:rPr>
                <w:rFonts w:cs="Arial"/>
                <w:color w:val="000000" w:themeColor="text1"/>
                <w:szCs w:val="16"/>
              </w:rPr>
            </w:pPr>
            <w:r w:rsidRPr="00781112">
              <w:rPr>
                <w:rFonts w:cs="Arial"/>
                <w:color w:val="000000" w:themeColor="text1"/>
                <w:szCs w:val="16"/>
              </w:rPr>
              <w:t>83.50%</w:t>
            </w:r>
          </w:p>
        </w:tc>
      </w:tr>
      <w:tr w:rsidR="005C29F8" w:rsidRPr="00781112" w14:paraId="0983C602" w14:textId="77777777" w:rsidTr="00C40E4D">
        <w:trPr>
          <w:trHeight w:val="85"/>
        </w:trPr>
        <w:tc>
          <w:tcPr>
            <w:tcW w:w="833" w:type="pct"/>
            <w:shd w:val="clear" w:color="auto" w:fill="auto"/>
          </w:tcPr>
          <w:p w14:paraId="024AD7D5" w14:textId="77777777" w:rsidR="00FB6462" w:rsidRPr="00781112" w:rsidRDefault="00FB6462" w:rsidP="005A338D">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0C46B390" w14:textId="75A5B1D9" w:rsidR="00FB6462" w:rsidRPr="00781112" w:rsidRDefault="002B7490" w:rsidP="00A018D4">
            <w:pPr>
              <w:jc w:val="center"/>
              <w:rPr>
                <w:rFonts w:cs="Arial"/>
                <w:color w:val="000000" w:themeColor="text1"/>
                <w:szCs w:val="16"/>
              </w:rPr>
            </w:pPr>
            <w:r w:rsidRPr="00781112">
              <w:rPr>
                <w:rFonts w:cs="Arial"/>
                <w:color w:val="000000" w:themeColor="text1"/>
                <w:szCs w:val="16"/>
              </w:rPr>
              <w:t>77.63%</w:t>
            </w:r>
          </w:p>
        </w:tc>
        <w:tc>
          <w:tcPr>
            <w:tcW w:w="833" w:type="pct"/>
            <w:shd w:val="clear" w:color="auto" w:fill="auto"/>
          </w:tcPr>
          <w:p w14:paraId="0F636319" w14:textId="7C4BA9E9" w:rsidR="00FB6462" w:rsidRPr="00781112" w:rsidRDefault="002B7490" w:rsidP="00A018D4">
            <w:pPr>
              <w:jc w:val="center"/>
              <w:rPr>
                <w:rFonts w:cs="Arial"/>
                <w:color w:val="000000" w:themeColor="text1"/>
                <w:szCs w:val="16"/>
              </w:rPr>
            </w:pPr>
            <w:r w:rsidRPr="00781112">
              <w:rPr>
                <w:rFonts w:cs="Arial"/>
                <w:color w:val="000000" w:themeColor="text1"/>
                <w:szCs w:val="16"/>
              </w:rPr>
              <w:t>85.38%</w:t>
            </w:r>
          </w:p>
        </w:tc>
        <w:tc>
          <w:tcPr>
            <w:tcW w:w="833" w:type="pct"/>
            <w:tcBorders>
              <w:bottom w:val="single" w:sz="4" w:space="0" w:color="auto"/>
            </w:tcBorders>
            <w:shd w:val="clear" w:color="auto" w:fill="auto"/>
            <w:vAlign w:val="center"/>
          </w:tcPr>
          <w:p w14:paraId="72DD8100" w14:textId="2078A0DC" w:rsidR="00FB6462" w:rsidRPr="00781112" w:rsidRDefault="002B7490" w:rsidP="00A018D4">
            <w:pPr>
              <w:jc w:val="center"/>
              <w:rPr>
                <w:rFonts w:cs="Arial"/>
                <w:color w:val="000000" w:themeColor="text1"/>
                <w:szCs w:val="16"/>
              </w:rPr>
            </w:pPr>
            <w:r w:rsidRPr="00781112">
              <w:rPr>
                <w:rFonts w:cs="Arial"/>
                <w:color w:val="000000" w:themeColor="text1"/>
                <w:szCs w:val="16"/>
              </w:rPr>
              <w:t>83.25%</w:t>
            </w:r>
          </w:p>
        </w:tc>
        <w:tc>
          <w:tcPr>
            <w:tcW w:w="833" w:type="pct"/>
            <w:tcBorders>
              <w:bottom w:val="single" w:sz="4" w:space="0" w:color="auto"/>
            </w:tcBorders>
            <w:shd w:val="clear" w:color="auto" w:fill="auto"/>
            <w:vAlign w:val="center"/>
          </w:tcPr>
          <w:p w14:paraId="36AAC02B" w14:textId="31D6381A" w:rsidR="00FB6462" w:rsidRPr="00781112" w:rsidRDefault="002B7490" w:rsidP="00A018D4">
            <w:pPr>
              <w:jc w:val="center"/>
              <w:rPr>
                <w:rFonts w:cs="Arial"/>
                <w:color w:val="000000" w:themeColor="text1"/>
                <w:szCs w:val="16"/>
              </w:rPr>
            </w:pPr>
            <w:r w:rsidRPr="00781112">
              <w:rPr>
                <w:rFonts w:cs="Arial"/>
                <w:color w:val="000000" w:themeColor="text1"/>
                <w:szCs w:val="16"/>
              </w:rPr>
              <w:t>85.71%</w:t>
            </w:r>
          </w:p>
        </w:tc>
        <w:tc>
          <w:tcPr>
            <w:tcW w:w="834" w:type="pct"/>
            <w:tcBorders>
              <w:bottom w:val="single" w:sz="4" w:space="0" w:color="auto"/>
            </w:tcBorders>
            <w:shd w:val="clear" w:color="auto" w:fill="auto"/>
            <w:vAlign w:val="center"/>
          </w:tcPr>
          <w:p w14:paraId="4F9B07B7" w14:textId="7D67594F" w:rsidR="00FB6462" w:rsidRPr="00781112" w:rsidRDefault="002B7490" w:rsidP="00A018D4">
            <w:pPr>
              <w:jc w:val="center"/>
              <w:rPr>
                <w:rFonts w:cs="Arial"/>
                <w:color w:val="000000" w:themeColor="text1"/>
                <w:szCs w:val="16"/>
              </w:rPr>
            </w:pPr>
            <w:r w:rsidRPr="00781112">
              <w:rPr>
                <w:rFonts w:cs="Arial"/>
                <w:color w:val="000000" w:themeColor="text1"/>
                <w:szCs w:val="16"/>
              </w:rPr>
              <w:t>84.31%</w:t>
            </w:r>
          </w:p>
        </w:tc>
      </w:tr>
    </w:tbl>
    <w:p w14:paraId="0E2D4617" w14:textId="77777777" w:rsidR="000417B4" w:rsidRPr="00781112" w:rsidRDefault="000417B4" w:rsidP="004369B2">
      <w:pPr>
        <w:rPr>
          <w:color w:val="000000" w:themeColor="text1"/>
        </w:rPr>
      </w:pPr>
    </w:p>
    <w:p w14:paraId="1F4FFBFE" w14:textId="308C372B" w:rsidR="00FB6462" w:rsidRPr="00781112" w:rsidRDefault="00FB6462" w:rsidP="004369B2">
      <w:pPr>
        <w:rPr>
          <w:color w:val="000000" w:themeColor="text1"/>
        </w:rPr>
      </w:pPr>
      <w:r w:rsidRPr="00781112">
        <w:rPr>
          <w:b/>
          <w:color w:val="000000" w:themeColor="text1"/>
        </w:rPr>
        <w:t>Targets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TARGETSOPT1"/>
      </w:tblPr>
      <w:tblGrid>
        <w:gridCol w:w="899"/>
        <w:gridCol w:w="1650"/>
        <w:gridCol w:w="1650"/>
        <w:gridCol w:w="1650"/>
        <w:gridCol w:w="1650"/>
        <w:gridCol w:w="1650"/>
        <w:gridCol w:w="1647"/>
      </w:tblGrid>
      <w:tr w:rsidR="00AD5583" w:rsidRPr="00781112" w14:paraId="77450D85" w14:textId="217C23D8" w:rsidTr="00730C62">
        <w:trPr>
          <w:trHeight w:val="242"/>
        </w:trPr>
        <w:tc>
          <w:tcPr>
            <w:tcW w:w="416" w:type="pct"/>
            <w:tcBorders>
              <w:bottom w:val="single" w:sz="4" w:space="0" w:color="auto"/>
            </w:tcBorders>
            <w:shd w:val="clear" w:color="auto" w:fill="auto"/>
            <w:vAlign w:val="center"/>
          </w:tcPr>
          <w:p w14:paraId="5A82FAC4" w14:textId="77777777" w:rsidR="00AD5583" w:rsidRPr="003F088A" w:rsidRDefault="00AD5583" w:rsidP="00AD5583">
            <w:pPr>
              <w:jc w:val="center"/>
              <w:rPr>
                <w:rFonts w:cs="Arial"/>
                <w:b/>
                <w:color w:val="000000" w:themeColor="text1"/>
                <w:szCs w:val="16"/>
              </w:rPr>
            </w:pPr>
            <w:r w:rsidRPr="003F088A">
              <w:rPr>
                <w:rFonts w:cs="Arial"/>
                <w:b/>
                <w:color w:val="000000" w:themeColor="text1"/>
                <w:szCs w:val="16"/>
              </w:rPr>
              <w:t>FFY</w:t>
            </w:r>
          </w:p>
        </w:tc>
        <w:tc>
          <w:tcPr>
            <w:tcW w:w="764" w:type="pct"/>
            <w:shd w:val="clear" w:color="auto" w:fill="auto"/>
            <w:vAlign w:val="center"/>
          </w:tcPr>
          <w:p w14:paraId="6DDB1395" w14:textId="489E70A4" w:rsidR="00AD5583" w:rsidRPr="003F088A" w:rsidRDefault="00AD5583" w:rsidP="00AD5583">
            <w:pPr>
              <w:jc w:val="center"/>
              <w:rPr>
                <w:rFonts w:cs="Arial"/>
                <w:b/>
                <w:color w:val="000000" w:themeColor="text1"/>
                <w:szCs w:val="16"/>
              </w:rPr>
            </w:pPr>
            <w:r w:rsidRPr="003F088A">
              <w:rPr>
                <w:rFonts w:cs="Arial"/>
                <w:b/>
                <w:color w:val="000000" w:themeColor="text1"/>
                <w:szCs w:val="16"/>
              </w:rPr>
              <w:t>2020</w:t>
            </w:r>
          </w:p>
        </w:tc>
        <w:tc>
          <w:tcPr>
            <w:tcW w:w="764" w:type="pct"/>
            <w:vAlign w:val="center"/>
          </w:tcPr>
          <w:p w14:paraId="3277D8E8" w14:textId="4A05E6F6" w:rsidR="00AD5583" w:rsidRPr="003F088A" w:rsidRDefault="00AD5583" w:rsidP="00730C62">
            <w:pPr>
              <w:jc w:val="center"/>
              <w:rPr>
                <w:rFonts w:cs="Arial"/>
                <w:b/>
                <w:color w:val="000000" w:themeColor="text1"/>
                <w:szCs w:val="16"/>
              </w:rPr>
            </w:pPr>
            <w:r w:rsidRPr="00781112">
              <w:rPr>
                <w:rFonts w:cs="Arial"/>
                <w:b/>
                <w:color w:val="000000" w:themeColor="text1"/>
                <w:szCs w:val="16"/>
              </w:rPr>
              <w:t>2021</w:t>
            </w:r>
          </w:p>
        </w:tc>
        <w:tc>
          <w:tcPr>
            <w:tcW w:w="764" w:type="pct"/>
            <w:vAlign w:val="center"/>
          </w:tcPr>
          <w:p w14:paraId="3AC9106D" w14:textId="5F7A56D0" w:rsidR="00AD5583" w:rsidRPr="003F088A" w:rsidRDefault="00AD5583" w:rsidP="00730C62">
            <w:pPr>
              <w:jc w:val="center"/>
              <w:rPr>
                <w:rFonts w:cs="Arial"/>
                <w:b/>
                <w:color w:val="000000" w:themeColor="text1"/>
                <w:szCs w:val="16"/>
              </w:rPr>
            </w:pPr>
            <w:r w:rsidRPr="00781112">
              <w:rPr>
                <w:rFonts w:cs="Arial"/>
                <w:b/>
                <w:color w:val="000000" w:themeColor="text1"/>
                <w:szCs w:val="16"/>
              </w:rPr>
              <w:t>2022</w:t>
            </w:r>
          </w:p>
        </w:tc>
        <w:tc>
          <w:tcPr>
            <w:tcW w:w="764" w:type="pct"/>
            <w:vAlign w:val="center"/>
          </w:tcPr>
          <w:p w14:paraId="4E87FEC3" w14:textId="73615588" w:rsidR="00AD5583" w:rsidRPr="003F088A" w:rsidRDefault="00AD5583" w:rsidP="00730C62">
            <w:pPr>
              <w:jc w:val="center"/>
              <w:rPr>
                <w:rFonts w:cs="Arial"/>
                <w:b/>
                <w:color w:val="000000" w:themeColor="text1"/>
                <w:szCs w:val="16"/>
              </w:rPr>
            </w:pPr>
            <w:r w:rsidRPr="00781112">
              <w:rPr>
                <w:rFonts w:cs="Arial"/>
                <w:b/>
                <w:color w:val="000000" w:themeColor="text1"/>
                <w:szCs w:val="16"/>
              </w:rPr>
              <w:t>2023</w:t>
            </w:r>
          </w:p>
        </w:tc>
        <w:tc>
          <w:tcPr>
            <w:tcW w:w="764" w:type="pct"/>
            <w:vAlign w:val="center"/>
          </w:tcPr>
          <w:p w14:paraId="52455E86" w14:textId="781B38CA" w:rsidR="00AD5583" w:rsidRPr="003F088A" w:rsidRDefault="00AD5583" w:rsidP="00730C62">
            <w:pPr>
              <w:jc w:val="center"/>
              <w:rPr>
                <w:rFonts w:cs="Arial"/>
                <w:b/>
                <w:color w:val="000000" w:themeColor="text1"/>
                <w:szCs w:val="16"/>
              </w:rPr>
            </w:pPr>
            <w:r w:rsidRPr="00781112">
              <w:rPr>
                <w:rFonts w:cs="Arial"/>
                <w:b/>
                <w:color w:val="000000" w:themeColor="text1"/>
                <w:szCs w:val="16"/>
              </w:rPr>
              <w:t>2024</w:t>
            </w:r>
          </w:p>
        </w:tc>
        <w:tc>
          <w:tcPr>
            <w:tcW w:w="763" w:type="pct"/>
            <w:vAlign w:val="center"/>
          </w:tcPr>
          <w:p w14:paraId="4A4812CC" w14:textId="475E9D49" w:rsidR="00AD5583" w:rsidRPr="003F088A" w:rsidRDefault="00AD5583" w:rsidP="00730C62">
            <w:pPr>
              <w:jc w:val="center"/>
              <w:rPr>
                <w:rFonts w:cs="Arial"/>
                <w:b/>
                <w:color w:val="000000" w:themeColor="text1"/>
                <w:szCs w:val="16"/>
              </w:rPr>
            </w:pPr>
            <w:r w:rsidRPr="00781112">
              <w:rPr>
                <w:rFonts w:cs="Arial"/>
                <w:b/>
                <w:color w:val="000000" w:themeColor="text1"/>
                <w:szCs w:val="16"/>
              </w:rPr>
              <w:t>2025</w:t>
            </w:r>
          </w:p>
        </w:tc>
      </w:tr>
      <w:tr w:rsidR="00AD5583" w:rsidRPr="00781112" w14:paraId="50A2A35E" w14:textId="13C4D5C2" w:rsidTr="003F088A">
        <w:trPr>
          <w:trHeight w:val="370"/>
        </w:trPr>
        <w:tc>
          <w:tcPr>
            <w:tcW w:w="416" w:type="pct"/>
            <w:shd w:val="clear" w:color="auto" w:fill="auto"/>
          </w:tcPr>
          <w:p w14:paraId="2F249DEE" w14:textId="4AA3473F" w:rsidR="00AD5583" w:rsidRPr="00781112" w:rsidRDefault="00AD5583" w:rsidP="00AD5583">
            <w:pPr>
              <w:rPr>
                <w:rFonts w:cs="Arial"/>
                <w:color w:val="000000" w:themeColor="text1"/>
                <w:szCs w:val="16"/>
              </w:rPr>
            </w:pPr>
            <w:r w:rsidRPr="00781112">
              <w:rPr>
                <w:rFonts w:cs="Arial"/>
                <w:color w:val="000000" w:themeColor="text1"/>
                <w:szCs w:val="16"/>
              </w:rPr>
              <w:t>Target &gt;=</w:t>
            </w:r>
          </w:p>
        </w:tc>
        <w:tc>
          <w:tcPr>
            <w:tcW w:w="764" w:type="pct"/>
            <w:shd w:val="clear" w:color="auto" w:fill="auto"/>
            <w:vAlign w:val="center"/>
          </w:tcPr>
          <w:p w14:paraId="2ACB7B9E" w14:textId="427B5E78" w:rsidR="00AD5583" w:rsidRPr="00781112" w:rsidRDefault="00AD5583" w:rsidP="00AD5583">
            <w:pPr>
              <w:jc w:val="center"/>
              <w:rPr>
                <w:rFonts w:cs="Arial"/>
                <w:color w:val="000000" w:themeColor="text1"/>
                <w:szCs w:val="16"/>
              </w:rPr>
            </w:pPr>
            <w:r w:rsidRPr="00781112">
              <w:rPr>
                <w:rFonts w:cs="Arial"/>
                <w:color w:val="000000" w:themeColor="text1"/>
                <w:szCs w:val="16"/>
              </w:rPr>
              <w:t>84.50%</w:t>
            </w:r>
          </w:p>
        </w:tc>
        <w:tc>
          <w:tcPr>
            <w:tcW w:w="764" w:type="pct"/>
          </w:tcPr>
          <w:p w14:paraId="01493DF6" w14:textId="39FAD961" w:rsidR="00AD5583" w:rsidRPr="00781112" w:rsidRDefault="00AD5583" w:rsidP="00AD5583">
            <w:pPr>
              <w:spacing w:before="0" w:after="200" w:line="276" w:lineRule="auto"/>
            </w:pPr>
            <w:r w:rsidRPr="00781112">
              <w:rPr>
                <w:color w:val="000000" w:themeColor="text1"/>
                <w:szCs w:val="16"/>
              </w:rPr>
              <w:t>85.50%</w:t>
            </w:r>
          </w:p>
        </w:tc>
        <w:tc>
          <w:tcPr>
            <w:tcW w:w="764" w:type="pct"/>
          </w:tcPr>
          <w:p w14:paraId="71DAA89B" w14:textId="5FDD553A" w:rsidR="00AD5583" w:rsidRPr="00781112" w:rsidRDefault="00AD5583" w:rsidP="00AD5583">
            <w:pPr>
              <w:spacing w:before="0" w:after="200" w:line="276" w:lineRule="auto"/>
            </w:pPr>
            <w:r w:rsidRPr="00781112">
              <w:rPr>
                <w:color w:val="000000" w:themeColor="text1"/>
                <w:szCs w:val="16"/>
              </w:rPr>
              <w:t>86.50%</w:t>
            </w:r>
          </w:p>
        </w:tc>
        <w:tc>
          <w:tcPr>
            <w:tcW w:w="764" w:type="pct"/>
          </w:tcPr>
          <w:p w14:paraId="6C8342E2" w14:textId="3FBC30A4" w:rsidR="00AD5583" w:rsidRPr="00781112" w:rsidRDefault="00AD5583" w:rsidP="00AD5583">
            <w:pPr>
              <w:spacing w:before="0" w:after="200" w:line="276" w:lineRule="auto"/>
            </w:pPr>
            <w:r w:rsidRPr="00781112">
              <w:rPr>
                <w:color w:val="000000" w:themeColor="text1"/>
                <w:szCs w:val="16"/>
              </w:rPr>
              <w:t>87.50%</w:t>
            </w:r>
          </w:p>
        </w:tc>
        <w:tc>
          <w:tcPr>
            <w:tcW w:w="764" w:type="pct"/>
          </w:tcPr>
          <w:p w14:paraId="02A9D828" w14:textId="4D6EC210" w:rsidR="00AD5583" w:rsidRPr="00781112" w:rsidRDefault="00AD5583" w:rsidP="00AD5583">
            <w:pPr>
              <w:spacing w:before="0" w:after="200" w:line="276" w:lineRule="auto"/>
            </w:pPr>
            <w:r w:rsidRPr="00781112">
              <w:rPr>
                <w:color w:val="000000" w:themeColor="text1"/>
                <w:szCs w:val="16"/>
              </w:rPr>
              <w:t>88.50%</w:t>
            </w:r>
          </w:p>
        </w:tc>
        <w:tc>
          <w:tcPr>
            <w:tcW w:w="763" w:type="pct"/>
          </w:tcPr>
          <w:p w14:paraId="48D63A57" w14:textId="042E36D7" w:rsidR="00AD5583" w:rsidRPr="00781112" w:rsidRDefault="00AD5583" w:rsidP="00AD5583">
            <w:pPr>
              <w:spacing w:before="0" w:after="200" w:line="276" w:lineRule="auto"/>
            </w:pPr>
            <w:r w:rsidRPr="00781112">
              <w:rPr>
                <w:color w:val="000000" w:themeColor="text1"/>
                <w:szCs w:val="16"/>
              </w:rPr>
              <w:t>89.50%</w:t>
            </w:r>
          </w:p>
        </w:tc>
      </w:tr>
    </w:tbl>
    <w:p w14:paraId="68BCE5ED" w14:textId="77777777" w:rsidR="007E2779" w:rsidRPr="00781112" w:rsidRDefault="007E2779" w:rsidP="000A2C83">
      <w:pPr>
        <w:rPr>
          <w:rFonts w:cs="Arial"/>
          <w:color w:val="000000" w:themeColor="text1"/>
          <w:szCs w:val="16"/>
        </w:rPr>
      </w:pPr>
    </w:p>
    <w:p w14:paraId="15954908" w14:textId="2049FD18" w:rsidR="00FB6462" w:rsidRPr="00781112" w:rsidRDefault="00F6415A" w:rsidP="004369B2">
      <w:pPr>
        <w:rPr>
          <w:color w:val="000000" w:themeColor="text1"/>
        </w:rPr>
      </w:pPr>
      <w:r w:rsidRPr="00781112">
        <w:rPr>
          <w:b/>
          <w:color w:val="000000" w:themeColor="text1"/>
        </w:rPr>
        <w:t>FFY 2020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CFFYAPRDATAOPT1"/>
      </w:tblPr>
      <w:tblGrid>
        <w:gridCol w:w="2686"/>
        <w:gridCol w:w="15"/>
        <w:gridCol w:w="1440"/>
        <w:gridCol w:w="1170"/>
        <w:gridCol w:w="1440"/>
        <w:gridCol w:w="1170"/>
        <w:gridCol w:w="1349"/>
        <w:gridCol w:w="1524"/>
      </w:tblGrid>
      <w:tr w:rsidR="005C29F8" w:rsidRPr="00781112" w14:paraId="2A3467FD" w14:textId="77777777" w:rsidTr="00AB0D6A">
        <w:trPr>
          <w:trHeight w:val="368"/>
          <w:tblHeader/>
        </w:trPr>
        <w:tc>
          <w:tcPr>
            <w:tcW w:w="1244" w:type="pct"/>
            <w:shd w:val="clear" w:color="auto" w:fill="auto"/>
            <w:vAlign w:val="bottom"/>
          </w:tcPr>
          <w:p w14:paraId="1B1F6FBB" w14:textId="77777777" w:rsidR="00FB6462" w:rsidRPr="00781112" w:rsidRDefault="00FB6462" w:rsidP="004369B2">
            <w:pPr>
              <w:jc w:val="center"/>
              <w:rPr>
                <w:b/>
                <w:color w:val="000000" w:themeColor="text1"/>
              </w:rPr>
            </w:pPr>
            <w:r w:rsidRPr="00781112">
              <w:rPr>
                <w:b/>
                <w:color w:val="000000" w:themeColor="text1"/>
              </w:rPr>
              <w:t>Number of respondent parents who report schools facilitated parent involvement as a means of improving services and results for children with disabilities</w:t>
            </w:r>
          </w:p>
        </w:tc>
        <w:tc>
          <w:tcPr>
            <w:tcW w:w="674" w:type="pct"/>
            <w:gridSpan w:val="2"/>
            <w:shd w:val="clear" w:color="auto" w:fill="auto"/>
            <w:vAlign w:val="bottom"/>
          </w:tcPr>
          <w:p w14:paraId="200E18C6" w14:textId="77777777" w:rsidR="00FB6462" w:rsidRPr="00781112" w:rsidRDefault="00FB6462" w:rsidP="004369B2">
            <w:pPr>
              <w:jc w:val="center"/>
              <w:rPr>
                <w:b/>
                <w:color w:val="000000" w:themeColor="text1"/>
              </w:rPr>
            </w:pPr>
            <w:r w:rsidRPr="00781112">
              <w:rPr>
                <w:b/>
                <w:color w:val="000000" w:themeColor="text1"/>
              </w:rPr>
              <w:t>Total number of respondent parents of children with disabilities</w:t>
            </w:r>
          </w:p>
        </w:tc>
        <w:tc>
          <w:tcPr>
            <w:tcW w:w="542" w:type="pct"/>
            <w:shd w:val="clear" w:color="auto" w:fill="auto"/>
            <w:vAlign w:val="bottom"/>
          </w:tcPr>
          <w:p w14:paraId="57D9347A" w14:textId="517F57F6" w:rsidR="00FB6462" w:rsidRPr="00781112" w:rsidRDefault="00F6415A" w:rsidP="004369B2">
            <w:pPr>
              <w:jc w:val="center"/>
              <w:rPr>
                <w:b/>
                <w:color w:val="000000" w:themeColor="text1"/>
              </w:rPr>
            </w:pPr>
            <w:r w:rsidRPr="00781112">
              <w:rPr>
                <w:b/>
                <w:color w:val="000000" w:themeColor="text1"/>
              </w:rPr>
              <w:t>FFY 2019 Data</w:t>
            </w:r>
          </w:p>
        </w:tc>
        <w:tc>
          <w:tcPr>
            <w:tcW w:w="667" w:type="pct"/>
            <w:shd w:val="clear" w:color="auto" w:fill="auto"/>
            <w:vAlign w:val="bottom"/>
          </w:tcPr>
          <w:p w14:paraId="42BF1046" w14:textId="1D5E54D5" w:rsidR="00FB6462" w:rsidRPr="00781112" w:rsidRDefault="00F6415A" w:rsidP="004369B2">
            <w:pPr>
              <w:jc w:val="center"/>
              <w:rPr>
                <w:b/>
                <w:color w:val="000000" w:themeColor="text1"/>
              </w:rPr>
            </w:pPr>
            <w:r w:rsidRPr="00781112">
              <w:rPr>
                <w:b/>
                <w:color w:val="000000" w:themeColor="text1"/>
              </w:rPr>
              <w:t>FFY 2020 Target</w:t>
            </w:r>
          </w:p>
        </w:tc>
        <w:tc>
          <w:tcPr>
            <w:tcW w:w="542" w:type="pct"/>
            <w:shd w:val="clear" w:color="auto" w:fill="auto"/>
            <w:vAlign w:val="bottom"/>
          </w:tcPr>
          <w:p w14:paraId="36E0331C" w14:textId="46E92866" w:rsidR="00FB6462" w:rsidRPr="00781112" w:rsidRDefault="00F6415A" w:rsidP="004369B2">
            <w:pPr>
              <w:jc w:val="center"/>
              <w:rPr>
                <w:b/>
                <w:color w:val="000000" w:themeColor="text1"/>
              </w:rPr>
            </w:pPr>
            <w:r w:rsidRPr="00781112">
              <w:rPr>
                <w:b/>
                <w:color w:val="000000" w:themeColor="text1"/>
              </w:rPr>
              <w:t>FFY 2020 Data</w:t>
            </w:r>
          </w:p>
        </w:tc>
        <w:tc>
          <w:tcPr>
            <w:tcW w:w="625" w:type="pct"/>
            <w:shd w:val="clear" w:color="auto" w:fill="auto"/>
            <w:vAlign w:val="bottom"/>
          </w:tcPr>
          <w:p w14:paraId="52157F4E" w14:textId="77777777" w:rsidR="00FB6462" w:rsidRPr="00781112" w:rsidRDefault="00FB6462" w:rsidP="004369B2">
            <w:pPr>
              <w:jc w:val="center"/>
              <w:rPr>
                <w:b/>
                <w:color w:val="000000" w:themeColor="text1"/>
              </w:rPr>
            </w:pPr>
            <w:r w:rsidRPr="00781112">
              <w:rPr>
                <w:b/>
                <w:color w:val="000000" w:themeColor="text1"/>
              </w:rPr>
              <w:t>Status</w:t>
            </w:r>
          </w:p>
        </w:tc>
        <w:tc>
          <w:tcPr>
            <w:tcW w:w="706" w:type="pct"/>
            <w:shd w:val="clear" w:color="auto" w:fill="auto"/>
            <w:vAlign w:val="bottom"/>
          </w:tcPr>
          <w:p w14:paraId="1DC1ADC7" w14:textId="77777777" w:rsidR="00FB6462" w:rsidRPr="00781112" w:rsidRDefault="00FB6462" w:rsidP="004369B2">
            <w:pPr>
              <w:jc w:val="center"/>
              <w:rPr>
                <w:b/>
                <w:color w:val="000000" w:themeColor="text1"/>
              </w:rPr>
            </w:pPr>
            <w:r w:rsidRPr="00781112">
              <w:rPr>
                <w:b/>
                <w:color w:val="000000" w:themeColor="text1"/>
              </w:rPr>
              <w:t>Slippage</w:t>
            </w:r>
          </w:p>
        </w:tc>
      </w:tr>
      <w:tr w:rsidR="005C29F8" w:rsidRPr="00781112" w14:paraId="4B4B0594" w14:textId="77777777" w:rsidTr="00AB0D6A">
        <w:trPr>
          <w:trHeight w:val="366"/>
        </w:trPr>
        <w:tc>
          <w:tcPr>
            <w:tcW w:w="1251" w:type="pct"/>
            <w:gridSpan w:val="2"/>
            <w:shd w:val="clear" w:color="auto" w:fill="auto"/>
            <w:vAlign w:val="bottom"/>
          </w:tcPr>
          <w:p w14:paraId="0933F330" w14:textId="2423D9E2" w:rsidR="00FB6462" w:rsidRPr="00781112" w:rsidRDefault="002B7490" w:rsidP="00A018D4">
            <w:pPr>
              <w:jc w:val="center"/>
              <w:rPr>
                <w:rFonts w:cs="Arial"/>
                <w:color w:val="000000" w:themeColor="text1"/>
                <w:szCs w:val="16"/>
              </w:rPr>
            </w:pPr>
            <w:r w:rsidRPr="00781112">
              <w:rPr>
                <w:rFonts w:cs="Arial"/>
                <w:color w:val="000000" w:themeColor="text1"/>
                <w:szCs w:val="16"/>
              </w:rPr>
              <w:t>556</w:t>
            </w:r>
          </w:p>
        </w:tc>
        <w:tc>
          <w:tcPr>
            <w:tcW w:w="667" w:type="pct"/>
            <w:shd w:val="clear" w:color="auto" w:fill="auto"/>
            <w:vAlign w:val="bottom"/>
          </w:tcPr>
          <w:p w14:paraId="2905391A" w14:textId="502FBF67" w:rsidR="00FB6462" w:rsidRPr="00781112" w:rsidRDefault="002B7490" w:rsidP="00A018D4">
            <w:pPr>
              <w:jc w:val="center"/>
              <w:rPr>
                <w:rFonts w:cs="Arial"/>
                <w:color w:val="000000" w:themeColor="text1"/>
                <w:szCs w:val="16"/>
              </w:rPr>
            </w:pPr>
            <w:r w:rsidRPr="00781112">
              <w:rPr>
                <w:rFonts w:cs="Arial"/>
                <w:color w:val="000000" w:themeColor="text1"/>
                <w:szCs w:val="16"/>
              </w:rPr>
              <w:t>640</w:t>
            </w:r>
          </w:p>
        </w:tc>
        <w:tc>
          <w:tcPr>
            <w:tcW w:w="542" w:type="pct"/>
            <w:shd w:val="clear" w:color="auto" w:fill="auto"/>
            <w:vAlign w:val="bottom"/>
          </w:tcPr>
          <w:p w14:paraId="486C6AEB" w14:textId="2AC5DAB9" w:rsidR="00FB6462" w:rsidRPr="00781112" w:rsidRDefault="002B7490" w:rsidP="00A018D4">
            <w:pPr>
              <w:jc w:val="center"/>
              <w:rPr>
                <w:rFonts w:cs="Arial"/>
                <w:color w:val="000000" w:themeColor="text1"/>
                <w:szCs w:val="16"/>
              </w:rPr>
            </w:pPr>
            <w:r w:rsidRPr="00781112">
              <w:rPr>
                <w:rFonts w:cs="Arial"/>
                <w:color w:val="000000" w:themeColor="text1"/>
                <w:szCs w:val="16"/>
              </w:rPr>
              <w:t>84.31%</w:t>
            </w:r>
          </w:p>
        </w:tc>
        <w:tc>
          <w:tcPr>
            <w:tcW w:w="667" w:type="pct"/>
            <w:shd w:val="clear" w:color="auto" w:fill="auto"/>
            <w:vAlign w:val="bottom"/>
          </w:tcPr>
          <w:p w14:paraId="024E965C" w14:textId="65736559" w:rsidR="00FB6462" w:rsidRPr="00781112" w:rsidRDefault="002B7490" w:rsidP="00A018D4">
            <w:pPr>
              <w:jc w:val="center"/>
              <w:rPr>
                <w:rFonts w:cs="Arial"/>
                <w:color w:val="000000" w:themeColor="text1"/>
                <w:szCs w:val="16"/>
              </w:rPr>
            </w:pPr>
            <w:r w:rsidRPr="00781112">
              <w:rPr>
                <w:rFonts w:cs="Arial"/>
                <w:color w:val="000000" w:themeColor="text1"/>
                <w:szCs w:val="16"/>
              </w:rPr>
              <w:t>84.50%</w:t>
            </w:r>
          </w:p>
        </w:tc>
        <w:tc>
          <w:tcPr>
            <w:tcW w:w="542" w:type="pct"/>
            <w:shd w:val="clear" w:color="auto" w:fill="auto"/>
            <w:vAlign w:val="bottom"/>
          </w:tcPr>
          <w:p w14:paraId="1BEB0ADC" w14:textId="5244B4D7" w:rsidR="00FB6462" w:rsidRPr="00781112" w:rsidRDefault="002B7490" w:rsidP="00A018D4">
            <w:pPr>
              <w:jc w:val="center"/>
              <w:rPr>
                <w:rFonts w:cs="Arial"/>
                <w:color w:val="000000" w:themeColor="text1"/>
                <w:szCs w:val="16"/>
              </w:rPr>
            </w:pPr>
            <w:r w:rsidRPr="00781112">
              <w:rPr>
                <w:rFonts w:cs="Arial"/>
                <w:color w:val="000000" w:themeColor="text1"/>
                <w:szCs w:val="16"/>
              </w:rPr>
              <w:t>86.88%</w:t>
            </w:r>
          </w:p>
        </w:tc>
        <w:tc>
          <w:tcPr>
            <w:tcW w:w="625" w:type="pct"/>
            <w:shd w:val="clear" w:color="auto" w:fill="auto"/>
            <w:vAlign w:val="bottom"/>
          </w:tcPr>
          <w:p w14:paraId="230C5FAF" w14:textId="6761CD40" w:rsidR="00FB6462"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706" w:type="pct"/>
            <w:shd w:val="clear" w:color="auto" w:fill="auto"/>
            <w:vAlign w:val="bottom"/>
          </w:tcPr>
          <w:p w14:paraId="2CBF8B2D" w14:textId="3929AFC6" w:rsidR="00FB646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2227E2D" w14:textId="3C53FA16" w:rsidR="00FB6462" w:rsidRPr="00781112" w:rsidRDefault="00FB6462" w:rsidP="005A338D">
      <w:pPr>
        <w:rPr>
          <w:rFonts w:cs="Arial"/>
          <w:b/>
          <w:color w:val="000000" w:themeColor="text1"/>
          <w:szCs w:val="16"/>
        </w:rPr>
      </w:pPr>
      <w:r w:rsidRPr="00781112">
        <w:rPr>
          <w:rFonts w:cs="Arial"/>
          <w:b/>
          <w:color w:val="000000" w:themeColor="text1"/>
          <w:szCs w:val="16"/>
        </w:rPr>
        <w:t>Since the State did not report preschool children separately, discuss the procedures used to combine data from school age and preschool surveys in a manner that is valid and reliable.</w:t>
      </w:r>
    </w:p>
    <w:p w14:paraId="7CADFB93" w14:textId="3119FB87" w:rsidR="00230EE6" w:rsidRPr="00781112" w:rsidRDefault="00230EE6" w:rsidP="005A338D">
      <w:pPr>
        <w:rPr>
          <w:rFonts w:cs="Arial"/>
          <w:color w:val="000000" w:themeColor="text1"/>
          <w:szCs w:val="16"/>
        </w:rPr>
      </w:pPr>
      <w:r w:rsidRPr="00781112">
        <w:rPr>
          <w:rFonts w:cs="Arial"/>
          <w:color w:val="000000" w:themeColor="text1"/>
          <w:szCs w:val="16"/>
        </w:rPr>
        <w:t>LDOE uses a single parent involvement survey. LEAs disseminate the survey to parents of all children with disabilities, including preschool children. LDOE’s FFY 2020 data reflect both preschool and school age respondents. LDOE compares the response rate of parents of preschool children with the statewide percentage of preschool children with disabilities to ensure responses are valid and reliable. In FFY 2020, approximately 8.8% of survey respondents were parents of preschool students with disabilities, which is reflective of the statewide rate of 13.0%, ensuring valid and reliable results.</w:t>
      </w:r>
    </w:p>
    <w:p w14:paraId="75502588" w14:textId="77777777" w:rsidR="007E2779" w:rsidRPr="00781112" w:rsidRDefault="007E2779" w:rsidP="007E2779">
      <w:pPr>
        <w:pStyle w:val="Bold"/>
        <w:rPr>
          <w:color w:val="000000" w:themeColor="text1"/>
        </w:rPr>
      </w:pPr>
    </w:p>
    <w:p w14:paraId="194E8DAB" w14:textId="77777777" w:rsidR="00DF5DC9" w:rsidRDefault="00DF5DC9" w:rsidP="00415FE9">
      <w:pPr>
        <w:rPr>
          <w:rFonts w:cs="Arial"/>
          <w:b/>
          <w:color w:val="000000" w:themeColor="text1"/>
          <w:szCs w:val="16"/>
        </w:rPr>
      </w:pPr>
    </w:p>
    <w:p w14:paraId="1367D5CC" w14:textId="3D23966C" w:rsidR="00415FE9" w:rsidRPr="00781112" w:rsidRDefault="00415FE9" w:rsidP="00415FE9">
      <w:pPr>
        <w:rPr>
          <w:rFonts w:cs="Arial"/>
          <w:b/>
          <w:color w:val="000000" w:themeColor="text1"/>
          <w:szCs w:val="16"/>
        </w:rPr>
      </w:pPr>
      <w:r w:rsidRPr="00781112">
        <w:rPr>
          <w:rFonts w:cs="Arial"/>
          <w:b/>
          <w:color w:val="000000" w:themeColor="text1"/>
          <w:szCs w:val="16"/>
        </w:rPr>
        <w:t>The number of parents to whom the surveys were distributed.</w:t>
      </w:r>
    </w:p>
    <w:p w14:paraId="1181B460" w14:textId="042BF6E0" w:rsidR="00415FE9" w:rsidRPr="00781112" w:rsidRDefault="00415FE9" w:rsidP="00415FE9">
      <w:pPr>
        <w:rPr>
          <w:rFonts w:cs="Arial"/>
          <w:color w:val="000000" w:themeColor="text1"/>
          <w:szCs w:val="16"/>
        </w:rPr>
      </w:pPr>
      <w:r w:rsidRPr="00781112">
        <w:rPr>
          <w:rFonts w:cs="Arial"/>
          <w:color w:val="000000" w:themeColor="text1"/>
          <w:szCs w:val="16"/>
        </w:rPr>
        <w:t>16,837</w:t>
      </w:r>
    </w:p>
    <w:p w14:paraId="37F1825E" w14:textId="77777777" w:rsidR="00415FE9" w:rsidRPr="00781112" w:rsidRDefault="00415FE9" w:rsidP="00415FE9">
      <w:pPr>
        <w:rPr>
          <w:rFonts w:cs="Arial"/>
          <w:b/>
          <w:color w:val="000000" w:themeColor="text1"/>
          <w:szCs w:val="16"/>
        </w:rPr>
      </w:pPr>
      <w:r w:rsidRPr="00781112">
        <w:rPr>
          <w:rFonts w:cs="Arial"/>
          <w:b/>
          <w:color w:val="000000" w:themeColor="text1"/>
          <w:szCs w:val="16"/>
        </w:rPr>
        <w:t>Percentage of respondent parents</w:t>
      </w:r>
    </w:p>
    <w:p w14:paraId="47233287" w14:textId="25AA931E" w:rsidR="00415FE9" w:rsidRPr="00781112" w:rsidRDefault="00415FE9" w:rsidP="00415FE9">
      <w:pPr>
        <w:rPr>
          <w:rFonts w:cs="Arial"/>
          <w:color w:val="000000" w:themeColor="text1"/>
          <w:szCs w:val="16"/>
        </w:rPr>
      </w:pPr>
      <w:r w:rsidRPr="00781112">
        <w:rPr>
          <w:rFonts w:cs="Arial"/>
          <w:color w:val="000000" w:themeColor="text1"/>
          <w:szCs w:val="16"/>
        </w:rPr>
        <w:t>3.80%</w:t>
      </w:r>
    </w:p>
    <w:p w14:paraId="6E133112" w14:textId="714E6C68" w:rsidR="00090132" w:rsidRDefault="00090132" w:rsidP="00AF550B">
      <w:pPr>
        <w:rPr>
          <w:rFonts w:cs="Arial"/>
          <w:iCs/>
          <w:color w:val="000000" w:themeColor="text1"/>
          <w:szCs w:val="16"/>
        </w:rPr>
      </w:pPr>
    </w:p>
    <w:p w14:paraId="22944736" w14:textId="77777777" w:rsidR="00090132" w:rsidRPr="00F737BA" w:rsidRDefault="00090132" w:rsidP="00090132">
      <w:pPr>
        <w:rPr>
          <w:rFonts w:cs="Arial"/>
          <w:b/>
          <w:bCs/>
          <w:szCs w:val="16"/>
        </w:rPr>
      </w:pPr>
      <w:r w:rsidRPr="00F737BA">
        <w:rPr>
          <w:rFonts w:cs="Arial"/>
          <w:b/>
          <w:bCs/>
          <w:szCs w:val="16"/>
        </w:rPr>
        <w:t>Response Rate</w:t>
      </w:r>
    </w:p>
    <w:tbl>
      <w:tblPr>
        <w:tblStyle w:val="TableGrid"/>
        <w:tblW w:w="0" w:type="auto"/>
        <w:tblLook w:val="04A0" w:firstRow="1" w:lastRow="0" w:firstColumn="1" w:lastColumn="0" w:noHBand="0" w:noVBand="1"/>
        <w:tblCaption w:val="B08CFFYDISTPER"/>
      </w:tblPr>
      <w:tblGrid>
        <w:gridCol w:w="1885"/>
        <w:gridCol w:w="2340"/>
        <w:gridCol w:w="670"/>
      </w:tblGrid>
      <w:tr w:rsidR="00090132" w:rsidRPr="00F737BA" w14:paraId="0E1B543B" w14:textId="77777777" w:rsidTr="00DF5DC9">
        <w:tc>
          <w:tcPr>
            <w:tcW w:w="1885" w:type="dxa"/>
          </w:tcPr>
          <w:p w14:paraId="2D7C9FC3" w14:textId="77777777" w:rsidR="00090132" w:rsidRPr="00F737BA" w:rsidRDefault="00090132" w:rsidP="00DF5DC9">
            <w:pPr>
              <w:jc w:val="center"/>
              <w:rPr>
                <w:rFonts w:cs="Arial"/>
                <w:b/>
                <w:szCs w:val="16"/>
              </w:rPr>
            </w:pPr>
            <w:bookmarkStart w:id="42" w:name="_Hlk79652737"/>
            <w:r w:rsidRPr="00F737BA">
              <w:rPr>
                <w:rFonts w:cs="Arial"/>
                <w:b/>
                <w:szCs w:val="16"/>
              </w:rPr>
              <w:t>FFY</w:t>
            </w:r>
          </w:p>
        </w:tc>
        <w:tc>
          <w:tcPr>
            <w:tcW w:w="2340" w:type="dxa"/>
          </w:tcPr>
          <w:p w14:paraId="2109B7B6" w14:textId="77777777" w:rsidR="00090132" w:rsidRPr="004A62FE" w:rsidRDefault="00090132" w:rsidP="00DF5DC9">
            <w:pPr>
              <w:jc w:val="center"/>
              <w:rPr>
                <w:rFonts w:cs="Arial"/>
                <w:b/>
                <w:szCs w:val="16"/>
              </w:rPr>
            </w:pPr>
            <w:r w:rsidRPr="004A62FE">
              <w:rPr>
                <w:rFonts w:cs="Arial"/>
                <w:b/>
                <w:color w:val="000000" w:themeColor="text1"/>
                <w:szCs w:val="16"/>
              </w:rPr>
              <w:t>2019</w:t>
            </w:r>
          </w:p>
        </w:tc>
        <w:tc>
          <w:tcPr>
            <w:tcW w:w="360" w:type="dxa"/>
          </w:tcPr>
          <w:p w14:paraId="0CD9799E" w14:textId="77777777" w:rsidR="00090132" w:rsidRPr="004A62FE" w:rsidRDefault="00090132" w:rsidP="00DF5DC9">
            <w:pPr>
              <w:jc w:val="center"/>
              <w:rPr>
                <w:rFonts w:cs="Arial"/>
                <w:b/>
                <w:szCs w:val="16"/>
              </w:rPr>
            </w:pPr>
            <w:r w:rsidRPr="004A62FE">
              <w:rPr>
                <w:rFonts w:cs="Arial"/>
                <w:b/>
                <w:color w:val="000000" w:themeColor="text1"/>
                <w:szCs w:val="16"/>
              </w:rPr>
              <w:t>2020</w:t>
            </w:r>
          </w:p>
        </w:tc>
      </w:tr>
      <w:tr w:rsidR="00090132" w:rsidRPr="00F737BA" w14:paraId="3E600875" w14:textId="77777777" w:rsidTr="00DF5DC9">
        <w:tc>
          <w:tcPr>
            <w:tcW w:w="1885" w:type="dxa"/>
          </w:tcPr>
          <w:p w14:paraId="497B06E4" w14:textId="77777777" w:rsidR="00090132" w:rsidRPr="00F737BA" w:rsidRDefault="00090132" w:rsidP="00DF5DC9">
            <w:pPr>
              <w:rPr>
                <w:rFonts w:cs="Arial"/>
                <w:szCs w:val="16"/>
              </w:rPr>
            </w:pPr>
            <w:r w:rsidRPr="00F737BA">
              <w:rPr>
                <w:rFonts w:cs="Arial"/>
                <w:szCs w:val="16"/>
              </w:rPr>
              <w:t xml:space="preserve">Response Rate </w:t>
            </w:r>
          </w:p>
        </w:tc>
        <w:tc>
          <w:tcPr>
            <w:tcW w:w="2340" w:type="dxa"/>
            <w:shd w:val="clear" w:color="auto" w:fill="auto"/>
          </w:tcPr>
          <w:p w14:paraId="0FC44028" w14:textId="50784D2F" w:rsidR="00090132" w:rsidRPr="004A62FE" w:rsidRDefault="00090132" w:rsidP="000B4405">
            <w:pPr>
              <w:jc w:val="center"/>
              <w:rPr>
                <w:rFonts w:cs="Arial"/>
                <w:szCs w:val="16"/>
              </w:rPr>
            </w:pPr>
            <w:r w:rsidRPr="004A62FE">
              <w:rPr>
                <w:rFonts w:cs="Arial"/>
                <w:iCs/>
                <w:color w:val="000000" w:themeColor="text1"/>
                <w:szCs w:val="16"/>
              </w:rPr>
              <w:t>2.44%</w:t>
            </w:r>
          </w:p>
        </w:tc>
        <w:tc>
          <w:tcPr>
            <w:tcW w:w="360" w:type="dxa"/>
            <w:shd w:val="clear" w:color="auto" w:fill="auto"/>
          </w:tcPr>
          <w:p w14:paraId="76DE0483" w14:textId="3235EE79" w:rsidR="00090132" w:rsidRPr="004A62FE" w:rsidRDefault="00090132" w:rsidP="000B4405">
            <w:pPr>
              <w:jc w:val="center"/>
              <w:rPr>
                <w:rFonts w:cs="Arial"/>
                <w:szCs w:val="16"/>
              </w:rPr>
            </w:pPr>
            <w:r w:rsidRPr="00090132">
              <w:rPr>
                <w:rFonts w:cs="Arial"/>
                <w:iCs/>
                <w:color w:val="000000" w:themeColor="text1"/>
                <w:szCs w:val="16"/>
              </w:rPr>
              <w:t>3.80%</w:t>
            </w:r>
          </w:p>
        </w:tc>
      </w:tr>
      <w:bookmarkEnd w:id="42"/>
    </w:tbl>
    <w:p w14:paraId="05313584" w14:textId="77777777" w:rsidR="00090132" w:rsidRPr="00F737BA" w:rsidRDefault="00090132" w:rsidP="00090132">
      <w:pPr>
        <w:pStyle w:val="Header"/>
        <w:tabs>
          <w:tab w:val="clear" w:pos="4320"/>
          <w:tab w:val="clear" w:pos="8640"/>
        </w:tabs>
        <w:spacing w:before="0"/>
        <w:rPr>
          <w:rFonts w:ascii="Arial" w:hAnsi="Arial" w:cs="Arial"/>
          <w:bCs/>
          <w:sz w:val="16"/>
          <w:szCs w:val="16"/>
        </w:rPr>
      </w:pPr>
    </w:p>
    <w:p w14:paraId="4BDEC798" w14:textId="77777777" w:rsidR="00090132" w:rsidRPr="0061205F" w:rsidRDefault="00090132" w:rsidP="00090132">
      <w:pPr>
        <w:rPr>
          <w:rFonts w:cs="Arial"/>
          <w:b/>
          <w:color w:val="000000" w:themeColor="text1"/>
          <w:szCs w:val="16"/>
        </w:rPr>
      </w:pPr>
      <w:r w:rsidRPr="0061205F">
        <w:rPr>
          <w:rFonts w:cs="Arial"/>
          <w:b/>
          <w:color w:val="000000" w:themeColor="text1"/>
          <w:szCs w:val="16"/>
        </w:rPr>
        <w:t>Describe strategies that will be implemented which are expected to increase the response rate year over year, particularly for those groups that are underrepresented.</w:t>
      </w:r>
    </w:p>
    <w:p w14:paraId="3C9BE65D" w14:textId="77777777" w:rsidR="00090132" w:rsidRPr="000A2B9F" w:rsidRDefault="00090132" w:rsidP="00090132">
      <w:pPr>
        <w:rPr>
          <w:rFonts w:cs="Arial"/>
          <w:bCs/>
          <w:color w:val="000000" w:themeColor="text1"/>
          <w:szCs w:val="16"/>
        </w:rPr>
      </w:pPr>
      <w:r w:rsidRPr="0061205F">
        <w:rPr>
          <w:rFonts w:cs="Arial"/>
          <w:bCs/>
          <w:color w:val="000000" w:themeColor="text1"/>
          <w:szCs w:val="16"/>
        </w:rPr>
        <w:t xml:space="preserve">Historically, Louisiana has reported low response rates for the special education parent involvement survey. For FFY 2020, the LDOE offered office hours to assist parents with completing the survey instead of the option to complete the online survey. While the survey was available online, LDOE understood the need to offer families another method besides completing the survey electronically. With this method, LDOE staff read the survey questions to the respondent, and the answers were recorded in the online survey. School systems were also provided with a QR code for the survey to share with parents. The QR code allowed parents to easily access the survey on a mobile device. </w:t>
      </w:r>
      <w:r w:rsidRPr="0061205F">
        <w:rPr>
          <w:rFonts w:cs="Arial"/>
          <w:bCs/>
          <w:color w:val="000000" w:themeColor="text1"/>
          <w:szCs w:val="16"/>
        </w:rPr>
        <w:br/>
      </w:r>
      <w:r w:rsidRPr="0061205F">
        <w:rPr>
          <w:rFonts w:cs="Arial"/>
          <w:bCs/>
          <w:color w:val="000000" w:themeColor="text1"/>
          <w:szCs w:val="16"/>
        </w:rPr>
        <w:br/>
        <w:t xml:space="preserve">To increase the response rate from FFY 2021 onward, the LDOE will promote the parent involvement survey by utilizing its Be Engaged Initiative. The Be Engaged Initiative is a statewide initiative to increase parent and family engagement in school systems. The initiative strives to bring awareness to the importance of parent and family engagement and to meaningfully engage stakeholders to gain input that drives initiatives. The LDOE uses PimsPoints, a system designed to support and ignite engagement. The special education parent involvement survey will be shared with participating school systems in PimsPoints, providing a new method for parents to complete the survey. </w:t>
      </w:r>
    </w:p>
    <w:p w14:paraId="43E156F3" w14:textId="001639B3" w:rsidR="00090132" w:rsidRDefault="00090132" w:rsidP="00090132">
      <w:pPr>
        <w:rPr>
          <w:rFonts w:cs="Arial"/>
          <w:b/>
          <w:color w:val="000000" w:themeColor="text1"/>
          <w:szCs w:val="16"/>
        </w:rPr>
      </w:pPr>
      <w:r w:rsidRPr="0061205F">
        <w:rPr>
          <w:rFonts w:cs="Arial"/>
          <w:b/>
          <w:color w:val="000000" w:themeColor="text1"/>
          <w:szCs w:val="16"/>
        </w:rPr>
        <w:t xml:space="preserve">Describe the analysis </w:t>
      </w:r>
      <w:bookmarkStart w:id="43" w:name="_Hlk81486999"/>
      <w:r w:rsidRPr="0061205F">
        <w:rPr>
          <w:rFonts w:cs="Arial"/>
          <w:b/>
          <w:color w:val="000000" w:themeColor="text1"/>
          <w:szCs w:val="16"/>
        </w:rPr>
        <w:t>of the response rate including any nonresponse bias that was identified,</w:t>
      </w:r>
      <w:bookmarkEnd w:id="43"/>
      <w:r w:rsidRPr="0061205F">
        <w:rPr>
          <w:rFonts w:cs="Arial"/>
          <w:b/>
          <w:color w:val="000000" w:themeColor="text1"/>
          <w:szCs w:val="16"/>
        </w:rPr>
        <w:t xml:space="preserve"> and the steps taken to reduce any identified bias and promote response from a broad cross section of </w:t>
      </w:r>
      <w:r w:rsidR="009B0EF0" w:rsidRPr="007A62B9">
        <w:rPr>
          <w:rFonts w:cs="Arial"/>
          <w:b/>
          <w:szCs w:val="16"/>
        </w:rPr>
        <w:t>parents of children with disabilities</w:t>
      </w:r>
      <w:r w:rsidRPr="0061205F">
        <w:rPr>
          <w:rFonts w:cs="Arial"/>
          <w:b/>
          <w:color w:val="000000" w:themeColor="text1"/>
          <w:szCs w:val="16"/>
        </w:rPr>
        <w:t>.</w:t>
      </w:r>
    </w:p>
    <w:p w14:paraId="36D187F6" w14:textId="77777777" w:rsidR="00090132" w:rsidRPr="000A2B9F" w:rsidRDefault="00090132" w:rsidP="00090132">
      <w:pPr>
        <w:rPr>
          <w:rFonts w:cs="Arial"/>
          <w:b/>
          <w:color w:val="000000" w:themeColor="text1"/>
          <w:szCs w:val="16"/>
        </w:rPr>
      </w:pPr>
      <w:r>
        <w:rPr>
          <w:rFonts w:cs="Arial"/>
          <w:szCs w:val="16"/>
        </w:rPr>
        <w:lastRenderedPageBreak/>
        <w:t xml:space="preserve">After review of the State's special education parent involvement survey, the LDOE concluded that the survey questions did not collect information to ensure the respondents are representative of the demographics of children receiving services. Thus, the State revised its special education parent involvement survey. For FFY 2020, the special education parent involvement survey included questions to collect demographics on respondents in addition to questions to collect demographics on the respondents' children receiving services. The parent survey considered the following categories: </w:t>
      </w:r>
      <w:r>
        <w:rPr>
          <w:rFonts w:cs="Arial"/>
          <w:szCs w:val="16"/>
        </w:rPr>
        <w:br/>
      </w:r>
      <w:r>
        <w:rPr>
          <w:rFonts w:cs="Arial"/>
          <w:szCs w:val="16"/>
        </w:rPr>
        <w:br/>
        <w:t>-race/ethnicity;</w:t>
      </w:r>
      <w:r>
        <w:rPr>
          <w:rFonts w:cs="Arial"/>
          <w:szCs w:val="16"/>
        </w:rPr>
        <w:br/>
        <w:t>-gender;</w:t>
      </w:r>
      <w:r>
        <w:rPr>
          <w:rFonts w:cs="Arial"/>
          <w:szCs w:val="16"/>
        </w:rPr>
        <w:br/>
        <w:t>-age;</w:t>
      </w:r>
      <w:r>
        <w:rPr>
          <w:rFonts w:cs="Arial"/>
          <w:szCs w:val="16"/>
        </w:rPr>
        <w:br/>
        <w:t>-geographic location (urban or rural).</w:t>
      </w:r>
      <w:r>
        <w:rPr>
          <w:rFonts w:cs="Arial"/>
          <w:szCs w:val="16"/>
        </w:rPr>
        <w:br/>
      </w:r>
      <w:r>
        <w:rPr>
          <w:rFonts w:cs="Arial"/>
          <w:szCs w:val="16"/>
        </w:rPr>
        <w:br/>
        <w:t xml:space="preserve">In analyzing the response rate, the LDOE found the racial demographic of parents responding was representative of the demographic of children receiving special education services. The percent of students with disabilities in Louisiana by race is 48% Black or African-American, followed by 43% White. The percent of Black or African-American respondents was 51%, followed by White respondents at 39%. The percent of students with disabilities in the remaining ethnic groups - Asian, Hispanic or Latino, Native American, or Two or More Races - are all less than 5%. The percent of respondents for each of these ethnic groups is less than 5%. </w:t>
      </w:r>
      <w:r>
        <w:rPr>
          <w:rFonts w:cs="Arial"/>
          <w:szCs w:val="16"/>
        </w:rPr>
        <w:br/>
      </w:r>
      <w:r>
        <w:rPr>
          <w:rFonts w:cs="Arial"/>
          <w:szCs w:val="16"/>
        </w:rPr>
        <w:br/>
        <w:t xml:space="preserve">The analysis did identify nonresponse bias for male respondents. The percent of male students with disabilities in Louisiana is 67%; the percent of female students with disabilities is 33%. Although the percent of male and female students with disabilities for whom parents responded is representative of the percent of male and female students in Louisiana (67% and 34%, respectively), the percent of female respondents was 92%; only 8% were male respondents. The LDOE will seek and implement strategies to reduce nonresponse bias for male respondents for future surveys. </w:t>
      </w:r>
      <w:r>
        <w:rPr>
          <w:rFonts w:cs="Arial"/>
          <w:szCs w:val="16"/>
        </w:rPr>
        <w:br/>
      </w:r>
      <w:r>
        <w:rPr>
          <w:rFonts w:cs="Arial"/>
          <w:szCs w:val="16"/>
        </w:rPr>
        <w:br/>
        <w:t>Please see Indicator 8 attachment for the FFY 2020 special education parent involvement survey.</w:t>
      </w:r>
    </w:p>
    <w:p w14:paraId="78A83A27" w14:textId="50D5E24D" w:rsidR="001F448F" w:rsidRDefault="001F448F" w:rsidP="00A12797">
      <w:pPr>
        <w:rPr>
          <w:b/>
          <w:bCs/>
        </w:rPr>
      </w:pPr>
    </w:p>
    <w:p w14:paraId="48E34616" w14:textId="5E499A8D" w:rsidR="00F4021E" w:rsidRPr="00A12797" w:rsidRDefault="00F4021E" w:rsidP="00A12797">
      <w:pPr>
        <w:rPr>
          <w:b/>
          <w:bCs/>
        </w:rPr>
      </w:pPr>
      <w:r w:rsidRPr="00F4021E">
        <w:rPr>
          <w:b/>
          <w:bCs/>
        </w:rPr>
        <w:t xml:space="preserve">Include in the State’s analysis the extent to which the demographics of the children for whom parents responded are representative of the demographics of children receiving special education services. </w:t>
      </w:r>
      <w:r w:rsidR="009B0EF0" w:rsidRPr="009B0EF0">
        <w:rPr>
          <w:b/>
          <w:bCs/>
        </w:rPr>
        <w:t>States should consider categories such as race/ethnicity, age of student, disability category, and geographic location in the State.</w:t>
      </w:r>
    </w:p>
    <w:p w14:paraId="513A1FE6" w14:textId="77777777" w:rsidR="00090132" w:rsidRDefault="00090132" w:rsidP="00090132">
      <w:pPr>
        <w:pStyle w:val="Subhed"/>
        <w:rPr>
          <w:b w:val="0"/>
          <w:bCs/>
        </w:rPr>
      </w:pPr>
      <w:r w:rsidRPr="000A2B9F">
        <w:rPr>
          <w:b w:val="0"/>
          <w:bCs/>
          <w:color w:val="000000" w:themeColor="text1"/>
        </w:rPr>
        <w:t xml:space="preserve">For FFY 2020, the special education parent involvement survey included questions to collect demographics on respondents in addition to questions to collect demographics on the respondents' children receiving services. The parent survey considered the following categories: </w:t>
      </w:r>
      <w:r w:rsidRPr="000A2B9F">
        <w:rPr>
          <w:b w:val="0"/>
          <w:bCs/>
          <w:color w:val="000000" w:themeColor="text1"/>
        </w:rPr>
        <w:br/>
      </w:r>
      <w:r w:rsidRPr="000A2B9F">
        <w:rPr>
          <w:b w:val="0"/>
          <w:bCs/>
          <w:color w:val="000000" w:themeColor="text1"/>
        </w:rPr>
        <w:br/>
        <w:t>-race/ethnicity;</w:t>
      </w:r>
      <w:r w:rsidRPr="000A2B9F">
        <w:rPr>
          <w:b w:val="0"/>
          <w:bCs/>
          <w:color w:val="000000" w:themeColor="text1"/>
        </w:rPr>
        <w:br/>
        <w:t>-gender;</w:t>
      </w:r>
      <w:r w:rsidRPr="000A2B9F">
        <w:rPr>
          <w:b w:val="0"/>
          <w:bCs/>
          <w:color w:val="000000" w:themeColor="text1"/>
        </w:rPr>
        <w:br/>
        <w:t>-age;</w:t>
      </w:r>
      <w:r w:rsidRPr="000A2B9F">
        <w:rPr>
          <w:b w:val="0"/>
          <w:bCs/>
          <w:color w:val="000000" w:themeColor="text1"/>
        </w:rPr>
        <w:br/>
        <w:t>-geographic location (urban or rural).</w:t>
      </w:r>
      <w:r w:rsidRPr="000A2B9F">
        <w:rPr>
          <w:b w:val="0"/>
          <w:bCs/>
          <w:color w:val="000000" w:themeColor="text1"/>
        </w:rPr>
        <w:br/>
      </w:r>
      <w:r w:rsidRPr="000A2B9F">
        <w:rPr>
          <w:b w:val="0"/>
          <w:bCs/>
          <w:color w:val="000000" w:themeColor="text1"/>
        </w:rPr>
        <w:br/>
        <w:t xml:space="preserve">In analyzing the response rate, the LDOE found the racial demographic of parents responding was representative of the demographic of children receiving special education services. The percent of students with disabilities in Louisiana by race is 48% Black or African -American, followed by 43% White. The percent of Black or African-American respondents was 51%, followed by White respondents at 39%. The percent of students with disabilities in the remaining ethnic groups - Asian, Hispanic or Latino, Native American, or Two or More Races - are all less than 5%. The percent of respondents for each of these ethnic groups are less than 5%. </w:t>
      </w:r>
    </w:p>
    <w:p w14:paraId="3DE6A601" w14:textId="77777777" w:rsidR="00090132" w:rsidRPr="00A12797" w:rsidRDefault="00090132" w:rsidP="00A12797">
      <w:pPr>
        <w:rPr>
          <w:b/>
          <w:bCs/>
        </w:rPr>
      </w:pPr>
      <w:r w:rsidRPr="00A12797">
        <w:rPr>
          <w:b/>
          <w:bCs/>
        </w:rPr>
        <w:t>The demographics of the parents responding are representative of the demographics of children receiving special education services. (yes/no)</w:t>
      </w:r>
    </w:p>
    <w:p w14:paraId="547B39F9" w14:textId="77777777" w:rsidR="00090132" w:rsidRPr="000A2B9F" w:rsidRDefault="00090132" w:rsidP="00090132">
      <w:pPr>
        <w:pStyle w:val="Subhed"/>
        <w:rPr>
          <w:b w:val="0"/>
          <w:bCs/>
        </w:rPr>
      </w:pPr>
      <w:r w:rsidRPr="000A2B9F">
        <w:rPr>
          <w:b w:val="0"/>
          <w:bCs/>
          <w:color w:val="000000" w:themeColor="text1"/>
        </w:rPr>
        <w:t>YES</w:t>
      </w:r>
    </w:p>
    <w:p w14:paraId="166BD57C" w14:textId="77777777" w:rsidR="00090132" w:rsidRPr="00A12797" w:rsidRDefault="00090132" w:rsidP="00A12797">
      <w:pPr>
        <w:rPr>
          <w:b/>
          <w:bCs/>
        </w:rPr>
      </w:pPr>
      <w:r w:rsidRPr="00A12797">
        <w:rPr>
          <w:b/>
          <w:bCs/>
        </w:rPr>
        <w:t>If no, describe the strategies that the State will use to ensure that in the future the response data are representative of those demographics.</w:t>
      </w:r>
    </w:p>
    <w:p w14:paraId="41E9A939" w14:textId="77777777" w:rsidR="00090132" w:rsidRPr="000A2B9F" w:rsidRDefault="00090132" w:rsidP="00090132">
      <w:pPr>
        <w:pStyle w:val="Subhed"/>
        <w:rPr>
          <w:b w:val="0"/>
          <w:bCs/>
        </w:rPr>
      </w:pPr>
    </w:p>
    <w:p w14:paraId="3C0DCBDF" w14:textId="77777777" w:rsidR="00090132" w:rsidRPr="00F737BA" w:rsidRDefault="00090132" w:rsidP="00090132">
      <w:pPr>
        <w:pStyle w:val="Subhed"/>
        <w:rPr>
          <w:b w:val="0"/>
        </w:rPr>
      </w:pPr>
    </w:p>
    <w:p w14:paraId="7852ED85" w14:textId="77777777" w:rsidR="00090132" w:rsidRPr="000B29F8" w:rsidRDefault="00090132" w:rsidP="000B29F8">
      <w:pPr>
        <w:rPr>
          <w:b/>
          <w:bCs/>
        </w:rPr>
      </w:pPr>
      <w:r w:rsidRPr="000B29F8">
        <w:rPr>
          <w:b/>
          <w:bCs/>
        </w:rPr>
        <w:t>Describe the metric used to determine representativeness (e.g., +/- 3% discrepancy in the proportion of responders compared to target group).</w:t>
      </w:r>
    </w:p>
    <w:p w14:paraId="206EFA69" w14:textId="77777777" w:rsidR="00090132" w:rsidRPr="000A2B9F" w:rsidRDefault="00090132" w:rsidP="00090132">
      <w:pPr>
        <w:pStyle w:val="Subhed"/>
        <w:rPr>
          <w:b w:val="0"/>
          <w:bCs/>
        </w:rPr>
      </w:pPr>
      <w:r w:rsidRPr="000A2B9F">
        <w:rPr>
          <w:b w:val="0"/>
          <w:bCs/>
        </w:rPr>
        <w:t xml:space="preserve"> For FFY 2020, the special education parent involvement survey included questions to collect demographics on respondents in addition to questions to collect demographics on the respondents' children receiving services. The responses were analyzed to determine representativeness. </w:t>
      </w:r>
    </w:p>
    <w:p w14:paraId="68A1CF22" w14:textId="77777777" w:rsidR="00090132" w:rsidRPr="00781112" w:rsidRDefault="00090132" w:rsidP="00AF550B">
      <w:pPr>
        <w:rPr>
          <w:rFonts w:cs="Arial"/>
          <w:iCs/>
          <w:color w:val="000000" w:themeColor="text1"/>
          <w:szCs w:val="16"/>
        </w:rPr>
      </w:pPr>
    </w:p>
    <w:tbl>
      <w:tblPr>
        <w:tblStyle w:val="TableGrid"/>
        <w:tblW w:w="0" w:type="auto"/>
        <w:tblLayout w:type="fixed"/>
        <w:tblLook w:val="04A0" w:firstRow="1" w:lastRow="0" w:firstColumn="1" w:lastColumn="0" w:noHBand="0" w:noVBand="1"/>
        <w:tblCaption w:val="B08SAMPLEUSED"/>
      </w:tblPr>
      <w:tblGrid>
        <w:gridCol w:w="8550"/>
        <w:gridCol w:w="2245"/>
      </w:tblGrid>
      <w:tr w:rsidR="005C29F8" w:rsidRPr="00781112" w14:paraId="4C454EA6" w14:textId="77777777" w:rsidTr="002B4D97">
        <w:trPr>
          <w:tblHeader/>
        </w:trPr>
        <w:tc>
          <w:tcPr>
            <w:tcW w:w="8550" w:type="dxa"/>
            <w:shd w:val="clear" w:color="auto" w:fill="auto"/>
          </w:tcPr>
          <w:p w14:paraId="641A3E2E" w14:textId="371AB589" w:rsidR="00564D95" w:rsidRPr="00781112" w:rsidRDefault="00E91363" w:rsidP="00B6413B">
            <w:pPr>
              <w:rPr>
                <w:rFonts w:cs="Arial"/>
                <w:b/>
                <w:bCs/>
                <w:color w:val="000000" w:themeColor="text1"/>
                <w:szCs w:val="16"/>
              </w:rPr>
            </w:pPr>
            <w:r w:rsidRPr="00781112">
              <w:rPr>
                <w:rFonts w:cs="Arial"/>
                <w:b/>
                <w:bCs/>
                <w:color w:val="000000" w:themeColor="text1"/>
                <w:szCs w:val="16"/>
              </w:rPr>
              <w:t>Sampling Question</w:t>
            </w:r>
          </w:p>
        </w:tc>
        <w:tc>
          <w:tcPr>
            <w:tcW w:w="2245" w:type="dxa"/>
            <w:shd w:val="clear" w:color="auto" w:fill="auto"/>
          </w:tcPr>
          <w:p w14:paraId="5DD050D6" w14:textId="45F46418" w:rsidR="00564D95" w:rsidRPr="00781112" w:rsidRDefault="00564D9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5780CF1" w14:textId="46D0A53A" w:rsidTr="002B4D97">
        <w:tc>
          <w:tcPr>
            <w:tcW w:w="8550" w:type="dxa"/>
            <w:shd w:val="clear" w:color="auto" w:fill="auto"/>
          </w:tcPr>
          <w:p w14:paraId="43F69327" w14:textId="1229D955" w:rsidR="00564D95" w:rsidRPr="00781112" w:rsidRDefault="00564D95" w:rsidP="00B6413B">
            <w:pPr>
              <w:rPr>
                <w:rFonts w:cs="Arial"/>
                <w:color w:val="000000" w:themeColor="text1"/>
                <w:szCs w:val="16"/>
              </w:rPr>
            </w:pPr>
            <w:r w:rsidRPr="00781112">
              <w:rPr>
                <w:rFonts w:cs="Arial"/>
                <w:color w:val="000000" w:themeColor="text1"/>
                <w:szCs w:val="16"/>
              </w:rPr>
              <w:t xml:space="preserve">Was sampling used? </w:t>
            </w:r>
          </w:p>
        </w:tc>
        <w:tc>
          <w:tcPr>
            <w:tcW w:w="2245" w:type="dxa"/>
            <w:shd w:val="clear" w:color="auto" w:fill="auto"/>
          </w:tcPr>
          <w:p w14:paraId="1BA005BB" w14:textId="4AC8FD0F" w:rsidR="00564D9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46B6D7FE" w14:textId="62FEECDE" w:rsidTr="002B4D97">
        <w:tc>
          <w:tcPr>
            <w:tcW w:w="8550" w:type="dxa"/>
            <w:shd w:val="clear" w:color="auto" w:fill="auto"/>
          </w:tcPr>
          <w:p w14:paraId="03CC110D" w14:textId="013D0EF2" w:rsidR="00564D95" w:rsidRPr="00781112" w:rsidRDefault="00EF1C23" w:rsidP="00B6413B">
            <w:pPr>
              <w:rPr>
                <w:rFonts w:cs="Arial"/>
                <w:color w:val="000000" w:themeColor="text1"/>
                <w:szCs w:val="16"/>
              </w:rPr>
            </w:pPr>
            <w:r w:rsidRPr="00781112">
              <w:rPr>
                <w:rFonts w:cs="Arial"/>
                <w:color w:val="000000" w:themeColor="text1"/>
                <w:szCs w:val="16"/>
              </w:rPr>
              <w:t>If yes, has your previously approved sampling plan changed?</w:t>
            </w:r>
          </w:p>
        </w:tc>
        <w:tc>
          <w:tcPr>
            <w:tcW w:w="2245" w:type="dxa"/>
            <w:shd w:val="clear" w:color="auto" w:fill="auto"/>
          </w:tcPr>
          <w:p w14:paraId="152E1EC0" w14:textId="4401EFC8" w:rsidR="00564D9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7C7B18C6" w14:textId="2B0391C4" w:rsidR="009B37A2" w:rsidRPr="00781112" w:rsidRDefault="009B37A2" w:rsidP="00B6413B">
      <w:pPr>
        <w:rPr>
          <w:rFonts w:cs="Arial"/>
          <w:b/>
          <w:color w:val="000000" w:themeColor="text1"/>
          <w:szCs w:val="16"/>
        </w:rPr>
      </w:pPr>
      <w:r w:rsidRPr="00781112">
        <w:rPr>
          <w:rFonts w:cs="Arial"/>
          <w:b/>
          <w:color w:val="000000" w:themeColor="text1"/>
          <w:szCs w:val="16"/>
        </w:rPr>
        <w:t>Describe the sampling methodology outlining how the design will yield valid and reliable estimates.</w:t>
      </w:r>
    </w:p>
    <w:p w14:paraId="1972664F" w14:textId="35FA6AAA" w:rsidR="009B37A2" w:rsidRPr="00781112" w:rsidRDefault="002B7490" w:rsidP="00B6413B">
      <w:pPr>
        <w:rPr>
          <w:rFonts w:cs="Arial"/>
          <w:color w:val="000000" w:themeColor="text1"/>
          <w:szCs w:val="16"/>
        </w:rPr>
      </w:pPr>
      <w:r w:rsidRPr="00781112">
        <w:rPr>
          <w:rFonts w:cs="Arial"/>
          <w:color w:val="000000" w:themeColor="text1"/>
          <w:szCs w:val="16"/>
        </w:rPr>
        <w:t>Louisiana serves over 118,000 students with disabilities, ages 3-21, in LEAs ranging in size from single school charter schools to districts with over 40,000 students. To reach this diverse range of school systems, schools, and students, LDOE developed a statistically valid sampling plan for the SPP/APR cycle. Louisiana uses a two-step process to develop the sampling plan for each SPP/APR cycle.</w:t>
      </w:r>
      <w:r w:rsidRPr="00781112">
        <w:rPr>
          <w:rFonts w:cs="Arial"/>
          <w:color w:val="000000" w:themeColor="text1"/>
          <w:szCs w:val="16"/>
        </w:rPr>
        <w:br/>
      </w:r>
      <w:r w:rsidRPr="00781112">
        <w:rPr>
          <w:rFonts w:cs="Arial"/>
          <w:color w:val="000000" w:themeColor="text1"/>
          <w:szCs w:val="16"/>
        </w:rPr>
        <w:br/>
        <w:t>Step 1: Louisiana stratified LEA selection based on a number of factors.</w:t>
      </w:r>
      <w:r w:rsidRPr="00781112">
        <w:rPr>
          <w:rFonts w:cs="Arial"/>
          <w:color w:val="000000" w:themeColor="text1"/>
          <w:szCs w:val="16"/>
        </w:rPr>
        <w:br/>
      </w:r>
      <w:r w:rsidRPr="00781112">
        <w:rPr>
          <w:rFonts w:cs="Arial"/>
          <w:color w:val="000000" w:themeColor="text1"/>
          <w:szCs w:val="16"/>
        </w:rPr>
        <w:br/>
        <w:t>The LDOE considers a number of variables to ensure that each year’s sample is representative of the state as a whole. The population is stratified into three groups: 1) traditional LEAs—include parish and city school districts and state special schools, 2) Type 2 charter schools, and 3) Type 5 charters and other non-traditional LEAs. Additionally, LEAs are stratified to ensure geographic (northeast, northwest, southeast, and southwest) as well as urban, suburban, and rural representation across the state. The LDOE uses statistical software to randomly assign LEAs to a cohort.</w:t>
      </w:r>
      <w:r w:rsidRPr="00781112">
        <w:rPr>
          <w:rFonts w:cs="Arial"/>
          <w:color w:val="000000" w:themeColor="text1"/>
          <w:szCs w:val="16"/>
        </w:rPr>
        <w:br/>
      </w:r>
      <w:r w:rsidRPr="00781112">
        <w:rPr>
          <w:rFonts w:cs="Arial"/>
          <w:color w:val="000000" w:themeColor="text1"/>
          <w:szCs w:val="16"/>
        </w:rPr>
        <w:br/>
        <w:t>The LDOE conducts a series of additional analyses to ensure that the survey years contains a sample that will be representative of the state as a whole in disability, race, age and gender. Each year is found to be representative, ensuring a valid and reliable sample. OSEP requires that any LEA with an average daily membership of more than 50,000 students must be included in the sample each year. Since Louisiana does not have any LEAs that meet this criterion, each LEA will be included one time during the SPP/APR cycle.</w:t>
      </w:r>
      <w:r w:rsidRPr="00781112">
        <w:rPr>
          <w:rFonts w:cs="Arial"/>
          <w:color w:val="000000" w:themeColor="text1"/>
          <w:szCs w:val="16"/>
        </w:rPr>
        <w:br/>
      </w:r>
      <w:r w:rsidRPr="00781112">
        <w:rPr>
          <w:rFonts w:cs="Arial"/>
          <w:color w:val="000000" w:themeColor="text1"/>
          <w:szCs w:val="16"/>
        </w:rPr>
        <w:br/>
        <w:t>Step 2: Louisiana includes all students with disabilities in each selected LEA.</w:t>
      </w:r>
      <w:r w:rsidRPr="00781112">
        <w:rPr>
          <w:rFonts w:cs="Arial"/>
          <w:color w:val="000000" w:themeColor="text1"/>
          <w:szCs w:val="16"/>
        </w:rPr>
        <w:br/>
      </w:r>
      <w:r w:rsidRPr="00781112">
        <w:rPr>
          <w:rFonts w:cs="Arial"/>
          <w:color w:val="000000" w:themeColor="text1"/>
          <w:szCs w:val="16"/>
        </w:rPr>
        <w:lastRenderedPageBreak/>
        <w:br/>
        <w:t>In selected LEAs, each parent of a student with a disability will receive the Indicator 8 parent involvement survey. LDOE developed an electronic survey tool to administer the survey and letters to parents with access information. Furthermore, for FFY 2020, the LDOE provided LEAs with a QR code in addition to the survey letters for parents to better access the survey. Each LEA was required to disseminate letters along with the QR code to every parent of a student with a disability with a unique ID to access the electronic survey. This census approach, where every parent in the population is included for a complete count, means that LDOE will not use any other sampling of the population after Step 1. Using this approach, LDOE plans to reach each parent within the LEA.</w:t>
      </w:r>
    </w:p>
    <w:p w14:paraId="12C8B638" w14:textId="77777777" w:rsidR="00AF550B" w:rsidRPr="00781112" w:rsidRDefault="00AF550B" w:rsidP="00AF550B">
      <w:pPr>
        <w:rPr>
          <w:rFonts w:cs="Arial"/>
          <w:color w:val="000000" w:themeColor="text1"/>
          <w:szCs w:val="16"/>
        </w:rPr>
      </w:pPr>
    </w:p>
    <w:tbl>
      <w:tblPr>
        <w:tblStyle w:val="TableGrid"/>
        <w:tblW w:w="10800" w:type="dxa"/>
        <w:tblLayout w:type="fixed"/>
        <w:tblLook w:val="04A0" w:firstRow="1" w:lastRow="0" w:firstColumn="1" w:lastColumn="0" w:noHBand="0" w:noVBand="1"/>
        <w:tblCaption w:val="B08SURVEYUSED"/>
      </w:tblPr>
      <w:tblGrid>
        <w:gridCol w:w="8550"/>
        <w:gridCol w:w="2250"/>
      </w:tblGrid>
      <w:tr w:rsidR="005C29F8" w:rsidRPr="00781112" w14:paraId="5A4C524D" w14:textId="77777777" w:rsidTr="0033429D">
        <w:trPr>
          <w:tblHeader/>
        </w:trPr>
        <w:tc>
          <w:tcPr>
            <w:tcW w:w="8550" w:type="dxa"/>
          </w:tcPr>
          <w:p w14:paraId="3B302184" w14:textId="3C2CBF4D" w:rsidR="00B5350E" w:rsidRPr="00781112" w:rsidRDefault="00BC5CA0" w:rsidP="00B6413B">
            <w:pPr>
              <w:rPr>
                <w:rFonts w:cs="Arial"/>
                <w:b/>
                <w:bCs/>
                <w:color w:val="000000" w:themeColor="text1"/>
                <w:szCs w:val="16"/>
              </w:rPr>
            </w:pPr>
            <w:r w:rsidRPr="00781112">
              <w:rPr>
                <w:rFonts w:cs="Arial"/>
                <w:b/>
                <w:bCs/>
                <w:color w:val="000000" w:themeColor="text1"/>
                <w:szCs w:val="16"/>
              </w:rPr>
              <w:t>Survey Question</w:t>
            </w:r>
          </w:p>
        </w:tc>
        <w:tc>
          <w:tcPr>
            <w:tcW w:w="2250" w:type="dxa"/>
          </w:tcPr>
          <w:p w14:paraId="4082973A" w14:textId="148FA82D" w:rsidR="00B5350E" w:rsidRPr="00781112" w:rsidRDefault="00B5350E"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2BBB7A7B" w14:textId="530EE0A4" w:rsidTr="00E0321D">
        <w:tc>
          <w:tcPr>
            <w:tcW w:w="8550" w:type="dxa"/>
          </w:tcPr>
          <w:p w14:paraId="1C595FC3" w14:textId="00C59640" w:rsidR="00B5350E" w:rsidRPr="00781112" w:rsidRDefault="00B5350E" w:rsidP="00B6413B">
            <w:pPr>
              <w:rPr>
                <w:rFonts w:cs="Arial"/>
                <w:color w:val="000000" w:themeColor="text1"/>
                <w:szCs w:val="16"/>
              </w:rPr>
            </w:pPr>
            <w:r w:rsidRPr="00781112">
              <w:rPr>
                <w:rFonts w:cs="Arial"/>
                <w:color w:val="000000" w:themeColor="text1"/>
                <w:szCs w:val="16"/>
              </w:rPr>
              <w:t xml:space="preserve">Was a survey used? </w:t>
            </w:r>
          </w:p>
        </w:tc>
        <w:tc>
          <w:tcPr>
            <w:tcW w:w="2250" w:type="dxa"/>
          </w:tcPr>
          <w:p w14:paraId="694FDC95" w14:textId="251E84C1" w:rsidR="00B5350E"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1198B60F" w14:textId="5AD58247" w:rsidTr="00E0321D">
        <w:tc>
          <w:tcPr>
            <w:tcW w:w="8550" w:type="dxa"/>
          </w:tcPr>
          <w:p w14:paraId="7B6CA23B" w14:textId="49CC8BE9" w:rsidR="00B5350E" w:rsidRPr="00781112" w:rsidRDefault="0020552B" w:rsidP="00B6413B">
            <w:pPr>
              <w:rPr>
                <w:rFonts w:cs="Arial"/>
                <w:color w:val="000000" w:themeColor="text1"/>
                <w:szCs w:val="16"/>
              </w:rPr>
            </w:pPr>
            <w:r w:rsidRPr="00781112">
              <w:rPr>
                <w:rFonts w:cs="Arial"/>
                <w:color w:val="000000" w:themeColor="text1"/>
                <w:szCs w:val="16"/>
              </w:rPr>
              <w:t>If yes, is it a new or revised survey?</w:t>
            </w:r>
          </w:p>
        </w:tc>
        <w:tc>
          <w:tcPr>
            <w:tcW w:w="2250" w:type="dxa"/>
          </w:tcPr>
          <w:p w14:paraId="7CA6C425" w14:textId="5334C716" w:rsidR="00B5350E"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20B301BF" w14:textId="77777777" w:rsidTr="00E0321D">
        <w:tc>
          <w:tcPr>
            <w:tcW w:w="8550" w:type="dxa"/>
          </w:tcPr>
          <w:p w14:paraId="5941AFA2" w14:textId="5CB4672E" w:rsidR="00371D57" w:rsidRPr="00781112" w:rsidRDefault="00BB56EB" w:rsidP="00B6413B">
            <w:pPr>
              <w:rPr>
                <w:rFonts w:cs="Arial"/>
                <w:color w:val="000000" w:themeColor="text1"/>
                <w:szCs w:val="16"/>
              </w:rPr>
            </w:pPr>
            <w:r w:rsidRPr="00781112">
              <w:rPr>
                <w:rFonts w:cs="Arial"/>
                <w:color w:val="000000" w:themeColor="text1"/>
                <w:szCs w:val="16"/>
              </w:rPr>
              <w:t>If yes, provide a copy of the survey.</w:t>
            </w:r>
          </w:p>
        </w:tc>
        <w:tc>
          <w:tcPr>
            <w:tcW w:w="2250" w:type="dxa"/>
          </w:tcPr>
          <w:p w14:paraId="47FBC4A0" w14:textId="3B42F246" w:rsidR="00371D57" w:rsidRPr="00781112" w:rsidRDefault="00371D57" w:rsidP="00A018D4">
            <w:pPr>
              <w:jc w:val="center"/>
              <w:rPr>
                <w:rFonts w:cs="Arial"/>
                <w:color w:val="000000" w:themeColor="text1"/>
                <w:szCs w:val="16"/>
              </w:rPr>
            </w:pPr>
          </w:p>
        </w:tc>
      </w:tr>
    </w:tbl>
    <w:p w14:paraId="15C9B2F7" w14:textId="77777777" w:rsidR="00991685" w:rsidRDefault="00991685" w:rsidP="00221EC9">
      <w:pPr>
        <w:rPr>
          <w:rFonts w:cs="Arial"/>
          <w:b/>
          <w:color w:val="000000" w:themeColor="text1"/>
          <w:szCs w:val="16"/>
        </w:rPr>
      </w:pPr>
    </w:p>
    <w:p w14:paraId="1A0A4F5E" w14:textId="49FD4EED" w:rsidR="00221EC9" w:rsidRPr="00781112" w:rsidRDefault="00221EC9" w:rsidP="00221EC9">
      <w:pPr>
        <w:rPr>
          <w:rFonts w:cs="Arial"/>
          <w:b/>
          <w:color w:val="000000" w:themeColor="text1"/>
          <w:szCs w:val="16"/>
        </w:rPr>
      </w:pPr>
      <w:r w:rsidRPr="00781112">
        <w:rPr>
          <w:rFonts w:cs="Arial"/>
          <w:b/>
          <w:color w:val="000000" w:themeColor="text1"/>
          <w:szCs w:val="16"/>
        </w:rPr>
        <w:t>Provide additional information about this indicator (optional)</w:t>
      </w:r>
    </w:p>
    <w:p w14:paraId="7F22D6A0" w14:textId="105FEEC5" w:rsidR="009B37A2" w:rsidRPr="00781112" w:rsidRDefault="009B37A2" w:rsidP="007D435F">
      <w:pPr>
        <w:rPr>
          <w:rFonts w:cs="Arial"/>
          <w:color w:val="000000" w:themeColor="text1"/>
          <w:szCs w:val="16"/>
        </w:rPr>
      </w:pPr>
    </w:p>
    <w:p w14:paraId="1CDDE440" w14:textId="050C9555" w:rsidR="000A2C83" w:rsidRPr="00781112" w:rsidRDefault="00752BAF" w:rsidP="008645AD">
      <w:pPr>
        <w:pStyle w:val="Heading2"/>
      </w:pPr>
      <w:r w:rsidRPr="00781112">
        <w:t>8</w:t>
      </w:r>
      <w:r w:rsidR="001F6BAA" w:rsidRPr="00781112">
        <w:t xml:space="preserve"> </w:t>
      </w:r>
      <w:r w:rsidRPr="00781112">
        <w:t xml:space="preserve">- </w:t>
      </w:r>
      <w:r w:rsidR="000A2C83" w:rsidRPr="00781112">
        <w:t>Prior FFY Required Actions</w:t>
      </w:r>
    </w:p>
    <w:p w14:paraId="078A2B9E" w14:textId="64337A5A" w:rsidR="000A2C83" w:rsidRPr="00781112" w:rsidRDefault="002B7490" w:rsidP="000A2C83">
      <w:pPr>
        <w:rPr>
          <w:rFonts w:cs="Arial"/>
          <w:color w:val="000000" w:themeColor="text1"/>
          <w:szCs w:val="16"/>
        </w:rPr>
      </w:pPr>
      <w:r w:rsidRPr="00781112">
        <w:rPr>
          <w:rFonts w:cs="Arial"/>
          <w:color w:val="000000" w:themeColor="text1"/>
          <w:szCs w:val="16"/>
        </w:rPr>
        <w:t xml:space="preserve">In the FFY 2020 SPP/APR, the State must report whether its FFY 2020 data are from a response group that is representative of the demographics of children receiving special education services, and, if not, the actions the State is taking to address this issue. The State must also include its analysis of the extent to which the demographics of the parents responding are representative of the demographics of children receiving special education services. </w:t>
      </w:r>
    </w:p>
    <w:p w14:paraId="5AB800FF" w14:textId="6079CEB7" w:rsidR="000A2C83" w:rsidRPr="00781112" w:rsidRDefault="000A2C83" w:rsidP="004369B2">
      <w:pPr>
        <w:rPr>
          <w:b/>
          <w:color w:val="000000" w:themeColor="text1"/>
        </w:rPr>
      </w:pPr>
      <w:r w:rsidRPr="00781112">
        <w:rPr>
          <w:b/>
          <w:color w:val="000000" w:themeColor="text1"/>
        </w:rPr>
        <w:t>Response to actions required in FFY 2019 SPP/APR</w:t>
      </w:r>
    </w:p>
    <w:p w14:paraId="03E9CB46" w14:textId="594F3FDD" w:rsidR="007757B1" w:rsidRPr="00781112" w:rsidRDefault="002B7490" w:rsidP="007757B1">
      <w:pPr>
        <w:rPr>
          <w:rFonts w:cs="Arial"/>
          <w:color w:val="000000" w:themeColor="text1"/>
          <w:szCs w:val="16"/>
        </w:rPr>
      </w:pPr>
      <w:r w:rsidRPr="00781112">
        <w:rPr>
          <w:rFonts w:cs="Arial"/>
          <w:color w:val="000000" w:themeColor="text1"/>
          <w:szCs w:val="16"/>
        </w:rPr>
        <w:t xml:space="preserve">After review of the State's special education parent involvement survey, the LDOE concluded that the survey questions did not collect information to ensure the respondents are representative of the demographics of children receiving services. Thus, the State revised its special education parent involvement survey. For FFY 2020, the special education parent involvement survey included questions to collect demographics on respondents in addition to questions to collect demographics on the respondents' children receiving services. Please see Indicator 8 attachment for the FFY 2020 special education parent involvement survey. </w:t>
      </w:r>
    </w:p>
    <w:p w14:paraId="5B521A52" w14:textId="17857299" w:rsidR="00221EC9" w:rsidRPr="00781112" w:rsidRDefault="00752BAF" w:rsidP="008645AD">
      <w:pPr>
        <w:pStyle w:val="Heading2"/>
      </w:pPr>
      <w:r w:rsidRPr="00781112">
        <w:t>8 - OSEP Response</w:t>
      </w:r>
    </w:p>
    <w:p w14:paraId="1A55D397" w14:textId="0DDAC080" w:rsidR="009B37A2" w:rsidRPr="00781112" w:rsidRDefault="002B7490" w:rsidP="001F692C">
      <w:pPr>
        <w:rPr>
          <w:rFonts w:cs="Arial"/>
          <w:color w:val="000000" w:themeColor="text1"/>
          <w:szCs w:val="16"/>
        </w:rPr>
      </w:pPr>
      <w:r w:rsidRPr="00781112">
        <w:rPr>
          <w:rFonts w:cs="Arial"/>
          <w:color w:val="000000" w:themeColor="text1"/>
          <w:szCs w:val="16"/>
        </w:rPr>
        <w:t>The State provided targets for FFYs 2020 through 2025 for this indicator, and OSEP accepts those targets.</w:t>
      </w:r>
      <w:r w:rsidRPr="00781112">
        <w:rPr>
          <w:rFonts w:cs="Arial"/>
          <w:color w:val="000000" w:themeColor="text1"/>
          <w:szCs w:val="16"/>
        </w:rPr>
        <w:br/>
      </w:r>
      <w:r w:rsidRPr="00781112">
        <w:rPr>
          <w:rFonts w:cs="Arial"/>
          <w:color w:val="000000" w:themeColor="text1"/>
          <w:szCs w:val="16"/>
        </w:rPr>
        <w:br/>
        <w:t>The State did not describe the metric used to determine representativeness, as required.</w:t>
      </w:r>
      <w:r w:rsidRPr="00781112">
        <w:rPr>
          <w:rFonts w:cs="Arial"/>
          <w:color w:val="000000" w:themeColor="text1"/>
          <w:szCs w:val="16"/>
        </w:rPr>
        <w:br/>
      </w:r>
      <w:r w:rsidRPr="00781112">
        <w:rPr>
          <w:rFonts w:cs="Arial"/>
          <w:color w:val="000000" w:themeColor="text1"/>
          <w:szCs w:val="16"/>
        </w:rPr>
        <w:br/>
        <w:t xml:space="preserve">The State analyzed the response rate to identify potential non-response bias; however, the State did not identify steps to reduce any identified bias and promote response from a broad cross section of parents of children with disabilities, as required by the Measurement Table. </w:t>
      </w:r>
      <w:r w:rsidRPr="00781112">
        <w:rPr>
          <w:rFonts w:cs="Arial"/>
          <w:color w:val="000000" w:themeColor="text1"/>
          <w:szCs w:val="16"/>
        </w:rPr>
        <w:br/>
      </w:r>
      <w:r w:rsidRPr="00781112">
        <w:rPr>
          <w:rFonts w:cs="Arial"/>
          <w:color w:val="000000" w:themeColor="text1"/>
          <w:szCs w:val="16"/>
        </w:rPr>
        <w:br/>
        <w:t>The State submitted its sampling plan for this indicator with its FFY 2020 SPP/APR. OSEP will follow up with the State under separate cover regarding the submission.</w:t>
      </w:r>
      <w:r w:rsidRPr="00781112">
        <w:rPr>
          <w:rFonts w:cs="Arial"/>
          <w:color w:val="000000" w:themeColor="text1"/>
          <w:szCs w:val="16"/>
        </w:rPr>
        <w:br/>
      </w:r>
      <w:r w:rsidRPr="00781112">
        <w:rPr>
          <w:rFonts w:cs="Arial"/>
          <w:color w:val="000000" w:themeColor="text1"/>
          <w:szCs w:val="16"/>
        </w:rPr>
        <w:br/>
        <w:t>The State did not provide verification that the attachment(s) it included in its FFY 2020 SPP/APR submission are in compliance with Section 508 of the Rehabilitation Act of 1973, as amended (Section 508), as required by Section 508.</w:t>
      </w:r>
    </w:p>
    <w:p w14:paraId="13389642" w14:textId="758A1D0A" w:rsidR="00221EC9" w:rsidRPr="00781112" w:rsidRDefault="00752BAF" w:rsidP="008645AD">
      <w:pPr>
        <w:pStyle w:val="Heading2"/>
      </w:pPr>
      <w:r w:rsidRPr="00781112">
        <w:t>8 - Required Actions</w:t>
      </w:r>
    </w:p>
    <w:p w14:paraId="48F68B87" w14:textId="7D160B08" w:rsidR="009B37A2" w:rsidRPr="00781112" w:rsidRDefault="002B7490" w:rsidP="001F692C">
      <w:pPr>
        <w:rPr>
          <w:rFonts w:cs="Arial"/>
          <w:color w:val="000000" w:themeColor="text1"/>
          <w:szCs w:val="16"/>
        </w:rPr>
      </w:pPr>
      <w:r w:rsidRPr="00781112">
        <w:rPr>
          <w:rFonts w:cs="Arial"/>
          <w:color w:val="000000" w:themeColor="text1"/>
          <w:szCs w:val="16"/>
        </w:rPr>
        <w:t>In the FFY 2021 SPP/APR, the State must describe the metric used to determine representativeness and must analyze the response rate to identify potential nonresponse bias and identify steps taken to reduce any identified bias and promote response from a broad cross section of parents of children with disabilities and strategies to reduce nonresponse bias, as required by the Measurement Table.</w:t>
      </w:r>
    </w:p>
    <w:p w14:paraId="6D95E736"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0E39FDA6" w14:textId="025763A2" w:rsidR="00D03701" w:rsidRPr="00781112" w:rsidRDefault="00D03701" w:rsidP="000444E2">
      <w:pPr>
        <w:pStyle w:val="Heading1"/>
        <w:rPr>
          <w:color w:val="000000" w:themeColor="text1"/>
          <w:sz w:val="22"/>
        </w:rPr>
      </w:pPr>
      <w:r w:rsidRPr="00781112">
        <w:rPr>
          <w:color w:val="000000" w:themeColor="text1"/>
          <w:sz w:val="22"/>
        </w:rPr>
        <w:lastRenderedPageBreak/>
        <w:t>Indicator 9: Disproportionate Representation</w:t>
      </w:r>
    </w:p>
    <w:p w14:paraId="30C4375D" w14:textId="77777777" w:rsidR="00AF5AFB" w:rsidRPr="00781112" w:rsidRDefault="00AF5AFB" w:rsidP="00A018D4">
      <w:pPr>
        <w:rPr>
          <w:color w:val="000000" w:themeColor="text1"/>
          <w:szCs w:val="20"/>
        </w:rPr>
      </w:pPr>
      <w:bookmarkStart w:id="44" w:name="_Toc384383343"/>
      <w:bookmarkStart w:id="45" w:name="_Toc392159311"/>
      <w:r w:rsidRPr="00781112">
        <w:rPr>
          <w:b/>
          <w:color w:val="000000" w:themeColor="text1"/>
          <w:sz w:val="20"/>
          <w:szCs w:val="20"/>
        </w:rPr>
        <w:t>Instructions and Measurement</w:t>
      </w:r>
    </w:p>
    <w:p w14:paraId="61C479DB" w14:textId="1E252334" w:rsidR="00CC634E" w:rsidRPr="00781112" w:rsidRDefault="00CC634E" w:rsidP="006357C5">
      <w:pPr>
        <w:rPr>
          <w:rFonts w:cs="Arial"/>
          <w:b/>
          <w:color w:val="000000" w:themeColor="text1"/>
          <w:szCs w:val="16"/>
        </w:rPr>
      </w:pPr>
      <w:r w:rsidRPr="00781112">
        <w:rPr>
          <w:rFonts w:cs="Arial"/>
          <w:b/>
          <w:color w:val="000000" w:themeColor="text1"/>
          <w:szCs w:val="16"/>
        </w:rPr>
        <w:t xml:space="preserve">Monitoring Priority: </w:t>
      </w:r>
      <w:r w:rsidRPr="00781112">
        <w:rPr>
          <w:rFonts w:cs="Arial"/>
          <w:color w:val="000000" w:themeColor="text1"/>
          <w:szCs w:val="16"/>
        </w:rPr>
        <w:t>Disproportionality</w:t>
      </w:r>
    </w:p>
    <w:p w14:paraId="2539829F" w14:textId="77777777" w:rsidR="00876394" w:rsidRPr="00781112" w:rsidRDefault="00CC634E" w:rsidP="006357C5">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districts with disproportionate representation of racial and ethnic groups in special education and related services that is the result of inappropriate identification. </w:t>
      </w:r>
    </w:p>
    <w:p w14:paraId="4983BB5F" w14:textId="28C83F84" w:rsidR="00CC634E" w:rsidRPr="00781112" w:rsidRDefault="00CC634E" w:rsidP="006357C5">
      <w:pPr>
        <w:rPr>
          <w:rFonts w:cs="Arial"/>
          <w:color w:val="000000" w:themeColor="text1"/>
          <w:szCs w:val="16"/>
        </w:rPr>
      </w:pPr>
      <w:r w:rsidRPr="00781112">
        <w:rPr>
          <w:rFonts w:cs="Arial"/>
          <w:color w:val="000000" w:themeColor="text1"/>
          <w:szCs w:val="16"/>
        </w:rPr>
        <w:t>(20 U.S.C. 1416(a)(3)(C))</w:t>
      </w:r>
    </w:p>
    <w:p w14:paraId="6D2519CF" w14:textId="77777777" w:rsidR="00A66715" w:rsidRPr="00781112" w:rsidRDefault="00A66715" w:rsidP="004369B2">
      <w:pPr>
        <w:rPr>
          <w:color w:val="000000" w:themeColor="text1"/>
        </w:rPr>
      </w:pPr>
      <w:r w:rsidRPr="00781112">
        <w:rPr>
          <w:b/>
          <w:color w:val="000000" w:themeColor="text1"/>
        </w:rPr>
        <w:t>Data Source</w:t>
      </w:r>
    </w:p>
    <w:p w14:paraId="435C1BC0" w14:textId="1F2EA9FD" w:rsidR="00A66715" w:rsidRPr="00781112" w:rsidRDefault="00A66715"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special education and related services was the result of inappropriate identification.</w:t>
      </w:r>
    </w:p>
    <w:p w14:paraId="3FA170D6" w14:textId="77777777" w:rsidR="00A66715" w:rsidRPr="00781112" w:rsidRDefault="00A66715" w:rsidP="004369B2">
      <w:pPr>
        <w:rPr>
          <w:color w:val="000000" w:themeColor="text1"/>
        </w:rPr>
      </w:pPr>
      <w:r w:rsidRPr="00781112">
        <w:rPr>
          <w:b/>
          <w:color w:val="000000" w:themeColor="text1"/>
        </w:rPr>
        <w:t>Measurement</w:t>
      </w:r>
    </w:p>
    <w:p w14:paraId="477AA533" w14:textId="06ADBA36" w:rsidR="00A66715" w:rsidRPr="00781112" w:rsidRDefault="00A66715" w:rsidP="00286BDF">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special education and related services that is the result of inappropriate identification) divided by the (# of districts in the State that meet the State-established n and/or cell size (if applicable) for one or more racial/ethnic groups)] times 100.</w:t>
      </w:r>
    </w:p>
    <w:p w14:paraId="47207609" w14:textId="77777777" w:rsidR="00A66715" w:rsidRPr="00781112" w:rsidRDefault="00A66715" w:rsidP="00286BDF">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2F72A4A6" w14:textId="3276281A" w:rsidR="00A66715" w:rsidRPr="00781112" w:rsidRDefault="0016730D" w:rsidP="00286BDF">
      <w:pPr>
        <w:rPr>
          <w:rFonts w:cs="Arial"/>
          <w:color w:val="000000" w:themeColor="text1"/>
          <w:szCs w:val="16"/>
        </w:rPr>
      </w:pPr>
      <w:r w:rsidRPr="00781112">
        <w:rPr>
          <w:rFonts w:cs="Arial"/>
          <w:color w:val="000000" w:themeColor="text1"/>
          <w:szCs w:val="16"/>
        </w:rPr>
        <w:t>Based on its review of the 618 data for the reporting year, describe how the State made its annual determination as to whether the disproportionate representation it identified of racial and ethnic groups in special education and related services was the result of inappropriate identification as required by 34 CFR §§300.600(d)(3) and 300.602(a), e.g., using monitoring data; reviewing policies, practices and procedures, etc.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special education and related services is the result of inappropriate identification, even if the determination of inappropriate identification was made after the end of the FFY 2020 reporting period (i.e., after June 30, 2021).</w:t>
      </w:r>
    </w:p>
    <w:p w14:paraId="5C234527" w14:textId="77777777" w:rsidR="00A66715" w:rsidRPr="00781112" w:rsidRDefault="00A66715" w:rsidP="004369B2">
      <w:pPr>
        <w:rPr>
          <w:color w:val="000000" w:themeColor="text1"/>
        </w:rPr>
      </w:pPr>
      <w:r w:rsidRPr="00781112">
        <w:rPr>
          <w:b/>
          <w:color w:val="000000" w:themeColor="text1"/>
        </w:rPr>
        <w:t>Instructions</w:t>
      </w:r>
    </w:p>
    <w:p w14:paraId="66307925" w14:textId="257F2E4C" w:rsidR="00A66715" w:rsidRPr="00781112" w:rsidRDefault="00A66715"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 xml:space="preserve">rovide racial/ethnic disproportionality data for all children aged </w:t>
      </w:r>
      <w:r w:rsidR="00071D42" w:rsidRPr="00781112">
        <w:rPr>
          <w:rFonts w:cs="Arial"/>
        </w:rPr>
        <w:t xml:space="preserve">5 who are enrolled in kindergarten and </w:t>
      </w:r>
      <w:r w:rsidRPr="00781112">
        <w:rPr>
          <w:rFonts w:cs="Arial"/>
          <w:color w:val="000000" w:themeColor="text1"/>
          <w:szCs w:val="16"/>
        </w:rPr>
        <w:t>6 through 21 served under IDEA, aggregated across all disability categories.</w:t>
      </w:r>
    </w:p>
    <w:p w14:paraId="6CA47C85" w14:textId="77777777" w:rsidR="00A66715" w:rsidRPr="00781112" w:rsidRDefault="00A66715" w:rsidP="00286BDF">
      <w:pPr>
        <w:rPr>
          <w:rFonts w:cs="Arial"/>
          <w:color w:val="000000" w:themeColor="text1"/>
          <w:szCs w:val="16"/>
        </w:rPr>
      </w:pPr>
      <w:r w:rsidRPr="00781112">
        <w:rPr>
          <w:rFonts w:cs="Arial"/>
          <w:color w:val="000000" w:themeColor="text1"/>
          <w:szCs w:val="16"/>
        </w:rPr>
        <w:t>States are not required to report on underrepresentation.</w:t>
      </w:r>
    </w:p>
    <w:p w14:paraId="7D49F2B9" w14:textId="77777777" w:rsidR="00A66715" w:rsidRPr="00781112" w:rsidRDefault="00A66715"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18F19F84" w14:textId="77777777" w:rsidR="00A66715" w:rsidRPr="00781112" w:rsidRDefault="00A66715"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08814B9F" w14:textId="77777777" w:rsidR="00A66715" w:rsidRPr="00781112" w:rsidRDefault="00A66715" w:rsidP="00286BDF">
      <w:pPr>
        <w:rPr>
          <w:rFonts w:cs="Arial"/>
          <w:color w:val="000000" w:themeColor="text1"/>
          <w:szCs w:val="16"/>
        </w:rPr>
      </w:pPr>
      <w:r w:rsidRPr="00781112">
        <w:rPr>
          <w:rFonts w:cs="Arial"/>
          <w:color w:val="000000" w:themeColor="text1"/>
          <w:szCs w:val="16"/>
        </w:rPr>
        <w:t>Provide the number of districts that met the State-established n and/or cell size (if applicable) for one or more racial/ethnic groups identified with disproportionate representation of racial and ethnic groups in special education and related services and the number of those districts identified with disproportionate representation that is the result of inappropriate identification.</w:t>
      </w:r>
    </w:p>
    <w:p w14:paraId="633EBCDF" w14:textId="77777777" w:rsidR="00A66715" w:rsidRPr="00781112" w:rsidRDefault="00A66715" w:rsidP="00286BDF">
      <w:pPr>
        <w:rPr>
          <w:rFonts w:cs="Arial"/>
          <w:color w:val="000000" w:themeColor="text1"/>
          <w:szCs w:val="16"/>
        </w:rPr>
      </w:pPr>
      <w:r w:rsidRPr="00781112">
        <w:rPr>
          <w:rFonts w:cs="Arial"/>
          <w:color w:val="000000" w:themeColor="text1"/>
          <w:szCs w:val="16"/>
        </w:rPr>
        <w:t>Targets must be 0%.</w:t>
      </w:r>
    </w:p>
    <w:p w14:paraId="78E093FF" w14:textId="1D47DF0A" w:rsidR="00A66715" w:rsidRPr="00781112" w:rsidRDefault="0016730D"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 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1A6C01D0" w14:textId="1BD83E55" w:rsidR="00AF5AFB" w:rsidRPr="00781112" w:rsidRDefault="00400C56" w:rsidP="008645AD">
      <w:pPr>
        <w:pStyle w:val="Heading2"/>
      </w:pPr>
      <w:bookmarkStart w:id="46" w:name="_Toc384383344"/>
      <w:bookmarkStart w:id="47" w:name="_Toc392159312"/>
      <w:bookmarkEnd w:id="44"/>
      <w:bookmarkEnd w:id="45"/>
      <w:r w:rsidRPr="00781112">
        <w:t>9</w:t>
      </w:r>
      <w:r w:rsidR="000D746C" w:rsidRPr="00781112">
        <w:t xml:space="preserve"> </w:t>
      </w:r>
      <w:r w:rsidRPr="00781112">
        <w:t xml:space="preserve">- </w:t>
      </w:r>
      <w:r w:rsidR="00AF5AFB" w:rsidRPr="00781112">
        <w:t>Indicator Data</w:t>
      </w:r>
    </w:p>
    <w:p w14:paraId="3B629025" w14:textId="77777777" w:rsidR="0091098C" w:rsidRPr="00781112" w:rsidRDefault="0091098C" w:rsidP="004369B2">
      <w:pPr>
        <w:rPr>
          <w:color w:val="000000" w:themeColor="text1"/>
        </w:rPr>
      </w:pPr>
      <w:r w:rsidRPr="00781112">
        <w:rPr>
          <w:b/>
          <w:color w:val="000000" w:themeColor="text1"/>
        </w:rPr>
        <w:t>Not Applicable</w:t>
      </w:r>
    </w:p>
    <w:p w14:paraId="26955027" w14:textId="78EADA59" w:rsidR="003E7FC1" w:rsidRPr="00781112" w:rsidRDefault="00E54DDA">
      <w:pPr>
        <w:rPr>
          <w:b/>
          <w:color w:val="000000" w:themeColor="text1"/>
        </w:rPr>
      </w:pPr>
      <w:r w:rsidRPr="00781112">
        <w:rPr>
          <w:b/>
          <w:color w:val="000000" w:themeColor="text1"/>
        </w:rPr>
        <w:t>Select yes if this indicator is not applicable.</w:t>
      </w:r>
    </w:p>
    <w:p w14:paraId="6AB001BB" w14:textId="1DB937E1" w:rsidR="00043AC9" w:rsidRPr="00781112" w:rsidRDefault="00043AC9" w:rsidP="004369B2">
      <w:pPr>
        <w:rPr>
          <w:rFonts w:cs="Arial"/>
          <w:color w:val="000000" w:themeColor="text1"/>
          <w:szCs w:val="16"/>
        </w:rPr>
      </w:pPr>
      <w:r w:rsidRPr="00781112">
        <w:rPr>
          <w:rFonts w:cs="Arial"/>
          <w:color w:val="000000" w:themeColor="text1"/>
          <w:szCs w:val="16"/>
        </w:rPr>
        <w:t>NO</w:t>
      </w:r>
    </w:p>
    <w:p w14:paraId="3A71D697" w14:textId="346BA4D1"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9BASELINEDATA"/>
      </w:tblPr>
      <w:tblGrid>
        <w:gridCol w:w="1797"/>
        <w:gridCol w:w="1798"/>
      </w:tblGrid>
      <w:tr w:rsidR="00956DB0" w:rsidRPr="00781112" w14:paraId="5182274F" w14:textId="77777777" w:rsidTr="00123D76">
        <w:trPr>
          <w:trHeight w:val="311"/>
          <w:tblHeader/>
        </w:trPr>
        <w:tc>
          <w:tcPr>
            <w:tcW w:w="1797" w:type="dxa"/>
          </w:tcPr>
          <w:p w14:paraId="1A2818C6" w14:textId="77777777" w:rsidR="00956DB0" w:rsidRPr="00781112" w:rsidRDefault="00956DB0" w:rsidP="00123D76">
            <w:pPr>
              <w:jc w:val="center"/>
              <w:rPr>
                <w:b/>
                <w:color w:val="000000" w:themeColor="text1"/>
              </w:rPr>
            </w:pPr>
            <w:r w:rsidRPr="00781112">
              <w:rPr>
                <w:rFonts w:cs="Arial"/>
                <w:b/>
                <w:color w:val="000000" w:themeColor="text1"/>
                <w:szCs w:val="16"/>
              </w:rPr>
              <w:t>Baseline Year</w:t>
            </w:r>
          </w:p>
        </w:tc>
        <w:tc>
          <w:tcPr>
            <w:tcW w:w="1798" w:type="dxa"/>
          </w:tcPr>
          <w:p w14:paraId="0F4B2975" w14:textId="77777777" w:rsidR="00956DB0" w:rsidRPr="00781112" w:rsidRDefault="00956DB0" w:rsidP="00123D76">
            <w:pPr>
              <w:jc w:val="center"/>
              <w:rPr>
                <w:b/>
                <w:color w:val="000000" w:themeColor="text1"/>
              </w:rPr>
            </w:pPr>
            <w:r w:rsidRPr="00781112">
              <w:rPr>
                <w:b/>
                <w:color w:val="000000" w:themeColor="text1"/>
              </w:rPr>
              <w:t>Baseline Data</w:t>
            </w:r>
          </w:p>
        </w:tc>
      </w:tr>
      <w:tr w:rsidR="00956DB0" w:rsidRPr="00781112" w14:paraId="610EE192" w14:textId="77777777" w:rsidTr="00123D76">
        <w:trPr>
          <w:trHeight w:val="311"/>
        </w:trPr>
        <w:tc>
          <w:tcPr>
            <w:tcW w:w="1797" w:type="dxa"/>
            <w:vAlign w:val="center"/>
          </w:tcPr>
          <w:p w14:paraId="092AF3EE" w14:textId="300E0F13" w:rsidR="00956DB0" w:rsidRPr="00781112" w:rsidRDefault="00956DB0" w:rsidP="00123D76">
            <w:pPr>
              <w:jc w:val="center"/>
              <w:rPr>
                <w:bCs/>
                <w:color w:val="000000" w:themeColor="text1"/>
              </w:rPr>
            </w:pPr>
            <w:r w:rsidRPr="00781112">
              <w:rPr>
                <w:bCs/>
                <w:color w:val="000000" w:themeColor="text1"/>
              </w:rPr>
              <w:t>2020</w:t>
            </w:r>
          </w:p>
        </w:tc>
        <w:tc>
          <w:tcPr>
            <w:tcW w:w="1798" w:type="dxa"/>
            <w:vAlign w:val="center"/>
          </w:tcPr>
          <w:p w14:paraId="4FDCB4BF" w14:textId="0D2A0C74" w:rsidR="00956DB0" w:rsidRPr="00781112" w:rsidRDefault="00956DB0" w:rsidP="00123D76">
            <w:pPr>
              <w:jc w:val="center"/>
              <w:rPr>
                <w:bCs/>
                <w:color w:val="000000" w:themeColor="text1"/>
              </w:rPr>
            </w:pPr>
            <w:r w:rsidRPr="00781112">
              <w:rPr>
                <w:bCs/>
                <w:color w:val="000000" w:themeColor="text1"/>
              </w:rPr>
              <w:t>0.00%</w:t>
            </w:r>
          </w:p>
        </w:tc>
      </w:tr>
    </w:tbl>
    <w:p w14:paraId="209EB354" w14:textId="77777777" w:rsidR="00956DB0" w:rsidRPr="00781112" w:rsidRDefault="00956DB0"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9HISTDATA"/>
      </w:tblPr>
      <w:tblGrid>
        <w:gridCol w:w="1798"/>
        <w:gridCol w:w="1798"/>
        <w:gridCol w:w="1798"/>
        <w:gridCol w:w="1798"/>
        <w:gridCol w:w="1798"/>
        <w:gridCol w:w="1800"/>
      </w:tblGrid>
      <w:tr w:rsidR="005C29F8" w:rsidRPr="00781112" w14:paraId="29257DEC" w14:textId="77777777" w:rsidTr="002B4D97">
        <w:trPr>
          <w:trHeight w:val="350"/>
        </w:trPr>
        <w:tc>
          <w:tcPr>
            <w:tcW w:w="833" w:type="pct"/>
            <w:tcBorders>
              <w:bottom w:val="single" w:sz="4" w:space="0" w:color="auto"/>
            </w:tcBorders>
            <w:shd w:val="clear" w:color="auto" w:fill="auto"/>
          </w:tcPr>
          <w:p w14:paraId="2ACD0221" w14:textId="77777777" w:rsidR="006357C5" w:rsidRPr="00781112" w:rsidRDefault="006357C5"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5D764B6" w14:textId="19C54EAA" w:rsidR="006357C5" w:rsidRPr="00781112" w:rsidRDefault="002B7490" w:rsidP="00B6413B">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033F60DB" w14:textId="27C2FA3D" w:rsidR="006357C5" w:rsidRPr="00781112" w:rsidRDefault="002B7490" w:rsidP="00B6413B">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vAlign w:val="center"/>
          </w:tcPr>
          <w:p w14:paraId="317350A8" w14:textId="7D4D6C23" w:rsidR="006357C5"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vAlign w:val="center"/>
          </w:tcPr>
          <w:p w14:paraId="2FE9FF1F" w14:textId="6B14CCED" w:rsidR="006357C5"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vAlign w:val="center"/>
          </w:tcPr>
          <w:p w14:paraId="3EED1AAF" w14:textId="5F49372A" w:rsidR="006357C5" w:rsidRPr="00781112" w:rsidRDefault="002B7490" w:rsidP="00B6413B">
            <w:pPr>
              <w:jc w:val="center"/>
              <w:rPr>
                <w:rFonts w:cs="Arial"/>
                <w:b/>
                <w:color w:val="000000" w:themeColor="text1"/>
                <w:szCs w:val="16"/>
              </w:rPr>
            </w:pPr>
            <w:r w:rsidRPr="00781112">
              <w:rPr>
                <w:rFonts w:cs="Arial"/>
                <w:b/>
                <w:color w:val="000000" w:themeColor="text1"/>
                <w:szCs w:val="16"/>
              </w:rPr>
              <w:t>2019</w:t>
            </w:r>
          </w:p>
        </w:tc>
      </w:tr>
      <w:tr w:rsidR="005C29F8" w:rsidRPr="00781112" w14:paraId="2B1048CB" w14:textId="77777777" w:rsidTr="002B4D97">
        <w:trPr>
          <w:trHeight w:val="357"/>
        </w:trPr>
        <w:tc>
          <w:tcPr>
            <w:tcW w:w="833" w:type="pct"/>
            <w:shd w:val="clear" w:color="auto" w:fill="auto"/>
          </w:tcPr>
          <w:p w14:paraId="1E5C921D" w14:textId="10B75CEC" w:rsidR="006357C5" w:rsidRPr="00781112" w:rsidRDefault="006357C5" w:rsidP="006357C5">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605E3208" w14:textId="6058696A"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18B25266" w14:textId="3AD0FECB"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0C0FBF57" w14:textId="7ECB922D"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532C2D7E" w14:textId="62B3BFC8"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60DA2026" w14:textId="24D14A2D" w:rsidR="006357C5"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3159C03B" w14:textId="77777777" w:rsidTr="002B4D97">
        <w:trPr>
          <w:trHeight w:val="85"/>
        </w:trPr>
        <w:tc>
          <w:tcPr>
            <w:tcW w:w="833" w:type="pct"/>
            <w:shd w:val="clear" w:color="auto" w:fill="auto"/>
          </w:tcPr>
          <w:p w14:paraId="2AC5584F" w14:textId="77777777" w:rsidR="006357C5" w:rsidRPr="00781112" w:rsidRDefault="006357C5" w:rsidP="00B6413B">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6FD989E4" w14:textId="34237C82"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078BDCB4" w14:textId="6678F601"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1B9E9606" w14:textId="2C899E5A"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2DEE133C" w14:textId="4FA56B6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164C156" w14:textId="136C88F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38D93E0F" w14:textId="77777777" w:rsidR="00870121" w:rsidRPr="00781112" w:rsidRDefault="00870121" w:rsidP="004369B2">
      <w:pPr>
        <w:rPr>
          <w:color w:val="000000" w:themeColor="text1"/>
        </w:rPr>
      </w:pPr>
    </w:p>
    <w:p w14:paraId="1D3DD603" w14:textId="00F457CF" w:rsidR="0016730D" w:rsidRPr="00781112" w:rsidRDefault="0016730D" w:rsidP="004369B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TARGETS"/>
      </w:tblPr>
      <w:tblGrid>
        <w:gridCol w:w="679"/>
        <w:gridCol w:w="1591"/>
        <w:gridCol w:w="1704"/>
        <w:gridCol w:w="1704"/>
        <w:gridCol w:w="1704"/>
        <w:gridCol w:w="1704"/>
        <w:gridCol w:w="1704"/>
      </w:tblGrid>
      <w:tr w:rsidR="00AD5583" w:rsidRPr="00781112" w14:paraId="3B5E697E" w14:textId="22491944" w:rsidTr="002B4D97">
        <w:trPr>
          <w:trHeight w:val="307"/>
        </w:trPr>
        <w:tc>
          <w:tcPr>
            <w:tcW w:w="234" w:type="pct"/>
            <w:tcBorders>
              <w:bottom w:val="single" w:sz="4" w:space="0" w:color="auto"/>
            </w:tcBorders>
            <w:shd w:val="clear" w:color="auto" w:fill="auto"/>
          </w:tcPr>
          <w:p w14:paraId="6847FBDE" w14:textId="77777777" w:rsidR="00AD5583" w:rsidRPr="00781112" w:rsidRDefault="00AD5583" w:rsidP="00AD5583">
            <w:pPr>
              <w:jc w:val="center"/>
              <w:rPr>
                <w:b/>
                <w:color w:val="000000" w:themeColor="text1"/>
              </w:rPr>
            </w:pPr>
            <w:r w:rsidRPr="00781112">
              <w:rPr>
                <w:b/>
                <w:color w:val="000000" w:themeColor="text1"/>
              </w:rPr>
              <w:t>FFY</w:t>
            </w:r>
          </w:p>
        </w:tc>
        <w:tc>
          <w:tcPr>
            <w:tcW w:w="751" w:type="pct"/>
            <w:shd w:val="clear" w:color="auto" w:fill="auto"/>
          </w:tcPr>
          <w:p w14:paraId="2C965821" w14:textId="77777777" w:rsidR="00AD5583" w:rsidRPr="00781112" w:rsidRDefault="00AD5583" w:rsidP="00AD5583">
            <w:pPr>
              <w:jc w:val="center"/>
              <w:rPr>
                <w:b/>
                <w:color w:val="000000" w:themeColor="text1"/>
              </w:rPr>
            </w:pPr>
            <w:r w:rsidRPr="00781112">
              <w:rPr>
                <w:b/>
                <w:color w:val="000000" w:themeColor="text1"/>
              </w:rPr>
              <w:t>2020</w:t>
            </w:r>
          </w:p>
        </w:tc>
        <w:tc>
          <w:tcPr>
            <w:tcW w:w="803" w:type="pct"/>
          </w:tcPr>
          <w:p w14:paraId="695B1CC5" w14:textId="0A8E7C74" w:rsidR="00AD5583" w:rsidRPr="00781112" w:rsidRDefault="00AD5583" w:rsidP="00AD5583">
            <w:pPr>
              <w:jc w:val="center"/>
              <w:rPr>
                <w:b/>
                <w:color w:val="000000" w:themeColor="text1"/>
              </w:rPr>
            </w:pPr>
            <w:r w:rsidRPr="00781112">
              <w:rPr>
                <w:rFonts w:cs="Arial"/>
                <w:b/>
                <w:color w:val="000000" w:themeColor="text1"/>
                <w:szCs w:val="16"/>
              </w:rPr>
              <w:t>2021</w:t>
            </w:r>
          </w:p>
        </w:tc>
        <w:tc>
          <w:tcPr>
            <w:tcW w:w="803" w:type="pct"/>
          </w:tcPr>
          <w:p w14:paraId="676B8DF3" w14:textId="1749272A" w:rsidR="00AD5583" w:rsidRPr="00781112" w:rsidRDefault="00AD5583" w:rsidP="00AD5583">
            <w:pPr>
              <w:jc w:val="center"/>
              <w:rPr>
                <w:b/>
                <w:color w:val="000000" w:themeColor="text1"/>
              </w:rPr>
            </w:pPr>
            <w:r w:rsidRPr="00781112">
              <w:rPr>
                <w:rFonts w:cs="Arial"/>
                <w:b/>
                <w:color w:val="000000" w:themeColor="text1"/>
                <w:szCs w:val="16"/>
              </w:rPr>
              <w:t>2022</w:t>
            </w:r>
          </w:p>
        </w:tc>
        <w:tc>
          <w:tcPr>
            <w:tcW w:w="803" w:type="pct"/>
          </w:tcPr>
          <w:p w14:paraId="2431A20F" w14:textId="6C70327F" w:rsidR="00AD5583" w:rsidRPr="00781112" w:rsidRDefault="00AD5583" w:rsidP="00AD5583">
            <w:pPr>
              <w:jc w:val="center"/>
              <w:rPr>
                <w:b/>
                <w:color w:val="000000" w:themeColor="text1"/>
              </w:rPr>
            </w:pPr>
            <w:r w:rsidRPr="00781112">
              <w:rPr>
                <w:rFonts w:cs="Arial"/>
                <w:b/>
                <w:color w:val="000000" w:themeColor="text1"/>
                <w:szCs w:val="16"/>
              </w:rPr>
              <w:t>2023</w:t>
            </w:r>
          </w:p>
        </w:tc>
        <w:tc>
          <w:tcPr>
            <w:tcW w:w="803" w:type="pct"/>
          </w:tcPr>
          <w:p w14:paraId="1F22D9D1" w14:textId="274E33D7" w:rsidR="00AD5583" w:rsidRPr="00781112" w:rsidRDefault="00AD5583" w:rsidP="00AD5583">
            <w:pPr>
              <w:jc w:val="center"/>
              <w:rPr>
                <w:b/>
                <w:color w:val="000000" w:themeColor="text1"/>
              </w:rPr>
            </w:pPr>
            <w:r w:rsidRPr="00781112">
              <w:rPr>
                <w:rFonts w:cs="Arial"/>
                <w:b/>
                <w:color w:val="000000" w:themeColor="text1"/>
                <w:szCs w:val="16"/>
              </w:rPr>
              <w:t>2024</w:t>
            </w:r>
          </w:p>
        </w:tc>
        <w:tc>
          <w:tcPr>
            <w:tcW w:w="803" w:type="pct"/>
          </w:tcPr>
          <w:p w14:paraId="170ADB87" w14:textId="7E2782C3" w:rsidR="00AD5583" w:rsidRPr="00781112" w:rsidRDefault="00AD5583" w:rsidP="00AD5583">
            <w:pPr>
              <w:jc w:val="center"/>
              <w:rPr>
                <w:b/>
                <w:color w:val="000000" w:themeColor="text1"/>
              </w:rPr>
            </w:pPr>
            <w:r w:rsidRPr="00781112">
              <w:rPr>
                <w:rFonts w:cs="Arial"/>
                <w:b/>
                <w:color w:val="000000" w:themeColor="text1"/>
                <w:szCs w:val="16"/>
              </w:rPr>
              <w:t>2025</w:t>
            </w:r>
          </w:p>
        </w:tc>
      </w:tr>
      <w:tr w:rsidR="00AD5583" w:rsidRPr="00781112" w14:paraId="48E9BF63" w14:textId="16949127" w:rsidTr="002B4D97">
        <w:trPr>
          <w:trHeight w:val="313"/>
        </w:trPr>
        <w:tc>
          <w:tcPr>
            <w:tcW w:w="234" w:type="pct"/>
            <w:shd w:val="clear" w:color="auto" w:fill="auto"/>
            <w:vAlign w:val="center"/>
          </w:tcPr>
          <w:p w14:paraId="3001E3D6" w14:textId="77777777" w:rsidR="00AD5583" w:rsidRPr="00781112" w:rsidRDefault="00AD5583" w:rsidP="00AD5583">
            <w:pPr>
              <w:rPr>
                <w:rFonts w:cs="Arial"/>
                <w:color w:val="000000" w:themeColor="text1"/>
                <w:szCs w:val="16"/>
              </w:rPr>
            </w:pPr>
            <w:r w:rsidRPr="00781112">
              <w:rPr>
                <w:rFonts w:cs="Arial"/>
                <w:color w:val="000000" w:themeColor="text1"/>
                <w:szCs w:val="16"/>
              </w:rPr>
              <w:t xml:space="preserve">Target </w:t>
            </w:r>
          </w:p>
        </w:tc>
        <w:tc>
          <w:tcPr>
            <w:tcW w:w="751" w:type="pct"/>
            <w:shd w:val="clear" w:color="auto" w:fill="auto"/>
            <w:vAlign w:val="center"/>
          </w:tcPr>
          <w:p w14:paraId="538E5325" w14:textId="0C17771E" w:rsidR="00AD5583" w:rsidRPr="00781112" w:rsidRDefault="00AD5583" w:rsidP="00AD5583">
            <w:pPr>
              <w:jc w:val="center"/>
              <w:rPr>
                <w:rFonts w:cs="Arial"/>
                <w:color w:val="000000" w:themeColor="text1"/>
                <w:szCs w:val="16"/>
              </w:rPr>
            </w:pPr>
            <w:r w:rsidRPr="00781112">
              <w:rPr>
                <w:rFonts w:cs="Arial"/>
                <w:color w:val="000000" w:themeColor="text1"/>
                <w:szCs w:val="16"/>
              </w:rPr>
              <w:t>0%</w:t>
            </w:r>
          </w:p>
        </w:tc>
        <w:tc>
          <w:tcPr>
            <w:tcW w:w="803" w:type="pct"/>
          </w:tcPr>
          <w:p w14:paraId="5C91471A" w14:textId="351E6F13" w:rsidR="00AD5583" w:rsidRPr="00781112" w:rsidRDefault="00AD5583" w:rsidP="00AD5583">
            <w:pPr>
              <w:jc w:val="center"/>
              <w:rPr>
                <w:rFonts w:cs="Arial"/>
                <w:color w:val="000000" w:themeColor="text1"/>
                <w:szCs w:val="16"/>
              </w:rPr>
            </w:pPr>
            <w:r w:rsidRPr="00781112">
              <w:rPr>
                <w:color w:val="000000" w:themeColor="text1"/>
                <w:szCs w:val="16"/>
              </w:rPr>
              <w:t>0%</w:t>
            </w:r>
          </w:p>
        </w:tc>
        <w:tc>
          <w:tcPr>
            <w:tcW w:w="803" w:type="pct"/>
          </w:tcPr>
          <w:p w14:paraId="4C61AAA7" w14:textId="75046312" w:rsidR="00AD5583" w:rsidRPr="00781112" w:rsidRDefault="00AD5583" w:rsidP="00AD5583">
            <w:pPr>
              <w:jc w:val="center"/>
              <w:rPr>
                <w:rFonts w:cs="Arial"/>
                <w:color w:val="000000" w:themeColor="text1"/>
                <w:szCs w:val="16"/>
              </w:rPr>
            </w:pPr>
            <w:r w:rsidRPr="00781112">
              <w:rPr>
                <w:color w:val="000000" w:themeColor="text1"/>
                <w:szCs w:val="16"/>
              </w:rPr>
              <w:t>0%</w:t>
            </w:r>
          </w:p>
        </w:tc>
        <w:tc>
          <w:tcPr>
            <w:tcW w:w="803" w:type="pct"/>
          </w:tcPr>
          <w:p w14:paraId="59DCAC52" w14:textId="3AB87F0D" w:rsidR="00AD5583" w:rsidRPr="00781112" w:rsidRDefault="00AD5583" w:rsidP="00AD5583">
            <w:pPr>
              <w:jc w:val="center"/>
              <w:rPr>
                <w:rFonts w:cs="Arial"/>
                <w:color w:val="000000" w:themeColor="text1"/>
                <w:szCs w:val="16"/>
              </w:rPr>
            </w:pPr>
            <w:r w:rsidRPr="00781112">
              <w:rPr>
                <w:color w:val="000000" w:themeColor="text1"/>
                <w:szCs w:val="16"/>
              </w:rPr>
              <w:t>0%</w:t>
            </w:r>
          </w:p>
        </w:tc>
        <w:tc>
          <w:tcPr>
            <w:tcW w:w="803" w:type="pct"/>
          </w:tcPr>
          <w:p w14:paraId="01CBB5F6" w14:textId="30E27615" w:rsidR="00AD5583" w:rsidRPr="00781112" w:rsidRDefault="00AD5583" w:rsidP="00AD5583">
            <w:pPr>
              <w:jc w:val="center"/>
              <w:rPr>
                <w:rFonts w:cs="Arial"/>
                <w:color w:val="000000" w:themeColor="text1"/>
                <w:szCs w:val="16"/>
              </w:rPr>
            </w:pPr>
            <w:r w:rsidRPr="00781112">
              <w:rPr>
                <w:color w:val="000000" w:themeColor="text1"/>
                <w:szCs w:val="16"/>
              </w:rPr>
              <w:t>0%</w:t>
            </w:r>
          </w:p>
        </w:tc>
        <w:tc>
          <w:tcPr>
            <w:tcW w:w="803" w:type="pct"/>
          </w:tcPr>
          <w:p w14:paraId="7F104E9E" w14:textId="6D9DEBCA" w:rsidR="00AD5583" w:rsidRPr="00781112" w:rsidRDefault="00AD5583" w:rsidP="00AD5583">
            <w:pPr>
              <w:jc w:val="center"/>
              <w:rPr>
                <w:rFonts w:cs="Arial"/>
                <w:color w:val="000000" w:themeColor="text1"/>
                <w:szCs w:val="16"/>
              </w:rPr>
            </w:pPr>
            <w:r w:rsidRPr="00781112">
              <w:rPr>
                <w:color w:val="000000" w:themeColor="text1"/>
                <w:szCs w:val="16"/>
              </w:rPr>
              <w:t>0%</w:t>
            </w:r>
          </w:p>
        </w:tc>
      </w:tr>
    </w:tbl>
    <w:p w14:paraId="77101B89" w14:textId="69445547" w:rsidR="00D03701" w:rsidRPr="00781112" w:rsidRDefault="00F6415A">
      <w:pPr>
        <w:rPr>
          <w:b/>
          <w:color w:val="000000" w:themeColor="text1"/>
        </w:rPr>
      </w:pPr>
      <w:r w:rsidRPr="00781112">
        <w:rPr>
          <w:b/>
          <w:color w:val="000000" w:themeColor="text1"/>
        </w:rPr>
        <w:t>FFY 2020 SPP/APR Data</w:t>
      </w:r>
      <w:bookmarkEnd w:id="46"/>
      <w:bookmarkEnd w:id="47"/>
    </w:p>
    <w:p w14:paraId="5771AAAE" w14:textId="3421DD27" w:rsidR="003E7FC1" w:rsidRPr="00781112" w:rsidRDefault="003E7FC1">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122DE20F" w14:textId="4373CB68" w:rsidR="003E7FC1" w:rsidRPr="00781112" w:rsidRDefault="003E7FC1">
      <w:pPr>
        <w:rPr>
          <w:rFonts w:cs="Arial"/>
          <w:color w:val="000000" w:themeColor="text1"/>
          <w:szCs w:val="16"/>
        </w:rPr>
      </w:pPr>
      <w:r w:rsidRPr="00781112">
        <w:rPr>
          <w:rFonts w:cs="Arial"/>
          <w:color w:val="000000" w:themeColor="text1"/>
          <w:szCs w:val="16"/>
        </w:rPr>
        <w:t>YES</w:t>
      </w:r>
    </w:p>
    <w:p w14:paraId="76B8CAF9" w14:textId="53FE4658" w:rsidR="003E7FC1" w:rsidRPr="00781112" w:rsidRDefault="003E7FC1">
      <w:pPr>
        <w:rPr>
          <w:rFonts w:cs="Arial"/>
          <w:b/>
          <w:color w:val="000000" w:themeColor="text1"/>
          <w:szCs w:val="16"/>
        </w:rPr>
      </w:pPr>
      <w:r w:rsidRPr="00781112">
        <w:rPr>
          <w:rFonts w:cs="Arial"/>
          <w:b/>
          <w:color w:val="000000" w:themeColor="text1"/>
          <w:szCs w:val="16"/>
        </w:rPr>
        <w:lastRenderedPageBreak/>
        <w:t>If yes, the State may only include, in both the numerator and the denominator, districts that met the State-established n and/or cell size. Report the number of districts excluded from the calculation as a result of the requirement.</w:t>
      </w:r>
    </w:p>
    <w:p w14:paraId="62270301" w14:textId="20B3D538" w:rsidR="003E7FC1" w:rsidRPr="00781112" w:rsidRDefault="003E7FC1" w:rsidP="004369B2">
      <w:pPr>
        <w:rPr>
          <w:rFonts w:cs="Arial"/>
          <w:color w:val="000000" w:themeColor="text1"/>
          <w:szCs w:val="16"/>
        </w:rPr>
      </w:pPr>
      <w:r w:rsidRPr="00781112">
        <w:rPr>
          <w:rFonts w:cs="Arial"/>
          <w:color w:val="000000" w:themeColor="text1"/>
          <w:szCs w:val="16"/>
        </w:rPr>
        <w:t>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CFFYAPRDATA"/>
      </w:tblPr>
      <w:tblGrid>
        <w:gridCol w:w="1488"/>
        <w:gridCol w:w="1488"/>
        <w:gridCol w:w="1709"/>
        <w:gridCol w:w="1079"/>
        <w:gridCol w:w="1627"/>
        <w:gridCol w:w="970"/>
        <w:gridCol w:w="1235"/>
        <w:gridCol w:w="1194"/>
      </w:tblGrid>
      <w:tr w:rsidR="005C29F8" w:rsidRPr="00781112" w14:paraId="53F272CD" w14:textId="23013B7B" w:rsidTr="002B4D97">
        <w:trPr>
          <w:trHeight w:val="354"/>
          <w:jc w:val="center"/>
        </w:trPr>
        <w:tc>
          <w:tcPr>
            <w:tcW w:w="652" w:type="pct"/>
            <w:shd w:val="clear" w:color="auto" w:fill="auto"/>
            <w:vAlign w:val="bottom"/>
          </w:tcPr>
          <w:p w14:paraId="18E013DB" w14:textId="1E730C58" w:rsidR="004B2A77" w:rsidRPr="00781112" w:rsidRDefault="004B2A77" w:rsidP="004369B2">
            <w:pPr>
              <w:jc w:val="center"/>
              <w:rPr>
                <w:b/>
                <w:color w:val="000000" w:themeColor="text1"/>
              </w:rPr>
            </w:pPr>
            <w:r w:rsidRPr="00781112">
              <w:rPr>
                <w:b/>
                <w:color w:val="000000" w:themeColor="text1"/>
              </w:rPr>
              <w:t>Number of districts with disproportionate representation of racial/ethnic groups in special education and related services</w:t>
            </w:r>
          </w:p>
        </w:tc>
        <w:tc>
          <w:tcPr>
            <w:tcW w:w="583" w:type="pct"/>
            <w:shd w:val="clear" w:color="auto" w:fill="auto"/>
            <w:vAlign w:val="bottom"/>
          </w:tcPr>
          <w:p w14:paraId="67667553" w14:textId="3EAD48D0" w:rsidR="004B2A77" w:rsidRPr="00781112" w:rsidRDefault="004B2A77" w:rsidP="004369B2">
            <w:pPr>
              <w:jc w:val="center"/>
              <w:rPr>
                <w:b/>
                <w:color w:val="000000" w:themeColor="text1"/>
              </w:rPr>
            </w:pPr>
            <w:r w:rsidRPr="00781112">
              <w:rPr>
                <w:b/>
                <w:color w:val="000000" w:themeColor="text1"/>
              </w:rPr>
              <w:t>Number of districts with disproportionate representation of racial/ethnic groups in special education and related services that is the result of inappropriate identification</w:t>
            </w:r>
          </w:p>
        </w:tc>
        <w:tc>
          <w:tcPr>
            <w:tcW w:w="816" w:type="pct"/>
            <w:shd w:val="clear" w:color="auto" w:fill="auto"/>
            <w:vAlign w:val="bottom"/>
          </w:tcPr>
          <w:p w14:paraId="33AFFA6F" w14:textId="7F185165" w:rsidR="004B2A77" w:rsidRPr="00781112" w:rsidRDefault="003D7F56" w:rsidP="004369B2">
            <w:pPr>
              <w:jc w:val="center"/>
              <w:rPr>
                <w:b/>
                <w:color w:val="000000" w:themeColor="text1"/>
              </w:rPr>
            </w:pPr>
            <w:r w:rsidRPr="00781112">
              <w:rPr>
                <w:b/>
                <w:color w:val="000000" w:themeColor="text1"/>
              </w:rPr>
              <w:t>Number of districts that met the State's minimum n and/or cell size</w:t>
            </w:r>
          </w:p>
        </w:tc>
        <w:tc>
          <w:tcPr>
            <w:tcW w:w="524" w:type="pct"/>
            <w:shd w:val="clear" w:color="auto" w:fill="auto"/>
            <w:vAlign w:val="bottom"/>
          </w:tcPr>
          <w:p w14:paraId="600C49E0" w14:textId="7D886C0A" w:rsidR="004B2A77" w:rsidRPr="00781112" w:rsidRDefault="00F6415A" w:rsidP="004369B2">
            <w:pPr>
              <w:jc w:val="center"/>
              <w:rPr>
                <w:b/>
                <w:color w:val="000000" w:themeColor="text1"/>
              </w:rPr>
            </w:pPr>
            <w:r w:rsidRPr="00781112">
              <w:rPr>
                <w:b/>
                <w:color w:val="000000" w:themeColor="text1"/>
              </w:rPr>
              <w:t>FFY 2019 Data</w:t>
            </w:r>
          </w:p>
        </w:tc>
        <w:tc>
          <w:tcPr>
            <w:tcW w:w="778" w:type="pct"/>
            <w:shd w:val="clear" w:color="auto" w:fill="auto"/>
            <w:vAlign w:val="bottom"/>
          </w:tcPr>
          <w:p w14:paraId="1B6D5875" w14:textId="75A5C75F" w:rsidR="004B2A77" w:rsidRPr="00781112" w:rsidRDefault="00F6415A" w:rsidP="004369B2">
            <w:pPr>
              <w:jc w:val="center"/>
              <w:rPr>
                <w:b/>
                <w:color w:val="000000" w:themeColor="text1"/>
              </w:rPr>
            </w:pPr>
            <w:r w:rsidRPr="00781112">
              <w:rPr>
                <w:b/>
                <w:color w:val="000000" w:themeColor="text1"/>
              </w:rPr>
              <w:t>FFY 2020 Target</w:t>
            </w:r>
          </w:p>
        </w:tc>
        <w:tc>
          <w:tcPr>
            <w:tcW w:w="473" w:type="pct"/>
            <w:shd w:val="clear" w:color="auto" w:fill="auto"/>
            <w:vAlign w:val="bottom"/>
          </w:tcPr>
          <w:p w14:paraId="33B20FA6" w14:textId="73DE7E92" w:rsidR="004B2A77" w:rsidRPr="00781112" w:rsidRDefault="00F6415A" w:rsidP="004369B2">
            <w:pPr>
              <w:jc w:val="center"/>
              <w:rPr>
                <w:b/>
                <w:color w:val="000000" w:themeColor="text1"/>
              </w:rPr>
            </w:pPr>
            <w:r w:rsidRPr="00781112">
              <w:rPr>
                <w:b/>
                <w:color w:val="000000" w:themeColor="text1"/>
              </w:rPr>
              <w:t>FFY 2020 Data</w:t>
            </w:r>
          </w:p>
        </w:tc>
        <w:tc>
          <w:tcPr>
            <w:tcW w:w="596" w:type="pct"/>
            <w:shd w:val="clear" w:color="auto" w:fill="auto"/>
            <w:vAlign w:val="bottom"/>
          </w:tcPr>
          <w:p w14:paraId="7561FBFF" w14:textId="5BCCF9DB" w:rsidR="004B2A77" w:rsidRPr="00781112" w:rsidRDefault="004B2A77" w:rsidP="004369B2">
            <w:pPr>
              <w:jc w:val="center"/>
              <w:rPr>
                <w:b/>
                <w:color w:val="000000" w:themeColor="text1"/>
              </w:rPr>
            </w:pPr>
            <w:r w:rsidRPr="00781112">
              <w:rPr>
                <w:b/>
                <w:color w:val="000000" w:themeColor="text1"/>
              </w:rPr>
              <w:t>Status</w:t>
            </w:r>
          </w:p>
        </w:tc>
        <w:tc>
          <w:tcPr>
            <w:tcW w:w="577" w:type="pct"/>
            <w:shd w:val="clear" w:color="auto" w:fill="auto"/>
            <w:vAlign w:val="bottom"/>
          </w:tcPr>
          <w:p w14:paraId="0153B20F" w14:textId="69571E1B" w:rsidR="004B2A77" w:rsidRPr="00781112" w:rsidRDefault="004B2A77" w:rsidP="004369B2">
            <w:pPr>
              <w:jc w:val="center"/>
              <w:rPr>
                <w:b/>
                <w:color w:val="000000" w:themeColor="text1"/>
              </w:rPr>
            </w:pPr>
            <w:r w:rsidRPr="00781112">
              <w:rPr>
                <w:b/>
                <w:color w:val="000000" w:themeColor="text1"/>
              </w:rPr>
              <w:t>Slippage</w:t>
            </w:r>
          </w:p>
        </w:tc>
      </w:tr>
      <w:tr w:rsidR="005C29F8" w:rsidRPr="00781112" w14:paraId="57CF8532" w14:textId="02E28ACC" w:rsidTr="002B4D97">
        <w:trPr>
          <w:trHeight w:val="361"/>
          <w:jc w:val="center"/>
        </w:trPr>
        <w:tc>
          <w:tcPr>
            <w:tcW w:w="652" w:type="pct"/>
            <w:shd w:val="clear" w:color="auto" w:fill="auto"/>
            <w:vAlign w:val="center"/>
          </w:tcPr>
          <w:p w14:paraId="172AFDD0" w14:textId="0A73037E" w:rsidR="004B2A77" w:rsidRPr="00781112" w:rsidRDefault="004B2A77" w:rsidP="00A018D4">
            <w:pPr>
              <w:jc w:val="center"/>
              <w:rPr>
                <w:rFonts w:cs="Arial"/>
                <w:color w:val="000000" w:themeColor="text1"/>
                <w:szCs w:val="16"/>
              </w:rPr>
            </w:pPr>
            <w:r w:rsidRPr="00781112">
              <w:rPr>
                <w:rFonts w:cs="Arial"/>
                <w:color w:val="000000" w:themeColor="text1"/>
                <w:szCs w:val="16"/>
              </w:rPr>
              <w:t>30</w:t>
            </w:r>
          </w:p>
        </w:tc>
        <w:tc>
          <w:tcPr>
            <w:tcW w:w="583" w:type="pct"/>
            <w:shd w:val="clear" w:color="auto" w:fill="auto"/>
            <w:vAlign w:val="center"/>
          </w:tcPr>
          <w:p w14:paraId="6757D825" w14:textId="1A92A410"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816" w:type="pct"/>
            <w:shd w:val="clear" w:color="auto" w:fill="auto"/>
          </w:tcPr>
          <w:p w14:paraId="5A5C0509" w14:textId="06ACAFFD" w:rsidR="004B2A77" w:rsidRPr="00781112" w:rsidRDefault="004B2A77" w:rsidP="00A018D4">
            <w:pPr>
              <w:jc w:val="center"/>
              <w:rPr>
                <w:rFonts w:cs="Arial"/>
                <w:color w:val="000000" w:themeColor="text1"/>
                <w:szCs w:val="16"/>
              </w:rPr>
            </w:pPr>
            <w:r w:rsidRPr="00781112">
              <w:rPr>
                <w:rFonts w:cs="Arial"/>
                <w:color w:val="000000" w:themeColor="text1"/>
                <w:szCs w:val="16"/>
              </w:rPr>
              <w:t>169</w:t>
            </w:r>
          </w:p>
        </w:tc>
        <w:tc>
          <w:tcPr>
            <w:tcW w:w="524" w:type="pct"/>
            <w:shd w:val="clear" w:color="auto" w:fill="auto"/>
          </w:tcPr>
          <w:p w14:paraId="5124C23D" w14:textId="44EC7AED"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778" w:type="pct"/>
            <w:shd w:val="clear" w:color="auto" w:fill="auto"/>
          </w:tcPr>
          <w:p w14:paraId="60374E05" w14:textId="3E7E167C" w:rsidR="004B2A77" w:rsidRPr="00781112" w:rsidRDefault="009C65E9" w:rsidP="00A018D4">
            <w:pPr>
              <w:jc w:val="center"/>
              <w:rPr>
                <w:rFonts w:cs="Arial"/>
                <w:color w:val="000000" w:themeColor="text1"/>
                <w:szCs w:val="16"/>
              </w:rPr>
            </w:pPr>
            <w:r w:rsidRPr="00781112">
              <w:rPr>
                <w:rFonts w:cs="Arial"/>
                <w:color w:val="000000" w:themeColor="text1"/>
                <w:szCs w:val="16"/>
              </w:rPr>
              <w:t>0%</w:t>
            </w:r>
          </w:p>
        </w:tc>
        <w:tc>
          <w:tcPr>
            <w:tcW w:w="473" w:type="pct"/>
            <w:shd w:val="clear" w:color="auto" w:fill="auto"/>
          </w:tcPr>
          <w:p w14:paraId="4C77CACE" w14:textId="610C95DA"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596" w:type="pct"/>
            <w:shd w:val="clear" w:color="auto" w:fill="auto"/>
          </w:tcPr>
          <w:p w14:paraId="58A781DA" w14:textId="678D3288" w:rsidR="004B2A77" w:rsidRPr="00781112" w:rsidRDefault="004B2A77" w:rsidP="00A018D4">
            <w:pPr>
              <w:jc w:val="center"/>
              <w:rPr>
                <w:rFonts w:cs="Arial"/>
                <w:color w:val="000000" w:themeColor="text1"/>
                <w:szCs w:val="16"/>
              </w:rPr>
            </w:pPr>
            <w:r w:rsidRPr="00781112">
              <w:rPr>
                <w:rFonts w:cs="Arial"/>
                <w:color w:val="000000" w:themeColor="text1"/>
                <w:szCs w:val="16"/>
              </w:rPr>
              <w:t>N/A</w:t>
            </w:r>
          </w:p>
        </w:tc>
        <w:tc>
          <w:tcPr>
            <w:tcW w:w="577" w:type="pct"/>
            <w:shd w:val="clear" w:color="auto" w:fill="auto"/>
          </w:tcPr>
          <w:p w14:paraId="47F36111" w14:textId="3F2C8DFF" w:rsidR="004B2A77" w:rsidRPr="00781112" w:rsidRDefault="004B2A77" w:rsidP="00A018D4">
            <w:pPr>
              <w:jc w:val="center"/>
              <w:rPr>
                <w:rFonts w:cs="Arial"/>
                <w:color w:val="000000" w:themeColor="text1"/>
                <w:szCs w:val="16"/>
              </w:rPr>
            </w:pPr>
            <w:r w:rsidRPr="00781112">
              <w:rPr>
                <w:rFonts w:cs="Arial"/>
                <w:color w:val="000000" w:themeColor="text1"/>
                <w:szCs w:val="16"/>
              </w:rPr>
              <w:t>N/A</w:t>
            </w:r>
          </w:p>
        </w:tc>
      </w:tr>
    </w:tbl>
    <w:p w14:paraId="220899ED" w14:textId="09CDAC50" w:rsidR="003E7FC1" w:rsidRPr="00781112" w:rsidRDefault="00955FDB" w:rsidP="007D435F">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64B5C6B5" w14:textId="17D64090" w:rsidR="003E7FC1" w:rsidRPr="00781112" w:rsidRDefault="003E7FC1" w:rsidP="007D435F">
      <w:pPr>
        <w:rPr>
          <w:rFonts w:cs="Arial"/>
          <w:color w:val="000000" w:themeColor="text1"/>
          <w:szCs w:val="16"/>
        </w:rPr>
      </w:pPr>
      <w:r w:rsidRPr="00781112">
        <w:rPr>
          <w:rFonts w:cs="Arial"/>
          <w:color w:val="000000" w:themeColor="text1"/>
          <w:szCs w:val="16"/>
        </w:rPr>
        <w:t>YES</w:t>
      </w:r>
    </w:p>
    <w:p w14:paraId="6A959542" w14:textId="25AC6B55" w:rsidR="00030B45" w:rsidRPr="00781112" w:rsidRDefault="000F256B"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6885C863" w14:textId="66F69B19" w:rsidR="009B37A2" w:rsidRPr="00781112" w:rsidRDefault="002B7490" w:rsidP="00CE1CE8">
      <w:pPr>
        <w:rPr>
          <w:rFonts w:cs="Arial"/>
          <w:color w:val="000000" w:themeColor="text1"/>
          <w:szCs w:val="16"/>
        </w:rPr>
      </w:pPr>
      <w:bookmarkStart w:id="48" w:name="_Hlk494459610"/>
      <w:r w:rsidRPr="00781112">
        <w:rPr>
          <w:rFonts w:cs="Arial"/>
          <w:color w:val="000000" w:themeColor="text1"/>
          <w:szCs w:val="16"/>
        </w:rPr>
        <w:t>LDOE has a two-step process for the analysis of disproportionate representation data. LDOE defines disproportionate representation as having a risk ratio greater than 2.0 with a minimum cell size of 25 for over representation based on one year of data. To determine the rate of disproportionate representation, LDOE follows a two-step process.</w:t>
      </w:r>
      <w:r w:rsidRPr="00781112">
        <w:rPr>
          <w:rFonts w:cs="Arial"/>
          <w:color w:val="000000" w:themeColor="text1"/>
          <w:szCs w:val="16"/>
        </w:rPr>
        <w:br/>
      </w:r>
      <w:r w:rsidRPr="00781112">
        <w:rPr>
          <w:rFonts w:cs="Arial"/>
          <w:color w:val="000000" w:themeColor="text1"/>
          <w:szCs w:val="16"/>
        </w:rPr>
        <w:br/>
        <w:t>First, LDOE examines each LEA's child count data to identify disproportionate representation in designated populations of students. For the FFY 2020 APR submission, LDOE used the October 1, 2020 Child Count Report to extract the number of students with disabilities in each race or ethnic category. LDOE then completes a risk ratio analysis for each LEA to identify whether a particular race or ethnicity was at a disproportionately greater risk of being identified for special education and related services, excluding any LEA that did not meet the minimum n-size of 25 in the designated race or ethnic category. Of the 187 LEAs included in the analysis, LDOE identified 30 LEAs with disproportionate representation of racial and ethnic groups in special education and related services.</w:t>
      </w:r>
      <w:r w:rsidRPr="00781112">
        <w:rPr>
          <w:rFonts w:cs="Arial"/>
          <w:color w:val="000000" w:themeColor="text1"/>
          <w:szCs w:val="16"/>
        </w:rPr>
        <w:br/>
      </w:r>
      <w:r w:rsidRPr="00781112">
        <w:rPr>
          <w:rFonts w:cs="Arial"/>
          <w:color w:val="000000" w:themeColor="text1"/>
          <w:szCs w:val="16"/>
        </w:rPr>
        <w:br/>
        <w:t>Second, LDOE conducted outreach to the 30 LEAs to determine whether the disproportionate representation was the result of inappropriate identification through policies, practices, or procedures. These LEAs were required to fill out a Disproportionality Review Rubric- a tool designed to assist the LEAs in identifying practices, policies, and procedures that may lead to inappropriate identification of students for special education and related services. The rubric includes topics such as professional development, teacher support, instructional practices, intervention efforts, and assessment procedures. All 30 LEAs completed the review; none of the LEAs identified instances where disproportionate representation was due to inappropriate identification.</w:t>
      </w:r>
    </w:p>
    <w:bookmarkEnd w:id="48"/>
    <w:p w14:paraId="7574A63E" w14:textId="34AB5613" w:rsidR="000F256B" w:rsidRPr="00781112" w:rsidRDefault="000F256B" w:rsidP="004369B2">
      <w:pPr>
        <w:rPr>
          <w:b/>
          <w:color w:val="000000" w:themeColor="text1"/>
        </w:rPr>
      </w:pPr>
      <w:r w:rsidRPr="00781112">
        <w:rPr>
          <w:b/>
          <w:color w:val="000000" w:themeColor="text1"/>
        </w:rPr>
        <w:t>Describe how the State made its annual determination as to whether the disproportionate representation it identified of racial and ethnic groups in special education and related services was the result of inappropriate identification.</w:t>
      </w:r>
    </w:p>
    <w:p w14:paraId="43771B17" w14:textId="1EE1B86A" w:rsidR="009B37A2" w:rsidRPr="00781112" w:rsidRDefault="002B7490" w:rsidP="003817C0">
      <w:pPr>
        <w:rPr>
          <w:rFonts w:cs="Arial"/>
          <w:color w:val="000000" w:themeColor="text1"/>
          <w:szCs w:val="16"/>
        </w:rPr>
      </w:pPr>
      <w:r w:rsidRPr="00781112">
        <w:rPr>
          <w:rFonts w:cs="Arial"/>
          <w:color w:val="000000" w:themeColor="text1"/>
          <w:szCs w:val="16"/>
        </w:rPr>
        <w:t>LDOE completes a risk ratio analysis, based on one year of data, for each LEA to identify whether a particular race or ethnicity was at a disproportionately greater risk of being identified for special education and related services. LDOE conducts outreach to LEAs found to be disproportionate, requiring LEAs to complete a self-review rubric. The rubric is used to identify any policies, practices, and procedures that result in inappropriate identification. The rubric is then submitted to LDOE for review. If a rubric indicates disproportionate representation because of inappropriate identification, the LEA must revise its policies, practices, and procedures to address this concern.</w:t>
      </w:r>
    </w:p>
    <w:p w14:paraId="3B71A72A" w14:textId="77777777" w:rsidR="00DF1529" w:rsidRPr="00781112" w:rsidRDefault="00DF1529" w:rsidP="00DF1529">
      <w:pPr>
        <w:rPr>
          <w:rFonts w:cs="Arial"/>
          <w:b/>
          <w:color w:val="000000" w:themeColor="text1"/>
          <w:szCs w:val="16"/>
        </w:rPr>
      </w:pPr>
      <w:bookmarkStart w:id="49" w:name="_Toc381956337"/>
      <w:bookmarkStart w:id="50" w:name="_Toc384383347"/>
      <w:bookmarkStart w:id="51" w:name="_Toc392159315"/>
      <w:r w:rsidRPr="00781112">
        <w:rPr>
          <w:rFonts w:cs="Arial"/>
          <w:b/>
          <w:color w:val="000000" w:themeColor="text1"/>
          <w:szCs w:val="16"/>
        </w:rPr>
        <w:t>Provide additional information about this indicator (optional)</w:t>
      </w:r>
    </w:p>
    <w:p w14:paraId="0CC85C5C" w14:textId="196142DC" w:rsidR="009B37A2" w:rsidRPr="00781112" w:rsidRDefault="009B37A2" w:rsidP="007D435F">
      <w:pPr>
        <w:rPr>
          <w:rFonts w:cs="Arial"/>
          <w:color w:val="000000" w:themeColor="text1"/>
          <w:szCs w:val="16"/>
        </w:rPr>
      </w:pPr>
    </w:p>
    <w:p w14:paraId="1FEDA55E" w14:textId="77777777" w:rsidR="00F14FC6" w:rsidRPr="00781112" w:rsidRDefault="00F14FC6" w:rsidP="004369B2">
      <w:pPr>
        <w:rPr>
          <w:color w:val="000000" w:themeColor="text1"/>
        </w:rPr>
      </w:pPr>
    </w:p>
    <w:p w14:paraId="69DF7E10" w14:textId="39AA9901"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09PFFYNCFINDINGS"/>
      </w:tblPr>
      <w:tblGrid>
        <w:gridCol w:w="2650"/>
        <w:gridCol w:w="2780"/>
        <w:gridCol w:w="2656"/>
        <w:gridCol w:w="2704"/>
      </w:tblGrid>
      <w:tr w:rsidR="005C29F8" w:rsidRPr="00781112" w14:paraId="435C2E3A" w14:textId="77777777" w:rsidTr="004671FF">
        <w:trPr>
          <w:trHeight w:val="389"/>
          <w:tblHeader/>
        </w:trPr>
        <w:tc>
          <w:tcPr>
            <w:tcW w:w="1228" w:type="pct"/>
            <w:shd w:val="clear" w:color="auto" w:fill="auto"/>
            <w:vAlign w:val="bottom"/>
          </w:tcPr>
          <w:p w14:paraId="3DF4178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5838AA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10EF2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13FB05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64124D7" w14:textId="77777777" w:rsidTr="004671FF">
        <w:tc>
          <w:tcPr>
            <w:tcW w:w="1228" w:type="pct"/>
            <w:shd w:val="clear" w:color="auto" w:fill="auto"/>
          </w:tcPr>
          <w:p w14:paraId="42664B40" w14:textId="26FCEE8E"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6961AA78" w14:textId="6F435E7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62D59DBA" w14:textId="3A100C9A"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3810C422" w14:textId="3AC4106C"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7600374" w14:textId="77777777" w:rsidR="00F5391D" w:rsidRPr="00781112" w:rsidRDefault="00F5391D" w:rsidP="004369B2">
      <w:pPr>
        <w:rPr>
          <w:color w:val="000000" w:themeColor="text1"/>
        </w:rPr>
      </w:pPr>
    </w:p>
    <w:p w14:paraId="287CA0E8" w14:textId="04E7D32E"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09PPFFYNCFINDINGS"/>
      </w:tblPr>
      <w:tblGrid>
        <w:gridCol w:w="1888"/>
        <w:gridCol w:w="3133"/>
        <w:gridCol w:w="3123"/>
        <w:gridCol w:w="2646"/>
      </w:tblGrid>
      <w:tr w:rsidR="005C29F8" w:rsidRPr="00781112" w14:paraId="45BB80A1" w14:textId="77777777" w:rsidTr="000E4061">
        <w:trPr>
          <w:tblHeader/>
        </w:trPr>
        <w:tc>
          <w:tcPr>
            <w:tcW w:w="875" w:type="pct"/>
            <w:shd w:val="clear" w:color="auto" w:fill="auto"/>
            <w:vAlign w:val="bottom"/>
          </w:tcPr>
          <w:p w14:paraId="5035B654" w14:textId="11C86A5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52" w:type="pct"/>
            <w:shd w:val="clear" w:color="auto" w:fill="auto"/>
            <w:vAlign w:val="bottom"/>
          </w:tcPr>
          <w:p w14:paraId="37A08A62" w14:textId="4C9D4268"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447" w:type="pct"/>
            <w:shd w:val="clear" w:color="auto" w:fill="auto"/>
            <w:vAlign w:val="bottom"/>
          </w:tcPr>
          <w:p w14:paraId="24E9B19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26" w:type="pct"/>
            <w:shd w:val="clear" w:color="auto" w:fill="auto"/>
            <w:vAlign w:val="bottom"/>
          </w:tcPr>
          <w:p w14:paraId="344E951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988805E" w14:textId="77777777" w:rsidTr="000E4061">
        <w:tc>
          <w:tcPr>
            <w:tcW w:w="875" w:type="pct"/>
            <w:shd w:val="clear" w:color="auto" w:fill="auto"/>
          </w:tcPr>
          <w:p w14:paraId="45428D6F" w14:textId="7D4EAEAA" w:rsidR="009A755E" w:rsidRPr="00781112" w:rsidRDefault="009A755E" w:rsidP="00A018D4">
            <w:pPr>
              <w:jc w:val="center"/>
              <w:rPr>
                <w:rFonts w:cs="Arial"/>
                <w:color w:val="000000" w:themeColor="text1"/>
                <w:szCs w:val="16"/>
              </w:rPr>
            </w:pPr>
          </w:p>
        </w:tc>
        <w:tc>
          <w:tcPr>
            <w:tcW w:w="1452" w:type="pct"/>
            <w:shd w:val="clear" w:color="auto" w:fill="auto"/>
          </w:tcPr>
          <w:p w14:paraId="2538B936" w14:textId="1E5EBCEA" w:rsidR="009A755E" w:rsidRPr="00781112" w:rsidRDefault="009A755E">
            <w:pPr>
              <w:jc w:val="center"/>
              <w:rPr>
                <w:rFonts w:cs="Arial"/>
                <w:noProof/>
                <w:color w:val="000000" w:themeColor="text1"/>
                <w:szCs w:val="16"/>
              </w:rPr>
            </w:pPr>
          </w:p>
        </w:tc>
        <w:tc>
          <w:tcPr>
            <w:tcW w:w="1447" w:type="pct"/>
            <w:shd w:val="clear" w:color="auto" w:fill="auto"/>
          </w:tcPr>
          <w:p w14:paraId="0C2616F3" w14:textId="51C19A6F" w:rsidR="009A755E" w:rsidRPr="00781112" w:rsidRDefault="009A755E">
            <w:pPr>
              <w:jc w:val="center"/>
              <w:rPr>
                <w:rFonts w:cs="Arial"/>
                <w:noProof/>
                <w:color w:val="000000" w:themeColor="text1"/>
                <w:szCs w:val="16"/>
              </w:rPr>
            </w:pPr>
          </w:p>
        </w:tc>
        <w:tc>
          <w:tcPr>
            <w:tcW w:w="1226" w:type="pct"/>
            <w:shd w:val="clear" w:color="auto" w:fill="auto"/>
          </w:tcPr>
          <w:p w14:paraId="2C4B22F3" w14:textId="328F69BF" w:rsidR="009A755E" w:rsidRPr="00781112" w:rsidRDefault="009A755E">
            <w:pPr>
              <w:jc w:val="center"/>
              <w:rPr>
                <w:rFonts w:cs="Arial"/>
                <w:noProof/>
                <w:color w:val="000000" w:themeColor="text1"/>
                <w:szCs w:val="16"/>
              </w:rPr>
            </w:pPr>
          </w:p>
        </w:tc>
      </w:tr>
      <w:tr w:rsidR="005C29F8" w:rsidRPr="00781112" w14:paraId="64C29D12" w14:textId="77777777" w:rsidTr="000E4061">
        <w:tc>
          <w:tcPr>
            <w:tcW w:w="875" w:type="pct"/>
            <w:shd w:val="clear" w:color="auto" w:fill="auto"/>
          </w:tcPr>
          <w:p w14:paraId="64B189E9" w14:textId="0AFBAB97" w:rsidR="009A755E" w:rsidRPr="00781112" w:rsidRDefault="009A755E" w:rsidP="00A018D4">
            <w:pPr>
              <w:jc w:val="center"/>
              <w:rPr>
                <w:rFonts w:cs="Arial"/>
                <w:color w:val="000000" w:themeColor="text1"/>
                <w:szCs w:val="16"/>
              </w:rPr>
            </w:pPr>
          </w:p>
        </w:tc>
        <w:tc>
          <w:tcPr>
            <w:tcW w:w="1452" w:type="pct"/>
            <w:shd w:val="clear" w:color="auto" w:fill="auto"/>
          </w:tcPr>
          <w:p w14:paraId="0A04A1D7" w14:textId="686FEC4A" w:rsidR="009A755E" w:rsidRPr="00781112" w:rsidRDefault="009A755E">
            <w:pPr>
              <w:jc w:val="center"/>
              <w:rPr>
                <w:rFonts w:cs="Arial"/>
                <w:noProof/>
                <w:color w:val="000000" w:themeColor="text1"/>
                <w:szCs w:val="16"/>
              </w:rPr>
            </w:pPr>
          </w:p>
        </w:tc>
        <w:tc>
          <w:tcPr>
            <w:tcW w:w="1447" w:type="pct"/>
            <w:shd w:val="clear" w:color="auto" w:fill="auto"/>
          </w:tcPr>
          <w:p w14:paraId="6EC161AF" w14:textId="6E0D3C99" w:rsidR="009A755E" w:rsidRPr="00781112" w:rsidRDefault="009A755E">
            <w:pPr>
              <w:jc w:val="center"/>
              <w:rPr>
                <w:rFonts w:cs="Arial"/>
                <w:noProof/>
                <w:color w:val="000000" w:themeColor="text1"/>
                <w:szCs w:val="16"/>
              </w:rPr>
            </w:pPr>
          </w:p>
        </w:tc>
        <w:tc>
          <w:tcPr>
            <w:tcW w:w="1226" w:type="pct"/>
            <w:shd w:val="clear" w:color="auto" w:fill="auto"/>
          </w:tcPr>
          <w:p w14:paraId="0BCD79B4" w14:textId="02E3B9EE" w:rsidR="009A755E" w:rsidRPr="00781112" w:rsidRDefault="009A755E">
            <w:pPr>
              <w:jc w:val="center"/>
              <w:rPr>
                <w:rFonts w:cs="Arial"/>
                <w:noProof/>
                <w:color w:val="000000" w:themeColor="text1"/>
                <w:szCs w:val="16"/>
              </w:rPr>
            </w:pPr>
          </w:p>
        </w:tc>
      </w:tr>
      <w:tr w:rsidR="005C29F8" w:rsidRPr="00781112" w14:paraId="5DBE1D84" w14:textId="77777777" w:rsidTr="000E4061">
        <w:tc>
          <w:tcPr>
            <w:tcW w:w="875" w:type="pct"/>
            <w:shd w:val="clear" w:color="auto" w:fill="auto"/>
          </w:tcPr>
          <w:p w14:paraId="19109B9A" w14:textId="16CEFD65" w:rsidR="009A755E" w:rsidRPr="00781112" w:rsidRDefault="009A755E" w:rsidP="00A018D4">
            <w:pPr>
              <w:jc w:val="center"/>
              <w:rPr>
                <w:rFonts w:cs="Arial"/>
                <w:color w:val="000000" w:themeColor="text1"/>
                <w:szCs w:val="16"/>
              </w:rPr>
            </w:pPr>
          </w:p>
        </w:tc>
        <w:tc>
          <w:tcPr>
            <w:tcW w:w="1452" w:type="pct"/>
            <w:shd w:val="clear" w:color="auto" w:fill="auto"/>
          </w:tcPr>
          <w:p w14:paraId="2D2E112D" w14:textId="794C18F8" w:rsidR="009A755E" w:rsidRPr="00781112" w:rsidRDefault="009A755E">
            <w:pPr>
              <w:jc w:val="center"/>
              <w:rPr>
                <w:rFonts w:cs="Arial"/>
                <w:noProof/>
                <w:color w:val="000000" w:themeColor="text1"/>
                <w:szCs w:val="16"/>
              </w:rPr>
            </w:pPr>
          </w:p>
        </w:tc>
        <w:tc>
          <w:tcPr>
            <w:tcW w:w="1447" w:type="pct"/>
            <w:shd w:val="clear" w:color="auto" w:fill="auto"/>
          </w:tcPr>
          <w:p w14:paraId="5B55C7F5" w14:textId="3406276E" w:rsidR="009A755E" w:rsidRPr="00781112" w:rsidRDefault="009A755E">
            <w:pPr>
              <w:jc w:val="center"/>
              <w:rPr>
                <w:rFonts w:cs="Arial"/>
                <w:noProof/>
                <w:color w:val="000000" w:themeColor="text1"/>
                <w:szCs w:val="16"/>
              </w:rPr>
            </w:pPr>
          </w:p>
        </w:tc>
        <w:tc>
          <w:tcPr>
            <w:tcW w:w="1226" w:type="pct"/>
            <w:shd w:val="clear" w:color="auto" w:fill="auto"/>
          </w:tcPr>
          <w:p w14:paraId="04E4EF54" w14:textId="064E0A7A" w:rsidR="009A755E" w:rsidRPr="00781112" w:rsidRDefault="009A755E">
            <w:pPr>
              <w:jc w:val="center"/>
              <w:rPr>
                <w:rFonts w:cs="Arial"/>
                <w:noProof/>
                <w:color w:val="000000" w:themeColor="text1"/>
                <w:szCs w:val="16"/>
              </w:rPr>
            </w:pPr>
          </w:p>
        </w:tc>
      </w:tr>
    </w:tbl>
    <w:p w14:paraId="7A74DCD8" w14:textId="61B7BAF7" w:rsidR="004E2151" w:rsidRPr="00781112" w:rsidRDefault="00400C56" w:rsidP="008645AD">
      <w:pPr>
        <w:pStyle w:val="Heading2"/>
      </w:pPr>
      <w:r w:rsidRPr="00781112">
        <w:t>9</w:t>
      </w:r>
      <w:r w:rsidR="00844ADE" w:rsidRPr="00781112">
        <w:t xml:space="preserve"> </w:t>
      </w:r>
      <w:r w:rsidRPr="00781112">
        <w:t xml:space="preserve">- </w:t>
      </w:r>
      <w:r w:rsidR="004E2151" w:rsidRPr="00781112">
        <w:t>Prior FFY Required Actions</w:t>
      </w:r>
    </w:p>
    <w:p w14:paraId="704944D3" w14:textId="21E697E2" w:rsidR="004E2151" w:rsidRPr="00781112" w:rsidRDefault="002B7490" w:rsidP="004E2151">
      <w:pPr>
        <w:rPr>
          <w:rFonts w:cs="Arial"/>
          <w:color w:val="000000" w:themeColor="text1"/>
          <w:szCs w:val="16"/>
        </w:rPr>
      </w:pPr>
      <w:r w:rsidRPr="00781112">
        <w:rPr>
          <w:rFonts w:cs="Arial"/>
          <w:color w:val="000000" w:themeColor="text1"/>
          <w:szCs w:val="16"/>
        </w:rPr>
        <w:t>None</w:t>
      </w:r>
    </w:p>
    <w:p w14:paraId="7A2A42E5" w14:textId="77777777" w:rsidR="00591597" w:rsidRPr="00781112" w:rsidRDefault="00591597" w:rsidP="004E2151">
      <w:pPr>
        <w:rPr>
          <w:rFonts w:cs="Arial"/>
          <w:color w:val="000000" w:themeColor="text1"/>
          <w:szCs w:val="16"/>
        </w:rPr>
      </w:pPr>
    </w:p>
    <w:p w14:paraId="1139CB4A" w14:textId="77777777" w:rsidR="00591597" w:rsidRPr="00781112" w:rsidRDefault="00591597" w:rsidP="004E2151">
      <w:pPr>
        <w:rPr>
          <w:rFonts w:cs="Arial"/>
          <w:color w:val="000000" w:themeColor="text1"/>
          <w:szCs w:val="16"/>
        </w:rPr>
      </w:pPr>
    </w:p>
    <w:p w14:paraId="6FDBF7F5" w14:textId="608C7842" w:rsidR="007F5071" w:rsidRPr="00781112" w:rsidRDefault="00400C56" w:rsidP="008645AD">
      <w:pPr>
        <w:pStyle w:val="Heading2"/>
      </w:pPr>
      <w:r w:rsidRPr="00781112">
        <w:t>9 - OSEP Response</w:t>
      </w:r>
    </w:p>
    <w:p w14:paraId="77DED45E" w14:textId="3920B295" w:rsidR="00481536" w:rsidRPr="00781112" w:rsidRDefault="002B7490" w:rsidP="00212954">
      <w:pPr>
        <w:rPr>
          <w:rFonts w:cs="Arial"/>
          <w:color w:val="000000" w:themeColor="text1"/>
          <w:szCs w:val="16"/>
        </w:rPr>
      </w:pPr>
      <w:r w:rsidRPr="00781112">
        <w:rPr>
          <w:rFonts w:cs="Arial"/>
          <w:color w:val="000000" w:themeColor="text1"/>
          <w:szCs w:val="16"/>
        </w:rPr>
        <w:t>The State has revised the baseline for this indicator, using data from FFY 2020, and OSEP accepts that revision.</w:t>
      </w:r>
    </w:p>
    <w:p w14:paraId="3F79B021" w14:textId="16E0C852" w:rsidR="007F5071" w:rsidRPr="00781112" w:rsidRDefault="00977D0D" w:rsidP="008645AD">
      <w:pPr>
        <w:pStyle w:val="Heading2"/>
      </w:pPr>
      <w:r w:rsidRPr="00781112">
        <w:t>9 - Required Actions</w:t>
      </w:r>
    </w:p>
    <w:p w14:paraId="0B404586" w14:textId="0A97D85C" w:rsidR="00481536" w:rsidRPr="00781112" w:rsidRDefault="00481536" w:rsidP="00212954">
      <w:pPr>
        <w:rPr>
          <w:rFonts w:cs="Arial"/>
          <w:color w:val="000000" w:themeColor="text1"/>
          <w:szCs w:val="16"/>
        </w:rPr>
      </w:pPr>
    </w:p>
    <w:p w14:paraId="20A15EBC"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D8087B6" w14:textId="0C652DF9" w:rsidR="00D03701" w:rsidRPr="00781112" w:rsidRDefault="00D03701" w:rsidP="000444E2">
      <w:pPr>
        <w:pStyle w:val="Heading1"/>
        <w:rPr>
          <w:color w:val="000000" w:themeColor="text1"/>
          <w:sz w:val="22"/>
        </w:rPr>
      </w:pPr>
      <w:r w:rsidRPr="00781112">
        <w:rPr>
          <w:color w:val="000000" w:themeColor="text1"/>
          <w:sz w:val="22"/>
        </w:rPr>
        <w:lastRenderedPageBreak/>
        <w:t>Indicator 10: Disproportionate Representation in Specific Disability Categories</w:t>
      </w:r>
      <w:bookmarkEnd w:id="49"/>
      <w:bookmarkEnd w:id="50"/>
      <w:bookmarkEnd w:id="51"/>
      <w:r w:rsidRPr="00781112">
        <w:rPr>
          <w:color w:val="000000" w:themeColor="text1"/>
          <w:sz w:val="22"/>
        </w:rPr>
        <w:t xml:space="preserve"> </w:t>
      </w:r>
    </w:p>
    <w:p w14:paraId="139B488B" w14:textId="77777777" w:rsidR="00B70FBF" w:rsidRPr="00781112" w:rsidRDefault="00B70FBF" w:rsidP="00A018D4">
      <w:pPr>
        <w:rPr>
          <w:color w:val="000000" w:themeColor="text1"/>
          <w:szCs w:val="20"/>
        </w:rPr>
      </w:pPr>
      <w:bookmarkStart w:id="52" w:name="_Toc384383348"/>
      <w:bookmarkStart w:id="53" w:name="_Toc392159316"/>
      <w:r w:rsidRPr="00781112">
        <w:rPr>
          <w:b/>
          <w:color w:val="000000" w:themeColor="text1"/>
          <w:sz w:val="20"/>
          <w:szCs w:val="20"/>
        </w:rPr>
        <w:t>Instructions and Measurement</w:t>
      </w:r>
    </w:p>
    <w:p w14:paraId="26E33C31" w14:textId="3616C8E9" w:rsidR="00CC634E" w:rsidRPr="00781112" w:rsidRDefault="00CC634E" w:rsidP="005A3C12">
      <w:pPr>
        <w:rPr>
          <w:rFonts w:cs="Arial"/>
          <w:b/>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xml:space="preserve"> Disproportionality</w:t>
      </w:r>
    </w:p>
    <w:p w14:paraId="2D2ACC66" w14:textId="77777777" w:rsidR="001D677D" w:rsidRPr="00781112" w:rsidRDefault="00CC634E" w:rsidP="005A3C12">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Percent of districts with disproportionate representation of racial and ethnic groups in specific disability categories that is the result of inappropriate identification.</w:t>
      </w:r>
    </w:p>
    <w:p w14:paraId="7688ECEE" w14:textId="1C1D5AA2" w:rsidR="00CC634E" w:rsidRPr="00781112" w:rsidRDefault="00CC634E" w:rsidP="005A3C12">
      <w:pPr>
        <w:rPr>
          <w:rFonts w:cs="Arial"/>
          <w:color w:val="000000" w:themeColor="text1"/>
          <w:szCs w:val="16"/>
        </w:rPr>
      </w:pPr>
      <w:r w:rsidRPr="00781112">
        <w:rPr>
          <w:rFonts w:cs="Arial"/>
          <w:color w:val="000000" w:themeColor="text1"/>
          <w:szCs w:val="16"/>
        </w:rPr>
        <w:t xml:space="preserve"> (20 U.S.C. 1416(a)(3)(C))</w:t>
      </w:r>
    </w:p>
    <w:p w14:paraId="37F13F1F" w14:textId="77777777" w:rsidR="001D677D" w:rsidRPr="00781112" w:rsidRDefault="001D677D" w:rsidP="004369B2">
      <w:pPr>
        <w:rPr>
          <w:color w:val="000000" w:themeColor="text1"/>
        </w:rPr>
      </w:pPr>
      <w:r w:rsidRPr="00781112">
        <w:rPr>
          <w:b/>
          <w:color w:val="000000" w:themeColor="text1"/>
        </w:rPr>
        <w:t>Data Source</w:t>
      </w:r>
    </w:p>
    <w:p w14:paraId="3D0F53DD" w14:textId="1C69F23D" w:rsidR="001D677D" w:rsidRPr="00781112" w:rsidRDefault="007A3964"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specific disability categories was the result of inappropriate identification.</w:t>
      </w:r>
    </w:p>
    <w:p w14:paraId="101129B1" w14:textId="77777777" w:rsidR="001D677D" w:rsidRPr="00781112" w:rsidRDefault="001D677D" w:rsidP="004369B2">
      <w:pPr>
        <w:rPr>
          <w:color w:val="000000" w:themeColor="text1"/>
        </w:rPr>
      </w:pPr>
      <w:r w:rsidRPr="00781112">
        <w:rPr>
          <w:b/>
          <w:color w:val="000000" w:themeColor="text1"/>
        </w:rPr>
        <w:t>Measurement</w:t>
      </w:r>
    </w:p>
    <w:p w14:paraId="564157FF" w14:textId="77777777" w:rsidR="007A3964" w:rsidRPr="00781112" w:rsidRDefault="007A3964" w:rsidP="007A3964">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specific disability categories that is the result of inappropriate identification) divided by the (# of districts in the State that meet the State-established n and/or cell size (if applicable) for one or more racial/ethnic groups)] times 100.</w:t>
      </w:r>
    </w:p>
    <w:p w14:paraId="23D9C135" w14:textId="77777777" w:rsidR="007A3964" w:rsidRPr="00781112" w:rsidRDefault="007A3964" w:rsidP="007A3964">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7F3C03F6" w14:textId="18CF256D" w:rsidR="001D677D" w:rsidRPr="00781112" w:rsidRDefault="007A3964" w:rsidP="007A3964">
      <w:pPr>
        <w:rPr>
          <w:rFonts w:cs="Arial"/>
          <w:color w:val="000000" w:themeColor="text1"/>
          <w:szCs w:val="16"/>
        </w:rPr>
      </w:pPr>
      <w:r w:rsidRPr="00781112">
        <w:rPr>
          <w:rFonts w:cs="Arial"/>
          <w:color w:val="000000" w:themeColor="text1"/>
          <w:szCs w:val="16"/>
        </w:rPr>
        <w:t xml:space="preserve">Based on its review of the 618 data for FFY 2020, describe how the State made its annual determination as to whether the disproportionate representation it identified of racial and ethnic groups in specific disability categories was the result of inappropriate identification as required by 34 CFR §§300.600(d)(3) and 300.602(a), e.g., using monitoring data; reviewing policies, practices and procedures, etc.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w:t>
      </w:r>
      <w:r w:rsidR="00C77D8E" w:rsidRPr="00781112">
        <w:rPr>
          <w:rFonts w:cs="Arial"/>
          <w:szCs w:val="16"/>
        </w:rPr>
        <w:t xml:space="preserve">specific disability categories </w:t>
      </w:r>
      <w:r w:rsidRPr="00781112">
        <w:rPr>
          <w:rFonts w:cs="Arial"/>
          <w:color w:val="000000" w:themeColor="text1"/>
          <w:szCs w:val="16"/>
        </w:rPr>
        <w:t>is the result of inappropriate identification, even if the determination of inappropriate identification was made after the end of the FFY 2020 reporting period (i.e., after June 30, 2021).</w:t>
      </w:r>
    </w:p>
    <w:p w14:paraId="3C70F698" w14:textId="77777777" w:rsidR="001D677D" w:rsidRPr="00781112" w:rsidRDefault="001D677D" w:rsidP="004369B2">
      <w:pPr>
        <w:rPr>
          <w:color w:val="000000" w:themeColor="text1"/>
        </w:rPr>
      </w:pPr>
      <w:r w:rsidRPr="00781112">
        <w:rPr>
          <w:b/>
          <w:color w:val="000000" w:themeColor="text1"/>
        </w:rPr>
        <w:t>Instructions</w:t>
      </w:r>
    </w:p>
    <w:p w14:paraId="54B0F35E" w14:textId="0E1ED80A" w:rsidR="001D677D" w:rsidRPr="00781112" w:rsidRDefault="001D677D"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rovide racial/ethnic disproportionality data for all children</w:t>
      </w:r>
      <w:r w:rsidR="00522BEA" w:rsidRPr="00522BEA">
        <w:t xml:space="preserve"> </w:t>
      </w:r>
      <w:r w:rsidR="00522BEA" w:rsidRPr="00522BEA">
        <w:rPr>
          <w:rFonts w:cs="Arial"/>
          <w:color w:val="000000" w:themeColor="text1"/>
          <w:szCs w:val="16"/>
        </w:rPr>
        <w:t>aged 5 who are enrolled in kindergarten and</w:t>
      </w:r>
      <w:r w:rsidRPr="00781112">
        <w:rPr>
          <w:rFonts w:cs="Arial"/>
          <w:color w:val="000000" w:themeColor="text1"/>
          <w:szCs w:val="16"/>
        </w:rPr>
        <w:t xml:space="preserve"> aged 6 through 21 served under IDEA.</w:t>
      </w:r>
      <w:r w:rsidR="006E0CC6" w:rsidRPr="00781112">
        <w:rPr>
          <w:rFonts w:cs="Arial"/>
          <w:color w:val="000000" w:themeColor="text1"/>
          <w:szCs w:val="16"/>
        </w:rPr>
        <w:t xml:space="preserve"> </w:t>
      </w:r>
      <w:r w:rsidR="006E0CC6" w:rsidRPr="00781112">
        <w:rPr>
          <w:rFonts w:cs="Arial"/>
          <w:szCs w:val="16"/>
        </w:rPr>
        <w:t>Provide these data at a minimum for children in the following six disability categories: intellectual disability, specific learning disabilities, emotional disturbance, speech or language impairments, other health impairments, and autism. If a State has identified disproportionate representation of racial and ethnic groups in specific disability categories other than these six disability categories, the State must include these data and report on whether the State determined that the disproportionate representation of racial and ethnic groups in specific disability categories was the result of inappropriate identification</w:t>
      </w:r>
      <w:r w:rsidR="009F2D7B" w:rsidRPr="00781112">
        <w:rPr>
          <w:rFonts w:cs="Arial"/>
          <w:szCs w:val="16"/>
        </w:rPr>
        <w:t>.</w:t>
      </w:r>
    </w:p>
    <w:p w14:paraId="2375484C" w14:textId="77777777" w:rsidR="001D677D" w:rsidRPr="00781112" w:rsidRDefault="001D677D" w:rsidP="00286BDF">
      <w:pPr>
        <w:rPr>
          <w:rFonts w:cs="Arial"/>
          <w:color w:val="000000" w:themeColor="text1"/>
          <w:szCs w:val="16"/>
        </w:rPr>
      </w:pPr>
      <w:r w:rsidRPr="00781112">
        <w:rPr>
          <w:rFonts w:cs="Arial"/>
          <w:color w:val="000000" w:themeColor="text1"/>
          <w:szCs w:val="16"/>
        </w:rPr>
        <w:t>States are not required to report on underrepresentation.</w:t>
      </w:r>
    </w:p>
    <w:p w14:paraId="65635BB5" w14:textId="77777777" w:rsidR="001D677D" w:rsidRPr="00781112" w:rsidRDefault="001D677D"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2FC20F43" w14:textId="77777777" w:rsidR="001D677D" w:rsidRPr="00781112" w:rsidRDefault="001D677D"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42D05561" w14:textId="057A6DF7" w:rsidR="001D677D" w:rsidRPr="00781112" w:rsidRDefault="001D677D" w:rsidP="00286BDF">
      <w:pPr>
        <w:rPr>
          <w:rFonts w:cs="Arial"/>
          <w:color w:val="000000" w:themeColor="text1"/>
          <w:szCs w:val="16"/>
        </w:rPr>
      </w:pPr>
      <w:r w:rsidRPr="00781112">
        <w:rPr>
          <w:rFonts w:cs="Arial"/>
          <w:color w:val="000000" w:themeColor="text1"/>
          <w:szCs w:val="16"/>
        </w:rPr>
        <w:t xml:space="preserve">Provide the number of districts that met the State-established n and/or cell size (if applicable) for one or more racial/ethnic groups identified with disproportionate representation of racial and ethnic groups in </w:t>
      </w:r>
      <w:r w:rsidR="00175656" w:rsidRPr="00781112">
        <w:rPr>
          <w:rFonts w:cs="Arial"/>
          <w:szCs w:val="16"/>
        </w:rPr>
        <w:t>specific disability categories</w:t>
      </w:r>
      <w:r w:rsidRPr="00781112">
        <w:rPr>
          <w:rFonts w:cs="Arial"/>
          <w:color w:val="000000" w:themeColor="text1"/>
          <w:szCs w:val="16"/>
        </w:rPr>
        <w:t xml:space="preserve"> and the number of those districts identified with disproportionate representation that is the result of inappropriate identification.</w:t>
      </w:r>
    </w:p>
    <w:p w14:paraId="4D68547C" w14:textId="77777777" w:rsidR="001D677D" w:rsidRPr="00781112" w:rsidRDefault="001D677D" w:rsidP="00286BDF">
      <w:pPr>
        <w:rPr>
          <w:rFonts w:cs="Arial"/>
          <w:color w:val="000000" w:themeColor="text1"/>
          <w:szCs w:val="16"/>
        </w:rPr>
      </w:pPr>
      <w:r w:rsidRPr="00781112">
        <w:rPr>
          <w:rFonts w:cs="Arial"/>
          <w:color w:val="000000" w:themeColor="text1"/>
          <w:szCs w:val="16"/>
        </w:rPr>
        <w:t>Targets must be 0%.</w:t>
      </w:r>
    </w:p>
    <w:p w14:paraId="7F575E8E" w14:textId="77777777" w:rsidR="001D677D" w:rsidRPr="00781112" w:rsidRDefault="001D677D"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367E089E" w14:textId="2AF17A94" w:rsidR="001D677D"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307820E6" w14:textId="2418F86F" w:rsidR="00B70FBF" w:rsidRPr="00781112" w:rsidRDefault="009F64D5" w:rsidP="008645AD">
      <w:pPr>
        <w:pStyle w:val="Heading2"/>
      </w:pPr>
      <w:bookmarkStart w:id="54" w:name="_Toc384383349"/>
      <w:bookmarkStart w:id="55" w:name="_Toc392159317"/>
      <w:bookmarkEnd w:id="52"/>
      <w:bookmarkEnd w:id="53"/>
      <w:r w:rsidRPr="00781112">
        <w:t>10</w:t>
      </w:r>
      <w:r w:rsidR="00596F4D" w:rsidRPr="00781112">
        <w:t xml:space="preserve"> </w:t>
      </w:r>
      <w:r w:rsidRPr="00781112">
        <w:t xml:space="preserve">- </w:t>
      </w:r>
      <w:r w:rsidR="00D853AE" w:rsidRPr="00781112">
        <w:t>Indicator Data</w:t>
      </w:r>
    </w:p>
    <w:p w14:paraId="198C31F1" w14:textId="77777777" w:rsidR="0091098C" w:rsidRPr="00781112" w:rsidRDefault="0091098C" w:rsidP="004369B2">
      <w:pPr>
        <w:rPr>
          <w:color w:val="000000" w:themeColor="text1"/>
        </w:rPr>
      </w:pPr>
      <w:r w:rsidRPr="00781112">
        <w:rPr>
          <w:b/>
          <w:color w:val="000000" w:themeColor="text1"/>
        </w:rPr>
        <w:t>Not Applicable</w:t>
      </w:r>
    </w:p>
    <w:p w14:paraId="769429F9" w14:textId="2143DCD6" w:rsidR="00C2395D" w:rsidRPr="00781112" w:rsidRDefault="001B07D3">
      <w:pPr>
        <w:rPr>
          <w:b/>
          <w:color w:val="000000" w:themeColor="text1"/>
        </w:rPr>
      </w:pPr>
      <w:r w:rsidRPr="00781112">
        <w:rPr>
          <w:b/>
          <w:color w:val="000000" w:themeColor="text1"/>
        </w:rPr>
        <w:t>Select yes if this indicator is not applicable.</w:t>
      </w:r>
    </w:p>
    <w:p w14:paraId="5BEDAC27" w14:textId="63B8B677" w:rsidR="00043AC9" w:rsidRPr="00781112" w:rsidRDefault="00043AC9" w:rsidP="004369B2">
      <w:pPr>
        <w:rPr>
          <w:rFonts w:cs="Arial"/>
          <w:color w:val="000000" w:themeColor="text1"/>
          <w:szCs w:val="16"/>
        </w:rPr>
      </w:pPr>
      <w:r w:rsidRPr="00781112">
        <w:rPr>
          <w:rFonts w:cs="Arial"/>
          <w:color w:val="000000" w:themeColor="text1"/>
          <w:szCs w:val="16"/>
        </w:rPr>
        <w:t>NO</w:t>
      </w:r>
    </w:p>
    <w:p w14:paraId="74ABC795" w14:textId="77777777" w:rsidR="00C50290" w:rsidRPr="00781112" w:rsidRDefault="00C50290" w:rsidP="004369B2">
      <w:pPr>
        <w:rPr>
          <w:color w:val="000000" w:themeColor="text1"/>
        </w:rPr>
      </w:pPr>
    </w:p>
    <w:p w14:paraId="07402C56" w14:textId="1ED19344" w:rsidR="005A3C12" w:rsidRPr="00781112" w:rsidRDefault="005A3C12"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0BASELINEDATA"/>
      </w:tblPr>
      <w:tblGrid>
        <w:gridCol w:w="1797"/>
        <w:gridCol w:w="1798"/>
      </w:tblGrid>
      <w:tr w:rsidR="00D533A5" w:rsidRPr="00781112" w14:paraId="7C3AA767" w14:textId="77777777" w:rsidTr="00123D76">
        <w:trPr>
          <w:trHeight w:val="311"/>
          <w:tblHeader/>
        </w:trPr>
        <w:tc>
          <w:tcPr>
            <w:tcW w:w="1797" w:type="dxa"/>
          </w:tcPr>
          <w:p w14:paraId="1A4E37E9" w14:textId="77777777" w:rsidR="00D533A5" w:rsidRPr="00781112" w:rsidRDefault="00D533A5" w:rsidP="00123D76">
            <w:pPr>
              <w:jc w:val="center"/>
              <w:rPr>
                <w:b/>
                <w:color w:val="000000" w:themeColor="text1"/>
              </w:rPr>
            </w:pPr>
            <w:r w:rsidRPr="00781112">
              <w:rPr>
                <w:rFonts w:cs="Arial"/>
                <w:b/>
                <w:color w:val="000000" w:themeColor="text1"/>
                <w:szCs w:val="16"/>
              </w:rPr>
              <w:t>Baseline Year</w:t>
            </w:r>
          </w:p>
        </w:tc>
        <w:tc>
          <w:tcPr>
            <w:tcW w:w="1798" w:type="dxa"/>
          </w:tcPr>
          <w:p w14:paraId="45C39BBE" w14:textId="77777777" w:rsidR="00D533A5" w:rsidRPr="00781112" w:rsidRDefault="00D533A5" w:rsidP="00123D76">
            <w:pPr>
              <w:jc w:val="center"/>
              <w:rPr>
                <w:b/>
                <w:color w:val="000000" w:themeColor="text1"/>
              </w:rPr>
            </w:pPr>
            <w:r w:rsidRPr="00781112">
              <w:rPr>
                <w:b/>
                <w:color w:val="000000" w:themeColor="text1"/>
              </w:rPr>
              <w:t>Baseline Data</w:t>
            </w:r>
          </w:p>
        </w:tc>
      </w:tr>
      <w:tr w:rsidR="00D533A5" w:rsidRPr="00781112" w14:paraId="4AFD3BFF" w14:textId="77777777" w:rsidTr="00123D76">
        <w:trPr>
          <w:trHeight w:val="311"/>
        </w:trPr>
        <w:tc>
          <w:tcPr>
            <w:tcW w:w="1797" w:type="dxa"/>
            <w:vAlign w:val="center"/>
          </w:tcPr>
          <w:p w14:paraId="71352362" w14:textId="3C2D4289" w:rsidR="00D533A5" w:rsidRPr="00781112" w:rsidRDefault="00D533A5" w:rsidP="00123D76">
            <w:pPr>
              <w:jc w:val="center"/>
              <w:rPr>
                <w:bCs/>
                <w:color w:val="000000" w:themeColor="text1"/>
              </w:rPr>
            </w:pPr>
            <w:r w:rsidRPr="00781112">
              <w:rPr>
                <w:bCs/>
                <w:color w:val="000000" w:themeColor="text1"/>
              </w:rPr>
              <w:t>2020</w:t>
            </w:r>
          </w:p>
        </w:tc>
        <w:tc>
          <w:tcPr>
            <w:tcW w:w="1798" w:type="dxa"/>
            <w:vAlign w:val="center"/>
          </w:tcPr>
          <w:p w14:paraId="1E9B684E" w14:textId="004A2B05" w:rsidR="00D533A5" w:rsidRPr="00781112" w:rsidRDefault="00D533A5" w:rsidP="00123D76">
            <w:pPr>
              <w:jc w:val="center"/>
              <w:rPr>
                <w:bCs/>
                <w:color w:val="000000" w:themeColor="text1"/>
              </w:rPr>
            </w:pPr>
            <w:r w:rsidRPr="00781112">
              <w:rPr>
                <w:bCs/>
                <w:color w:val="000000" w:themeColor="text1"/>
              </w:rPr>
              <w:t>0.00%</w:t>
            </w:r>
          </w:p>
        </w:tc>
      </w:tr>
    </w:tbl>
    <w:p w14:paraId="690B4CC0" w14:textId="77777777" w:rsidR="00D533A5" w:rsidRPr="00781112" w:rsidRDefault="00D533A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HISTDATA"/>
      </w:tblPr>
      <w:tblGrid>
        <w:gridCol w:w="1798"/>
        <w:gridCol w:w="1798"/>
        <w:gridCol w:w="1798"/>
        <w:gridCol w:w="1798"/>
        <w:gridCol w:w="1798"/>
        <w:gridCol w:w="1800"/>
      </w:tblGrid>
      <w:tr w:rsidR="005C29F8" w:rsidRPr="00781112" w14:paraId="489E6808" w14:textId="77777777" w:rsidTr="002B4D97">
        <w:trPr>
          <w:trHeight w:val="350"/>
        </w:trPr>
        <w:tc>
          <w:tcPr>
            <w:tcW w:w="833" w:type="pct"/>
            <w:tcBorders>
              <w:bottom w:val="single" w:sz="4" w:space="0" w:color="auto"/>
            </w:tcBorders>
            <w:shd w:val="clear" w:color="auto" w:fill="auto"/>
          </w:tcPr>
          <w:p w14:paraId="0171756F" w14:textId="77777777" w:rsidR="005A3C12" w:rsidRPr="00781112" w:rsidRDefault="005A3C12" w:rsidP="004369B2">
            <w:pPr>
              <w:jc w:val="center"/>
              <w:rPr>
                <w:b/>
                <w:color w:val="000000" w:themeColor="text1"/>
              </w:rPr>
            </w:pPr>
            <w:r w:rsidRPr="00781112">
              <w:rPr>
                <w:b/>
                <w:color w:val="000000" w:themeColor="text1"/>
              </w:rPr>
              <w:t>FFY</w:t>
            </w:r>
          </w:p>
        </w:tc>
        <w:tc>
          <w:tcPr>
            <w:tcW w:w="833" w:type="pct"/>
            <w:shd w:val="clear" w:color="auto" w:fill="auto"/>
          </w:tcPr>
          <w:p w14:paraId="78B2C5F0" w14:textId="44C4ABDF" w:rsidR="005A3C12" w:rsidRPr="00781112" w:rsidRDefault="002B7490" w:rsidP="0077257F">
            <w:pPr>
              <w:jc w:val="center"/>
              <w:rPr>
                <w:b/>
                <w:color w:val="000000" w:themeColor="text1"/>
              </w:rPr>
            </w:pPr>
            <w:r w:rsidRPr="00781112">
              <w:rPr>
                <w:b/>
                <w:color w:val="000000" w:themeColor="text1"/>
              </w:rPr>
              <w:t>2015</w:t>
            </w:r>
          </w:p>
        </w:tc>
        <w:tc>
          <w:tcPr>
            <w:tcW w:w="833" w:type="pct"/>
            <w:shd w:val="clear" w:color="auto" w:fill="auto"/>
          </w:tcPr>
          <w:p w14:paraId="7D60853E" w14:textId="148AFB2D" w:rsidR="005A3C12" w:rsidRPr="00781112" w:rsidRDefault="002B7490" w:rsidP="0077257F">
            <w:pPr>
              <w:jc w:val="center"/>
              <w:rPr>
                <w:b/>
                <w:color w:val="000000" w:themeColor="text1"/>
              </w:rPr>
            </w:pPr>
            <w:r w:rsidRPr="00781112">
              <w:rPr>
                <w:b/>
                <w:color w:val="000000" w:themeColor="text1"/>
              </w:rPr>
              <w:t>2016</w:t>
            </w:r>
          </w:p>
        </w:tc>
        <w:tc>
          <w:tcPr>
            <w:tcW w:w="833" w:type="pct"/>
            <w:shd w:val="clear" w:color="auto" w:fill="auto"/>
          </w:tcPr>
          <w:p w14:paraId="7AE4870B" w14:textId="1CBB7B36" w:rsidR="005A3C12" w:rsidRPr="00781112" w:rsidRDefault="002B7490" w:rsidP="0077257F">
            <w:pPr>
              <w:jc w:val="center"/>
              <w:rPr>
                <w:b/>
                <w:color w:val="000000" w:themeColor="text1"/>
              </w:rPr>
            </w:pPr>
            <w:r w:rsidRPr="00781112">
              <w:rPr>
                <w:b/>
                <w:color w:val="000000" w:themeColor="text1"/>
              </w:rPr>
              <w:t>2017</w:t>
            </w:r>
          </w:p>
        </w:tc>
        <w:tc>
          <w:tcPr>
            <w:tcW w:w="833" w:type="pct"/>
            <w:shd w:val="clear" w:color="auto" w:fill="auto"/>
          </w:tcPr>
          <w:p w14:paraId="2C1DA403" w14:textId="484DDCF7" w:rsidR="005A3C12" w:rsidRPr="00781112" w:rsidRDefault="002B7490" w:rsidP="0077257F">
            <w:pPr>
              <w:jc w:val="center"/>
              <w:rPr>
                <w:b/>
                <w:color w:val="000000" w:themeColor="text1"/>
              </w:rPr>
            </w:pPr>
            <w:r w:rsidRPr="00781112">
              <w:rPr>
                <w:b/>
                <w:color w:val="000000" w:themeColor="text1"/>
              </w:rPr>
              <w:t>2018</w:t>
            </w:r>
          </w:p>
        </w:tc>
        <w:tc>
          <w:tcPr>
            <w:tcW w:w="834" w:type="pct"/>
            <w:shd w:val="clear" w:color="auto" w:fill="auto"/>
          </w:tcPr>
          <w:p w14:paraId="0829DA0A" w14:textId="7480CDCA" w:rsidR="005A3C12" w:rsidRPr="00781112" w:rsidRDefault="002B7490" w:rsidP="0077257F">
            <w:pPr>
              <w:jc w:val="center"/>
              <w:rPr>
                <w:b/>
                <w:color w:val="000000" w:themeColor="text1"/>
              </w:rPr>
            </w:pPr>
            <w:r w:rsidRPr="00781112">
              <w:rPr>
                <w:b/>
                <w:color w:val="000000" w:themeColor="text1"/>
              </w:rPr>
              <w:t>2019</w:t>
            </w:r>
          </w:p>
        </w:tc>
      </w:tr>
      <w:tr w:rsidR="005C29F8" w:rsidRPr="00781112" w14:paraId="070DB2EE" w14:textId="77777777" w:rsidTr="002B4D97">
        <w:trPr>
          <w:trHeight w:val="357"/>
        </w:trPr>
        <w:tc>
          <w:tcPr>
            <w:tcW w:w="833" w:type="pct"/>
            <w:shd w:val="clear" w:color="auto" w:fill="auto"/>
          </w:tcPr>
          <w:p w14:paraId="0009CFCE" w14:textId="3FC698CF" w:rsidR="005A3C12" w:rsidRPr="00781112" w:rsidRDefault="005A3C12" w:rsidP="00B6413B">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1375BD99" w14:textId="6D10741B"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26F74D0F" w14:textId="4AE09CE9"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7853FB9A" w14:textId="12B0C6E3"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48E831B0" w14:textId="55B124AD"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0EC718C3" w14:textId="25E87C80"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r>
      <w:tr w:rsidR="005C29F8" w:rsidRPr="00781112" w14:paraId="72345F0E" w14:textId="77777777" w:rsidTr="002B4D97">
        <w:trPr>
          <w:trHeight w:val="85"/>
        </w:trPr>
        <w:tc>
          <w:tcPr>
            <w:tcW w:w="833" w:type="pct"/>
            <w:shd w:val="clear" w:color="auto" w:fill="auto"/>
          </w:tcPr>
          <w:p w14:paraId="33960FE1" w14:textId="77777777" w:rsidR="005A3C12" w:rsidRPr="00781112" w:rsidRDefault="005A3C12" w:rsidP="00B6413B">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1EEC0627" w14:textId="677F8A3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5FB4D0B8" w14:textId="190E02C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36B818C8" w14:textId="70F8E2EA"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4F9B86C0" w14:textId="2EC4A366"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1C8D4247" w14:textId="1E5D4F59"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r>
      <w:bookmarkEnd w:id="54"/>
      <w:bookmarkEnd w:id="55"/>
    </w:tbl>
    <w:p w14:paraId="1840A66A" w14:textId="77777777" w:rsidR="00BA687C" w:rsidRPr="00781112" w:rsidRDefault="00BA687C" w:rsidP="004369B2">
      <w:pPr>
        <w:rPr>
          <w:color w:val="000000" w:themeColor="text1"/>
        </w:rPr>
      </w:pPr>
    </w:p>
    <w:p w14:paraId="618FFFDA" w14:textId="2F1D75E5" w:rsidR="007A3964" w:rsidRPr="00781112" w:rsidRDefault="007A3964" w:rsidP="004369B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TARGETS"/>
      </w:tblPr>
      <w:tblGrid>
        <w:gridCol w:w="1540"/>
        <w:gridCol w:w="1541"/>
        <w:gridCol w:w="1543"/>
        <w:gridCol w:w="1541"/>
        <w:gridCol w:w="1543"/>
        <w:gridCol w:w="1541"/>
        <w:gridCol w:w="1541"/>
      </w:tblGrid>
      <w:tr w:rsidR="00D0796B" w:rsidRPr="00781112" w14:paraId="66B5B2AB" w14:textId="77A1A8F1" w:rsidTr="002B4D97">
        <w:trPr>
          <w:trHeight w:val="424"/>
        </w:trPr>
        <w:tc>
          <w:tcPr>
            <w:tcW w:w="714" w:type="pct"/>
            <w:tcBorders>
              <w:bottom w:val="single" w:sz="4" w:space="0" w:color="auto"/>
            </w:tcBorders>
            <w:shd w:val="clear" w:color="auto" w:fill="auto"/>
          </w:tcPr>
          <w:p w14:paraId="6C572A94" w14:textId="77777777" w:rsidR="00D0796B" w:rsidRPr="00781112" w:rsidRDefault="00D0796B" w:rsidP="00D0796B">
            <w:pPr>
              <w:jc w:val="center"/>
              <w:rPr>
                <w:b/>
                <w:color w:val="000000" w:themeColor="text1"/>
              </w:rPr>
            </w:pPr>
            <w:r w:rsidRPr="00781112">
              <w:rPr>
                <w:b/>
                <w:color w:val="000000" w:themeColor="text1"/>
              </w:rPr>
              <w:lastRenderedPageBreak/>
              <w:t>FFY</w:t>
            </w:r>
          </w:p>
        </w:tc>
        <w:tc>
          <w:tcPr>
            <w:tcW w:w="714" w:type="pct"/>
            <w:shd w:val="clear" w:color="auto" w:fill="auto"/>
          </w:tcPr>
          <w:p w14:paraId="67096E8B" w14:textId="77777777" w:rsidR="00D0796B" w:rsidRPr="00781112" w:rsidRDefault="00D0796B" w:rsidP="00D0796B">
            <w:pPr>
              <w:jc w:val="center"/>
              <w:rPr>
                <w:b/>
                <w:color w:val="000000" w:themeColor="text1"/>
              </w:rPr>
            </w:pPr>
            <w:r w:rsidRPr="00781112">
              <w:rPr>
                <w:b/>
                <w:color w:val="000000" w:themeColor="text1"/>
              </w:rPr>
              <w:t>2020</w:t>
            </w:r>
          </w:p>
        </w:tc>
        <w:tc>
          <w:tcPr>
            <w:tcW w:w="715" w:type="pct"/>
          </w:tcPr>
          <w:p w14:paraId="0FDB27DB" w14:textId="2A7CA3D5" w:rsidR="00D0796B" w:rsidRPr="00781112" w:rsidRDefault="00D0796B" w:rsidP="00D0796B">
            <w:pPr>
              <w:jc w:val="center"/>
              <w:rPr>
                <w:b/>
                <w:color w:val="000000" w:themeColor="text1"/>
              </w:rPr>
            </w:pPr>
            <w:r w:rsidRPr="00781112">
              <w:rPr>
                <w:rFonts w:cs="Arial"/>
                <w:b/>
                <w:color w:val="000000" w:themeColor="text1"/>
                <w:szCs w:val="16"/>
              </w:rPr>
              <w:t>2021</w:t>
            </w:r>
          </w:p>
        </w:tc>
        <w:tc>
          <w:tcPr>
            <w:tcW w:w="714" w:type="pct"/>
          </w:tcPr>
          <w:p w14:paraId="6594AB3D" w14:textId="0AA5EB84" w:rsidR="00D0796B" w:rsidRPr="00781112" w:rsidRDefault="00D0796B" w:rsidP="00D0796B">
            <w:pPr>
              <w:jc w:val="center"/>
              <w:rPr>
                <w:b/>
                <w:color w:val="000000" w:themeColor="text1"/>
              </w:rPr>
            </w:pPr>
            <w:r w:rsidRPr="00781112">
              <w:rPr>
                <w:rFonts w:cs="Arial"/>
                <w:b/>
                <w:color w:val="000000" w:themeColor="text1"/>
                <w:szCs w:val="16"/>
              </w:rPr>
              <w:t>2022</w:t>
            </w:r>
          </w:p>
        </w:tc>
        <w:tc>
          <w:tcPr>
            <w:tcW w:w="715" w:type="pct"/>
          </w:tcPr>
          <w:p w14:paraId="137A2339" w14:textId="1A48CA5C" w:rsidR="00D0796B" w:rsidRPr="00781112" w:rsidRDefault="00D0796B" w:rsidP="00D0796B">
            <w:pPr>
              <w:jc w:val="center"/>
              <w:rPr>
                <w:b/>
                <w:color w:val="000000" w:themeColor="text1"/>
              </w:rPr>
            </w:pPr>
            <w:r w:rsidRPr="00781112">
              <w:rPr>
                <w:rFonts w:cs="Arial"/>
                <w:b/>
                <w:color w:val="000000" w:themeColor="text1"/>
                <w:szCs w:val="16"/>
              </w:rPr>
              <w:t>2023</w:t>
            </w:r>
          </w:p>
        </w:tc>
        <w:tc>
          <w:tcPr>
            <w:tcW w:w="714" w:type="pct"/>
          </w:tcPr>
          <w:p w14:paraId="4FA5EFF0" w14:textId="7587EB5F" w:rsidR="00D0796B" w:rsidRPr="00781112" w:rsidRDefault="00D0796B" w:rsidP="00D0796B">
            <w:pPr>
              <w:jc w:val="center"/>
              <w:rPr>
                <w:b/>
                <w:color w:val="000000" w:themeColor="text1"/>
              </w:rPr>
            </w:pPr>
            <w:r w:rsidRPr="00781112">
              <w:rPr>
                <w:rFonts w:cs="Arial"/>
                <w:b/>
                <w:color w:val="000000" w:themeColor="text1"/>
                <w:szCs w:val="16"/>
              </w:rPr>
              <w:t>2024</w:t>
            </w:r>
          </w:p>
        </w:tc>
        <w:tc>
          <w:tcPr>
            <w:tcW w:w="714" w:type="pct"/>
          </w:tcPr>
          <w:p w14:paraId="2BF2A6CD" w14:textId="7A5D89B1" w:rsidR="00D0796B" w:rsidRPr="00781112" w:rsidRDefault="00D0796B" w:rsidP="00D0796B">
            <w:pPr>
              <w:jc w:val="center"/>
              <w:rPr>
                <w:b/>
                <w:color w:val="000000" w:themeColor="text1"/>
              </w:rPr>
            </w:pPr>
            <w:r w:rsidRPr="00781112">
              <w:rPr>
                <w:rFonts w:cs="Arial"/>
                <w:b/>
                <w:color w:val="000000" w:themeColor="text1"/>
                <w:szCs w:val="16"/>
              </w:rPr>
              <w:t>2025</w:t>
            </w:r>
          </w:p>
        </w:tc>
      </w:tr>
      <w:tr w:rsidR="00D0796B" w:rsidRPr="00781112" w14:paraId="169ED4F0" w14:textId="16F5CD6F" w:rsidTr="002B4D97">
        <w:trPr>
          <w:trHeight w:val="432"/>
        </w:trPr>
        <w:tc>
          <w:tcPr>
            <w:tcW w:w="714" w:type="pct"/>
            <w:shd w:val="clear" w:color="auto" w:fill="auto"/>
            <w:vAlign w:val="center"/>
          </w:tcPr>
          <w:p w14:paraId="639437BD" w14:textId="77777777" w:rsidR="00D0796B" w:rsidRPr="00781112" w:rsidRDefault="00D0796B" w:rsidP="00D0796B">
            <w:pPr>
              <w:rPr>
                <w:rFonts w:cs="Arial"/>
                <w:color w:val="000000" w:themeColor="text1"/>
                <w:szCs w:val="16"/>
              </w:rPr>
            </w:pPr>
            <w:r w:rsidRPr="00781112">
              <w:rPr>
                <w:rFonts w:cs="Arial"/>
                <w:color w:val="000000" w:themeColor="text1"/>
                <w:szCs w:val="16"/>
              </w:rPr>
              <w:t xml:space="preserve">Target </w:t>
            </w:r>
          </w:p>
        </w:tc>
        <w:tc>
          <w:tcPr>
            <w:tcW w:w="714" w:type="pct"/>
            <w:shd w:val="clear" w:color="auto" w:fill="auto"/>
            <w:vAlign w:val="center"/>
          </w:tcPr>
          <w:p w14:paraId="482B43E6" w14:textId="62FCF10C" w:rsidR="00D0796B" w:rsidRPr="00781112" w:rsidRDefault="00D0796B" w:rsidP="00D0796B">
            <w:pPr>
              <w:jc w:val="center"/>
              <w:rPr>
                <w:rFonts w:cs="Arial"/>
                <w:color w:val="000000" w:themeColor="text1"/>
                <w:szCs w:val="16"/>
              </w:rPr>
            </w:pPr>
            <w:r w:rsidRPr="00781112">
              <w:rPr>
                <w:rFonts w:cs="Arial"/>
                <w:color w:val="000000" w:themeColor="text1"/>
                <w:szCs w:val="16"/>
              </w:rPr>
              <w:t>0%</w:t>
            </w:r>
          </w:p>
        </w:tc>
        <w:tc>
          <w:tcPr>
            <w:tcW w:w="715" w:type="pct"/>
          </w:tcPr>
          <w:p w14:paraId="6ED6CF52" w14:textId="07C8F82B" w:rsidR="00D0796B" w:rsidRPr="00781112" w:rsidRDefault="00D0796B" w:rsidP="00D0796B">
            <w:pPr>
              <w:jc w:val="center"/>
              <w:rPr>
                <w:rFonts w:cs="Arial"/>
                <w:color w:val="000000" w:themeColor="text1"/>
                <w:szCs w:val="16"/>
              </w:rPr>
            </w:pPr>
            <w:r w:rsidRPr="00781112">
              <w:rPr>
                <w:color w:val="000000" w:themeColor="text1"/>
                <w:szCs w:val="16"/>
              </w:rPr>
              <w:t>0%</w:t>
            </w:r>
          </w:p>
        </w:tc>
        <w:tc>
          <w:tcPr>
            <w:tcW w:w="714" w:type="pct"/>
          </w:tcPr>
          <w:p w14:paraId="41DC7F3D" w14:textId="129F7B75" w:rsidR="00D0796B" w:rsidRPr="00781112" w:rsidRDefault="00D0796B" w:rsidP="00D0796B">
            <w:pPr>
              <w:jc w:val="center"/>
              <w:rPr>
                <w:rFonts w:cs="Arial"/>
                <w:color w:val="000000" w:themeColor="text1"/>
                <w:szCs w:val="16"/>
              </w:rPr>
            </w:pPr>
            <w:r w:rsidRPr="00781112">
              <w:rPr>
                <w:color w:val="000000" w:themeColor="text1"/>
                <w:szCs w:val="16"/>
              </w:rPr>
              <w:t>0%</w:t>
            </w:r>
          </w:p>
        </w:tc>
        <w:tc>
          <w:tcPr>
            <w:tcW w:w="715" w:type="pct"/>
          </w:tcPr>
          <w:p w14:paraId="430A2A24" w14:textId="13021BDA" w:rsidR="00D0796B" w:rsidRPr="00781112" w:rsidRDefault="00D0796B" w:rsidP="00D0796B">
            <w:pPr>
              <w:jc w:val="center"/>
              <w:rPr>
                <w:rFonts w:cs="Arial"/>
                <w:color w:val="000000" w:themeColor="text1"/>
                <w:szCs w:val="16"/>
              </w:rPr>
            </w:pPr>
            <w:r w:rsidRPr="00781112">
              <w:rPr>
                <w:color w:val="000000" w:themeColor="text1"/>
                <w:szCs w:val="16"/>
              </w:rPr>
              <w:t>0%</w:t>
            </w:r>
          </w:p>
        </w:tc>
        <w:tc>
          <w:tcPr>
            <w:tcW w:w="714" w:type="pct"/>
          </w:tcPr>
          <w:p w14:paraId="77FF7EE4" w14:textId="56DB4944" w:rsidR="00D0796B" w:rsidRPr="00781112" w:rsidRDefault="00D0796B" w:rsidP="00D0796B">
            <w:pPr>
              <w:jc w:val="center"/>
              <w:rPr>
                <w:rFonts w:cs="Arial"/>
                <w:color w:val="000000" w:themeColor="text1"/>
                <w:szCs w:val="16"/>
              </w:rPr>
            </w:pPr>
            <w:r w:rsidRPr="00781112">
              <w:rPr>
                <w:color w:val="000000" w:themeColor="text1"/>
                <w:szCs w:val="16"/>
              </w:rPr>
              <w:t>0%</w:t>
            </w:r>
          </w:p>
        </w:tc>
        <w:tc>
          <w:tcPr>
            <w:tcW w:w="714" w:type="pct"/>
          </w:tcPr>
          <w:p w14:paraId="1FB3EC89" w14:textId="6E8E9C53" w:rsidR="00D0796B" w:rsidRPr="00781112" w:rsidRDefault="00D0796B" w:rsidP="00D0796B">
            <w:pPr>
              <w:jc w:val="center"/>
              <w:rPr>
                <w:rFonts w:cs="Arial"/>
                <w:color w:val="000000" w:themeColor="text1"/>
                <w:szCs w:val="16"/>
              </w:rPr>
            </w:pPr>
            <w:r w:rsidRPr="00781112">
              <w:rPr>
                <w:color w:val="000000" w:themeColor="text1"/>
                <w:szCs w:val="16"/>
              </w:rPr>
              <w:t>0%</w:t>
            </w:r>
          </w:p>
        </w:tc>
      </w:tr>
    </w:tbl>
    <w:p w14:paraId="52F4815B" w14:textId="77777777" w:rsidR="00BA687C" w:rsidRPr="00781112" w:rsidRDefault="00BA687C" w:rsidP="004369B2">
      <w:pPr>
        <w:rPr>
          <w:color w:val="000000" w:themeColor="text1"/>
        </w:rPr>
      </w:pPr>
    </w:p>
    <w:p w14:paraId="7CAE922F" w14:textId="0CF8380A" w:rsidR="005A3C12" w:rsidRPr="00781112" w:rsidRDefault="00F6415A">
      <w:pPr>
        <w:rPr>
          <w:b/>
          <w:color w:val="000000" w:themeColor="text1"/>
        </w:rPr>
      </w:pPr>
      <w:r w:rsidRPr="00781112">
        <w:rPr>
          <w:b/>
          <w:color w:val="000000" w:themeColor="text1"/>
        </w:rPr>
        <w:t>FFY 2020 SPP/APR Data</w:t>
      </w:r>
    </w:p>
    <w:p w14:paraId="2910402D" w14:textId="579385FD" w:rsidR="00C2395D" w:rsidRPr="00781112" w:rsidRDefault="00C2395D">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51881593" w14:textId="15FAF06D" w:rsidR="00C2395D" w:rsidRPr="00781112" w:rsidRDefault="00C2395D">
      <w:pPr>
        <w:rPr>
          <w:rFonts w:cs="Arial"/>
          <w:color w:val="000000" w:themeColor="text1"/>
          <w:szCs w:val="16"/>
        </w:rPr>
      </w:pPr>
      <w:bookmarkStart w:id="56" w:name="_Hlk20258880"/>
      <w:r w:rsidRPr="00781112">
        <w:rPr>
          <w:rFonts w:cs="Arial"/>
          <w:color w:val="000000" w:themeColor="text1"/>
          <w:szCs w:val="16"/>
        </w:rPr>
        <w:t>YES</w:t>
      </w:r>
    </w:p>
    <w:bookmarkEnd w:id="56"/>
    <w:p w14:paraId="68C2343A" w14:textId="52DDFC94" w:rsidR="00C2395D" w:rsidRPr="00781112" w:rsidRDefault="00C2395D">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0B319A04" w14:textId="0BE2333F" w:rsidR="00C2395D" w:rsidRPr="00781112" w:rsidRDefault="00C2395D">
      <w:pPr>
        <w:rPr>
          <w:rFonts w:cs="Arial"/>
          <w:color w:val="000000" w:themeColor="text1"/>
          <w:szCs w:val="16"/>
        </w:rPr>
      </w:pPr>
      <w:r w:rsidRPr="00781112">
        <w:rPr>
          <w:rFonts w:cs="Arial"/>
          <w:color w:val="000000" w:themeColor="text1"/>
          <w:szCs w:val="16"/>
        </w:rPr>
        <w:t>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0CFFYAPRDATA"/>
      </w:tblPr>
      <w:tblGrid>
        <w:gridCol w:w="1488"/>
        <w:gridCol w:w="1488"/>
        <w:gridCol w:w="1720"/>
        <w:gridCol w:w="1073"/>
        <w:gridCol w:w="1638"/>
        <w:gridCol w:w="958"/>
        <w:gridCol w:w="1233"/>
        <w:gridCol w:w="1192"/>
      </w:tblGrid>
      <w:tr w:rsidR="005C29F8" w:rsidRPr="00781112" w14:paraId="46B7EEE9" w14:textId="299BDFCD" w:rsidTr="002B4D97">
        <w:trPr>
          <w:trHeight w:val="354"/>
        </w:trPr>
        <w:tc>
          <w:tcPr>
            <w:tcW w:w="556" w:type="pct"/>
            <w:shd w:val="clear" w:color="auto" w:fill="auto"/>
            <w:vAlign w:val="bottom"/>
          </w:tcPr>
          <w:p w14:paraId="0E28349C" w14:textId="44D96017" w:rsidR="006A4596" w:rsidRPr="00781112" w:rsidRDefault="006A4596" w:rsidP="004369B2">
            <w:pPr>
              <w:jc w:val="center"/>
              <w:rPr>
                <w:b/>
                <w:color w:val="000000" w:themeColor="text1"/>
              </w:rPr>
            </w:pPr>
            <w:r w:rsidRPr="00781112">
              <w:rPr>
                <w:b/>
                <w:color w:val="000000" w:themeColor="text1"/>
              </w:rPr>
              <w:t>Number of districts with disproportionate representation of racial/ethnic groups in specific disability categories</w:t>
            </w:r>
          </w:p>
        </w:tc>
        <w:tc>
          <w:tcPr>
            <w:tcW w:w="583" w:type="pct"/>
            <w:shd w:val="clear" w:color="auto" w:fill="auto"/>
            <w:vAlign w:val="bottom"/>
          </w:tcPr>
          <w:p w14:paraId="3776FC0B" w14:textId="62483782" w:rsidR="006A4596" w:rsidRPr="00781112" w:rsidRDefault="006A4596" w:rsidP="004369B2">
            <w:pPr>
              <w:jc w:val="center"/>
              <w:rPr>
                <w:b/>
                <w:color w:val="000000" w:themeColor="text1"/>
              </w:rPr>
            </w:pPr>
            <w:r w:rsidRPr="00781112">
              <w:rPr>
                <w:b/>
                <w:color w:val="000000" w:themeColor="text1"/>
              </w:rPr>
              <w:t>Number of districts with disproportionate representation of racial/ethnic groups in specific disability categories that is the result of inappropriate identification</w:t>
            </w:r>
          </w:p>
        </w:tc>
        <w:tc>
          <w:tcPr>
            <w:tcW w:w="837" w:type="pct"/>
            <w:shd w:val="clear" w:color="auto" w:fill="auto"/>
            <w:vAlign w:val="bottom"/>
          </w:tcPr>
          <w:p w14:paraId="355E2973" w14:textId="5007428A" w:rsidR="006A4596" w:rsidRPr="00781112" w:rsidRDefault="003D7F56" w:rsidP="004369B2">
            <w:pPr>
              <w:jc w:val="center"/>
              <w:rPr>
                <w:b/>
                <w:color w:val="000000" w:themeColor="text1"/>
              </w:rPr>
            </w:pPr>
            <w:r w:rsidRPr="00781112">
              <w:rPr>
                <w:b/>
                <w:color w:val="000000" w:themeColor="text1"/>
              </w:rPr>
              <w:t>Number of districts that met the State's minimum n and/or cell size</w:t>
            </w:r>
          </w:p>
        </w:tc>
        <w:tc>
          <w:tcPr>
            <w:tcW w:w="537" w:type="pct"/>
            <w:shd w:val="clear" w:color="auto" w:fill="auto"/>
            <w:vAlign w:val="bottom"/>
          </w:tcPr>
          <w:p w14:paraId="7466F790" w14:textId="298A9AEC" w:rsidR="006A4596" w:rsidRPr="00781112" w:rsidRDefault="00F6415A" w:rsidP="004369B2">
            <w:pPr>
              <w:jc w:val="center"/>
              <w:rPr>
                <w:b/>
                <w:color w:val="000000" w:themeColor="text1"/>
              </w:rPr>
            </w:pPr>
            <w:r w:rsidRPr="00781112">
              <w:rPr>
                <w:b/>
                <w:color w:val="000000" w:themeColor="text1"/>
              </w:rPr>
              <w:t>FFY 2019 Data</w:t>
            </w:r>
          </w:p>
        </w:tc>
        <w:tc>
          <w:tcPr>
            <w:tcW w:w="799" w:type="pct"/>
            <w:shd w:val="clear" w:color="auto" w:fill="auto"/>
            <w:vAlign w:val="bottom"/>
          </w:tcPr>
          <w:p w14:paraId="72475F3B" w14:textId="4566078E" w:rsidR="006A4596" w:rsidRPr="00781112" w:rsidRDefault="00F6415A" w:rsidP="004369B2">
            <w:pPr>
              <w:jc w:val="center"/>
              <w:rPr>
                <w:b/>
                <w:color w:val="000000" w:themeColor="text1"/>
              </w:rPr>
            </w:pPr>
            <w:r w:rsidRPr="00781112">
              <w:rPr>
                <w:b/>
                <w:color w:val="000000" w:themeColor="text1"/>
              </w:rPr>
              <w:t>FFY 2020 Target</w:t>
            </w:r>
          </w:p>
        </w:tc>
        <w:tc>
          <w:tcPr>
            <w:tcW w:w="484" w:type="pct"/>
            <w:shd w:val="clear" w:color="auto" w:fill="auto"/>
            <w:vAlign w:val="bottom"/>
          </w:tcPr>
          <w:p w14:paraId="71FC938A" w14:textId="763CB8C9" w:rsidR="006A4596" w:rsidRPr="00781112" w:rsidRDefault="00F6415A" w:rsidP="004369B2">
            <w:pPr>
              <w:jc w:val="center"/>
              <w:rPr>
                <w:b/>
                <w:color w:val="000000" w:themeColor="text1"/>
              </w:rPr>
            </w:pPr>
            <w:r w:rsidRPr="00781112">
              <w:rPr>
                <w:b/>
                <w:color w:val="000000" w:themeColor="text1"/>
              </w:rPr>
              <w:t>FFY 2020 Data</w:t>
            </w:r>
          </w:p>
        </w:tc>
        <w:tc>
          <w:tcPr>
            <w:tcW w:w="611" w:type="pct"/>
            <w:shd w:val="clear" w:color="auto" w:fill="auto"/>
            <w:vAlign w:val="bottom"/>
          </w:tcPr>
          <w:p w14:paraId="3412B11F" w14:textId="60F985B5" w:rsidR="006A4596" w:rsidRPr="00781112" w:rsidRDefault="006A4596" w:rsidP="004369B2">
            <w:pPr>
              <w:jc w:val="center"/>
              <w:rPr>
                <w:b/>
                <w:color w:val="000000" w:themeColor="text1"/>
              </w:rPr>
            </w:pPr>
            <w:r w:rsidRPr="00781112">
              <w:rPr>
                <w:b/>
                <w:color w:val="000000" w:themeColor="text1"/>
              </w:rPr>
              <w:t>Status</w:t>
            </w:r>
          </w:p>
        </w:tc>
        <w:tc>
          <w:tcPr>
            <w:tcW w:w="592" w:type="pct"/>
            <w:shd w:val="clear" w:color="auto" w:fill="auto"/>
            <w:vAlign w:val="bottom"/>
          </w:tcPr>
          <w:p w14:paraId="5BE578EA" w14:textId="42655681" w:rsidR="006A4596" w:rsidRPr="00781112" w:rsidRDefault="006A4596" w:rsidP="004369B2">
            <w:pPr>
              <w:jc w:val="center"/>
              <w:rPr>
                <w:b/>
                <w:color w:val="000000" w:themeColor="text1"/>
              </w:rPr>
            </w:pPr>
            <w:r w:rsidRPr="00781112">
              <w:rPr>
                <w:b/>
                <w:color w:val="000000" w:themeColor="text1"/>
              </w:rPr>
              <w:t>Slippage</w:t>
            </w:r>
          </w:p>
        </w:tc>
      </w:tr>
      <w:tr w:rsidR="005C29F8" w:rsidRPr="00781112" w14:paraId="15B9A5E7" w14:textId="77777777" w:rsidTr="002B4D97">
        <w:tblPrEx>
          <w:jc w:val="center"/>
        </w:tblPrEx>
        <w:trPr>
          <w:trHeight w:val="361"/>
          <w:jc w:val="center"/>
        </w:trPr>
        <w:tc>
          <w:tcPr>
            <w:tcW w:w="556" w:type="pct"/>
            <w:shd w:val="clear" w:color="auto" w:fill="auto"/>
            <w:vAlign w:val="center"/>
          </w:tcPr>
          <w:p w14:paraId="4E60E5C8" w14:textId="6324B6DD" w:rsidR="00832807" w:rsidRPr="00781112" w:rsidRDefault="002B7490" w:rsidP="00A018D4">
            <w:pPr>
              <w:jc w:val="center"/>
              <w:rPr>
                <w:rFonts w:cs="Arial"/>
                <w:color w:val="000000" w:themeColor="text1"/>
                <w:szCs w:val="16"/>
              </w:rPr>
            </w:pPr>
            <w:r w:rsidRPr="00781112">
              <w:rPr>
                <w:rFonts w:cs="Arial"/>
                <w:color w:val="000000" w:themeColor="text1"/>
                <w:szCs w:val="16"/>
              </w:rPr>
              <w:t>47</w:t>
            </w:r>
          </w:p>
        </w:tc>
        <w:tc>
          <w:tcPr>
            <w:tcW w:w="583" w:type="pct"/>
            <w:shd w:val="clear" w:color="auto" w:fill="auto"/>
            <w:vAlign w:val="center"/>
          </w:tcPr>
          <w:p w14:paraId="765C1600" w14:textId="09979D5F" w:rsidR="00832807" w:rsidRPr="00781112" w:rsidRDefault="002B7490">
            <w:pPr>
              <w:jc w:val="center"/>
              <w:rPr>
                <w:rFonts w:cs="Arial"/>
                <w:color w:val="000000" w:themeColor="text1"/>
                <w:szCs w:val="16"/>
              </w:rPr>
            </w:pPr>
            <w:r w:rsidRPr="00781112">
              <w:rPr>
                <w:rFonts w:cs="Arial"/>
                <w:color w:val="000000" w:themeColor="text1"/>
                <w:szCs w:val="16"/>
              </w:rPr>
              <w:t>0</w:t>
            </w:r>
          </w:p>
        </w:tc>
        <w:tc>
          <w:tcPr>
            <w:tcW w:w="837" w:type="pct"/>
            <w:shd w:val="clear" w:color="auto" w:fill="auto"/>
          </w:tcPr>
          <w:p w14:paraId="2F5939A9" w14:textId="0BB9A6FC" w:rsidR="00832807" w:rsidRPr="00781112" w:rsidRDefault="002B7490">
            <w:pPr>
              <w:jc w:val="center"/>
              <w:rPr>
                <w:rFonts w:cs="Arial"/>
                <w:color w:val="000000" w:themeColor="text1"/>
                <w:szCs w:val="16"/>
              </w:rPr>
            </w:pPr>
            <w:r w:rsidRPr="00781112">
              <w:rPr>
                <w:rFonts w:cs="Arial"/>
                <w:color w:val="000000" w:themeColor="text1"/>
                <w:szCs w:val="16"/>
              </w:rPr>
              <w:t>160</w:t>
            </w:r>
          </w:p>
        </w:tc>
        <w:tc>
          <w:tcPr>
            <w:tcW w:w="537" w:type="pct"/>
            <w:shd w:val="clear" w:color="auto" w:fill="auto"/>
          </w:tcPr>
          <w:p w14:paraId="0D05C70A" w14:textId="18F3C221"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799" w:type="pct"/>
            <w:shd w:val="clear" w:color="auto" w:fill="auto"/>
          </w:tcPr>
          <w:p w14:paraId="31B1786A" w14:textId="1C0FB493" w:rsidR="00832807" w:rsidRPr="00781112" w:rsidRDefault="009C65E9">
            <w:pPr>
              <w:jc w:val="center"/>
              <w:rPr>
                <w:rFonts w:cs="Arial"/>
                <w:color w:val="000000" w:themeColor="text1"/>
                <w:szCs w:val="16"/>
              </w:rPr>
            </w:pPr>
            <w:r w:rsidRPr="00781112">
              <w:rPr>
                <w:rFonts w:cs="Arial"/>
                <w:color w:val="000000" w:themeColor="text1"/>
                <w:szCs w:val="16"/>
              </w:rPr>
              <w:t>0%</w:t>
            </w:r>
          </w:p>
        </w:tc>
        <w:tc>
          <w:tcPr>
            <w:tcW w:w="484" w:type="pct"/>
            <w:shd w:val="clear" w:color="auto" w:fill="auto"/>
          </w:tcPr>
          <w:p w14:paraId="006553AD" w14:textId="5CF8CF00"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611" w:type="pct"/>
            <w:shd w:val="clear" w:color="auto" w:fill="auto"/>
          </w:tcPr>
          <w:p w14:paraId="4A47CD2B" w14:textId="7BEFFB19" w:rsidR="00832807" w:rsidRPr="00781112" w:rsidRDefault="002B7490">
            <w:pPr>
              <w:jc w:val="center"/>
              <w:rPr>
                <w:rFonts w:cs="Arial"/>
                <w:color w:val="000000" w:themeColor="text1"/>
                <w:szCs w:val="16"/>
              </w:rPr>
            </w:pPr>
            <w:r w:rsidRPr="00781112">
              <w:rPr>
                <w:rFonts w:cs="Arial"/>
                <w:color w:val="000000" w:themeColor="text1"/>
                <w:szCs w:val="16"/>
              </w:rPr>
              <w:t>N/A</w:t>
            </w:r>
          </w:p>
        </w:tc>
        <w:tc>
          <w:tcPr>
            <w:tcW w:w="592" w:type="pct"/>
            <w:shd w:val="clear" w:color="auto" w:fill="auto"/>
          </w:tcPr>
          <w:p w14:paraId="3F96C2BD" w14:textId="2A9BD6CA" w:rsidR="00832807" w:rsidRPr="00781112" w:rsidRDefault="002B7490">
            <w:pPr>
              <w:jc w:val="center"/>
              <w:rPr>
                <w:rFonts w:cs="Arial"/>
                <w:color w:val="000000" w:themeColor="text1"/>
                <w:szCs w:val="16"/>
              </w:rPr>
            </w:pPr>
            <w:r w:rsidRPr="00781112">
              <w:rPr>
                <w:rFonts w:cs="Arial"/>
                <w:color w:val="000000" w:themeColor="text1"/>
                <w:szCs w:val="16"/>
              </w:rPr>
              <w:t>N/A</w:t>
            </w:r>
          </w:p>
        </w:tc>
      </w:tr>
    </w:tbl>
    <w:p w14:paraId="59BA2CEF" w14:textId="4C507427" w:rsidR="00590296" w:rsidRPr="00781112" w:rsidRDefault="00A479A0" w:rsidP="00B6413B">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590ED0F" w14:textId="7DC32C1D" w:rsidR="00590296" w:rsidRPr="00781112" w:rsidRDefault="00590296" w:rsidP="00B6413B">
      <w:pPr>
        <w:rPr>
          <w:rFonts w:cs="Arial"/>
          <w:color w:val="000000" w:themeColor="text1"/>
          <w:szCs w:val="16"/>
        </w:rPr>
      </w:pPr>
      <w:r w:rsidRPr="00781112">
        <w:rPr>
          <w:rFonts w:cs="Arial"/>
          <w:color w:val="000000" w:themeColor="text1"/>
          <w:szCs w:val="16"/>
        </w:rPr>
        <w:t>YES</w:t>
      </w:r>
    </w:p>
    <w:p w14:paraId="6EC83BB6" w14:textId="77777777" w:rsidR="0057259D" w:rsidRPr="00781112" w:rsidRDefault="0057259D"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5C0E7099" w14:textId="60F75C08" w:rsidR="00481536" w:rsidRPr="00781112" w:rsidRDefault="002B7490" w:rsidP="003817C0">
      <w:pPr>
        <w:rPr>
          <w:rFonts w:cs="Arial"/>
          <w:color w:val="000000" w:themeColor="text1"/>
          <w:szCs w:val="16"/>
        </w:rPr>
      </w:pPr>
      <w:r w:rsidRPr="00781112">
        <w:rPr>
          <w:rFonts w:cs="Arial"/>
          <w:color w:val="000000" w:themeColor="text1"/>
          <w:szCs w:val="16"/>
        </w:rPr>
        <w:t>LDOE has a two-step process for the analysis of disproportionate representation data. LDOE defines disproportionate representation as having a risk ratio greater than 2.0 with a minimum cell size of 25 for over representation based on one year of data. To determine the rate of disproportionate representation, LDOE uses the following protocol:</w:t>
      </w:r>
      <w:r w:rsidRPr="00781112">
        <w:rPr>
          <w:rFonts w:cs="Arial"/>
          <w:color w:val="000000" w:themeColor="text1"/>
          <w:szCs w:val="16"/>
        </w:rPr>
        <w:br/>
      </w:r>
      <w:r w:rsidRPr="00781112">
        <w:rPr>
          <w:rFonts w:cs="Arial"/>
          <w:color w:val="000000" w:themeColor="text1"/>
          <w:szCs w:val="16"/>
        </w:rPr>
        <w:br/>
        <w:t>First, LDOE examines each LEA's child count data to identify disproportionate representation in any of the following six specific disability categories: Autism, Emotional Disturbance, Intellectual Disability, Other Health Impairments, Specific Learning Disability, and Speech or Language Impairment. For the FFY 2020 APR submission, the number of students in each racial and ethnic group in the six specific disability categories was extracted from the state’s October 1, 2020 Child Count Report. LDOE reviewed the data, and excluded any LEA that did not meet the minimum n-size of 25 in the designated race or ethnic category. Of the 187 LEAs, LDOE identified 47 LEAs with disproportionate representation of racial and ethnic groups in specific disability categories.</w:t>
      </w:r>
      <w:r w:rsidRPr="00781112">
        <w:rPr>
          <w:rFonts w:cs="Arial"/>
          <w:color w:val="000000" w:themeColor="text1"/>
          <w:szCs w:val="16"/>
        </w:rPr>
        <w:br/>
      </w:r>
      <w:r w:rsidRPr="00781112">
        <w:rPr>
          <w:rFonts w:cs="Arial"/>
          <w:color w:val="000000" w:themeColor="text1"/>
          <w:szCs w:val="16"/>
        </w:rPr>
        <w:br/>
        <w:t>Second, LDOE conducted outreach to the 47 LEAs to determine whether the disproportionate representation was the result of inappropriate identification of their policies, practices, or procedures. These LEAs were required to fill out a Disproportionality Review Rubric-a tool designed to assist the LEAs in identifying their practices, policies, and procedures that may have led to inappropriate identification of students based on their race or ethnicity, by disability. All 47 LEAs completed the review, and zero LEAs determined that the instance of disproportionate representation of racial and ethnic groups in specific disability categories was the result of inappropriate identification.</w:t>
      </w:r>
    </w:p>
    <w:p w14:paraId="469A27F6" w14:textId="13AEF7C8" w:rsidR="0057259D" w:rsidRPr="00781112" w:rsidRDefault="0057259D" w:rsidP="004369B2">
      <w:pPr>
        <w:rPr>
          <w:b/>
          <w:color w:val="000000" w:themeColor="text1"/>
        </w:rPr>
      </w:pPr>
      <w:r w:rsidRPr="00781112">
        <w:rPr>
          <w:b/>
          <w:color w:val="000000" w:themeColor="text1"/>
        </w:rPr>
        <w:t>Describe how the State made its annual determination as to whether the disproportionate overrepresentation it identified of racial and ethnic groups in specific disability categories was the result of inappropriate identification.</w:t>
      </w:r>
    </w:p>
    <w:p w14:paraId="37B23307" w14:textId="467F2F39" w:rsidR="00481536" w:rsidRPr="00781112" w:rsidRDefault="002B7490" w:rsidP="003817C0">
      <w:pPr>
        <w:rPr>
          <w:rFonts w:cs="Arial"/>
          <w:color w:val="000000" w:themeColor="text1"/>
          <w:szCs w:val="16"/>
        </w:rPr>
      </w:pPr>
      <w:r w:rsidRPr="00781112">
        <w:rPr>
          <w:rFonts w:cs="Arial"/>
          <w:color w:val="000000" w:themeColor="text1"/>
          <w:szCs w:val="16"/>
        </w:rPr>
        <w:t>LDOE completes a risk ratio analysis, based on one year of data, for each LEA to identify whether a particular race or ethnicity was at a disproportionately greater risk of being identified for special education and related services. LDOE conducts outreach to LEAs found to be disproportionate, requiring LEAs to complete a self-review rubric. The rubric is used to identify any policies, practices, and procedures that result in inappropriate identification. The rubric is then submitted to LDOE for review. If a rubric indicates disproportionate representation as a result of inappropriate identification, the LEA must make revisions to its policies, practices, and procedures to address this concern.</w:t>
      </w:r>
    </w:p>
    <w:p w14:paraId="1FCF1BF3" w14:textId="77777777" w:rsidR="00DF1529" w:rsidRPr="00781112" w:rsidRDefault="00DF1529" w:rsidP="00DF1529">
      <w:pPr>
        <w:rPr>
          <w:rFonts w:cs="Arial"/>
          <w:b/>
          <w:color w:val="000000" w:themeColor="text1"/>
          <w:szCs w:val="16"/>
        </w:rPr>
      </w:pPr>
      <w:bookmarkStart w:id="57" w:name="_Toc381956338"/>
      <w:bookmarkStart w:id="58" w:name="_Toc384383352"/>
      <w:bookmarkStart w:id="59" w:name="_Toc392159320"/>
      <w:r w:rsidRPr="00781112">
        <w:rPr>
          <w:rFonts w:cs="Arial"/>
          <w:b/>
          <w:color w:val="000000" w:themeColor="text1"/>
          <w:szCs w:val="16"/>
        </w:rPr>
        <w:t>Provide additional information about this indicator (optional)</w:t>
      </w:r>
    </w:p>
    <w:p w14:paraId="6A3194C2" w14:textId="40939986" w:rsidR="00481536" w:rsidRPr="00781112" w:rsidRDefault="00481536" w:rsidP="007D435F">
      <w:pPr>
        <w:rPr>
          <w:rFonts w:cs="Arial"/>
          <w:color w:val="000000" w:themeColor="text1"/>
          <w:szCs w:val="16"/>
        </w:rPr>
      </w:pPr>
    </w:p>
    <w:p w14:paraId="4638F78F" w14:textId="77777777" w:rsidR="00BA687C" w:rsidRPr="00781112" w:rsidRDefault="00BA687C" w:rsidP="004369B2">
      <w:pPr>
        <w:rPr>
          <w:color w:val="000000" w:themeColor="text1"/>
        </w:rPr>
      </w:pPr>
    </w:p>
    <w:p w14:paraId="6268B372" w14:textId="1289EDEF"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10PFFYNCFINDINGS"/>
      </w:tblPr>
      <w:tblGrid>
        <w:gridCol w:w="2650"/>
        <w:gridCol w:w="2780"/>
        <w:gridCol w:w="2656"/>
        <w:gridCol w:w="2704"/>
      </w:tblGrid>
      <w:tr w:rsidR="005C29F8" w:rsidRPr="00781112" w14:paraId="56588706" w14:textId="77777777" w:rsidTr="0033429D">
        <w:trPr>
          <w:trHeight w:val="389"/>
          <w:tblHeader/>
        </w:trPr>
        <w:tc>
          <w:tcPr>
            <w:tcW w:w="1228" w:type="pct"/>
            <w:shd w:val="clear" w:color="auto" w:fill="auto"/>
            <w:vAlign w:val="bottom"/>
          </w:tcPr>
          <w:p w14:paraId="65B8FFC5"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05391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79BBE35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380C990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C6EB489" w14:textId="77777777" w:rsidTr="00690A61">
        <w:tc>
          <w:tcPr>
            <w:tcW w:w="1228" w:type="pct"/>
            <w:shd w:val="clear" w:color="auto" w:fill="auto"/>
          </w:tcPr>
          <w:p w14:paraId="1D40E253" w14:textId="63B8E0E2"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5D374844" w14:textId="5622CFF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2CDC48CC" w14:textId="2F00947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9E189C3" w14:textId="39CA8E23"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60BB42FC" w14:textId="6E7311AE"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10BPPFFYNCFINDINGS"/>
      </w:tblPr>
      <w:tblGrid>
        <w:gridCol w:w="1888"/>
        <w:gridCol w:w="3334"/>
        <w:gridCol w:w="2743"/>
        <w:gridCol w:w="2825"/>
      </w:tblGrid>
      <w:tr w:rsidR="005C29F8" w:rsidRPr="00781112" w14:paraId="730926F0" w14:textId="77777777" w:rsidTr="00690A61">
        <w:trPr>
          <w:tblHeader/>
        </w:trPr>
        <w:tc>
          <w:tcPr>
            <w:tcW w:w="875" w:type="pct"/>
            <w:shd w:val="clear" w:color="auto" w:fill="auto"/>
            <w:vAlign w:val="bottom"/>
          </w:tcPr>
          <w:p w14:paraId="0B05B92F" w14:textId="50A415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545" w:type="pct"/>
            <w:shd w:val="clear" w:color="auto" w:fill="auto"/>
            <w:vAlign w:val="bottom"/>
          </w:tcPr>
          <w:p w14:paraId="759DE84F" w14:textId="4F7A1FBE"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271" w:type="pct"/>
            <w:shd w:val="clear" w:color="auto" w:fill="auto"/>
            <w:vAlign w:val="bottom"/>
          </w:tcPr>
          <w:p w14:paraId="45E60D4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9" w:type="pct"/>
            <w:shd w:val="clear" w:color="auto" w:fill="auto"/>
            <w:vAlign w:val="bottom"/>
          </w:tcPr>
          <w:p w14:paraId="2598D3F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7C292A1" w14:textId="77777777" w:rsidTr="00690A61">
        <w:tc>
          <w:tcPr>
            <w:tcW w:w="875" w:type="pct"/>
            <w:shd w:val="clear" w:color="auto" w:fill="auto"/>
          </w:tcPr>
          <w:p w14:paraId="4127AE76" w14:textId="36C06893" w:rsidR="009A755E" w:rsidRPr="00781112" w:rsidRDefault="009A755E" w:rsidP="00A018D4">
            <w:pPr>
              <w:jc w:val="center"/>
              <w:rPr>
                <w:rFonts w:cs="Arial"/>
                <w:color w:val="000000" w:themeColor="text1"/>
                <w:szCs w:val="16"/>
              </w:rPr>
            </w:pPr>
          </w:p>
        </w:tc>
        <w:tc>
          <w:tcPr>
            <w:tcW w:w="1545" w:type="pct"/>
            <w:shd w:val="clear" w:color="auto" w:fill="auto"/>
          </w:tcPr>
          <w:p w14:paraId="2A5CC6A6" w14:textId="3962DD57" w:rsidR="009A755E" w:rsidRPr="00781112" w:rsidRDefault="009A755E">
            <w:pPr>
              <w:jc w:val="center"/>
              <w:rPr>
                <w:rFonts w:cs="Arial"/>
                <w:noProof/>
                <w:color w:val="000000" w:themeColor="text1"/>
                <w:szCs w:val="16"/>
              </w:rPr>
            </w:pPr>
          </w:p>
        </w:tc>
        <w:tc>
          <w:tcPr>
            <w:tcW w:w="1271" w:type="pct"/>
            <w:shd w:val="clear" w:color="auto" w:fill="auto"/>
          </w:tcPr>
          <w:p w14:paraId="443DA9B8" w14:textId="5BA02353" w:rsidR="009A755E" w:rsidRPr="00781112" w:rsidRDefault="009A755E">
            <w:pPr>
              <w:jc w:val="center"/>
              <w:rPr>
                <w:rFonts w:cs="Arial"/>
                <w:noProof/>
                <w:color w:val="000000" w:themeColor="text1"/>
                <w:szCs w:val="16"/>
              </w:rPr>
            </w:pPr>
          </w:p>
        </w:tc>
        <w:tc>
          <w:tcPr>
            <w:tcW w:w="1309" w:type="pct"/>
            <w:shd w:val="clear" w:color="auto" w:fill="auto"/>
          </w:tcPr>
          <w:p w14:paraId="0CA4C267" w14:textId="5E5F97F2" w:rsidR="009A755E" w:rsidRPr="00781112" w:rsidRDefault="009A755E">
            <w:pPr>
              <w:jc w:val="center"/>
              <w:rPr>
                <w:rFonts w:cs="Arial"/>
                <w:noProof/>
                <w:color w:val="000000" w:themeColor="text1"/>
                <w:szCs w:val="16"/>
              </w:rPr>
            </w:pPr>
          </w:p>
        </w:tc>
      </w:tr>
      <w:tr w:rsidR="005C29F8" w:rsidRPr="00781112" w14:paraId="21AB92FA" w14:textId="77777777" w:rsidTr="00690A61">
        <w:tc>
          <w:tcPr>
            <w:tcW w:w="875" w:type="pct"/>
            <w:shd w:val="clear" w:color="auto" w:fill="auto"/>
          </w:tcPr>
          <w:p w14:paraId="6E800094" w14:textId="1F782081" w:rsidR="009A755E" w:rsidRPr="00781112" w:rsidRDefault="009A755E" w:rsidP="00A018D4">
            <w:pPr>
              <w:jc w:val="center"/>
              <w:rPr>
                <w:rFonts w:cs="Arial"/>
                <w:color w:val="000000" w:themeColor="text1"/>
                <w:szCs w:val="16"/>
              </w:rPr>
            </w:pPr>
          </w:p>
        </w:tc>
        <w:tc>
          <w:tcPr>
            <w:tcW w:w="1545" w:type="pct"/>
            <w:shd w:val="clear" w:color="auto" w:fill="auto"/>
          </w:tcPr>
          <w:p w14:paraId="3FA322A7" w14:textId="2543A74B" w:rsidR="009A755E" w:rsidRPr="00781112" w:rsidRDefault="009A755E">
            <w:pPr>
              <w:jc w:val="center"/>
              <w:rPr>
                <w:rFonts w:cs="Arial"/>
                <w:noProof/>
                <w:color w:val="000000" w:themeColor="text1"/>
                <w:szCs w:val="16"/>
              </w:rPr>
            </w:pPr>
          </w:p>
        </w:tc>
        <w:tc>
          <w:tcPr>
            <w:tcW w:w="1271" w:type="pct"/>
            <w:shd w:val="clear" w:color="auto" w:fill="auto"/>
          </w:tcPr>
          <w:p w14:paraId="7075484B" w14:textId="56719905" w:rsidR="009A755E" w:rsidRPr="00781112" w:rsidRDefault="009A755E">
            <w:pPr>
              <w:jc w:val="center"/>
              <w:rPr>
                <w:rFonts w:cs="Arial"/>
                <w:noProof/>
                <w:color w:val="000000" w:themeColor="text1"/>
                <w:szCs w:val="16"/>
              </w:rPr>
            </w:pPr>
          </w:p>
        </w:tc>
        <w:tc>
          <w:tcPr>
            <w:tcW w:w="1309" w:type="pct"/>
            <w:shd w:val="clear" w:color="auto" w:fill="auto"/>
          </w:tcPr>
          <w:p w14:paraId="5E63471A" w14:textId="5230E0AF" w:rsidR="009A755E" w:rsidRPr="00781112" w:rsidRDefault="009A755E">
            <w:pPr>
              <w:jc w:val="center"/>
              <w:rPr>
                <w:rFonts w:cs="Arial"/>
                <w:noProof/>
                <w:color w:val="000000" w:themeColor="text1"/>
                <w:szCs w:val="16"/>
              </w:rPr>
            </w:pPr>
          </w:p>
        </w:tc>
      </w:tr>
      <w:tr w:rsidR="005C29F8" w:rsidRPr="00781112" w14:paraId="57ACE7BC" w14:textId="77777777" w:rsidTr="00690A61">
        <w:tc>
          <w:tcPr>
            <w:tcW w:w="875" w:type="pct"/>
            <w:shd w:val="clear" w:color="auto" w:fill="auto"/>
          </w:tcPr>
          <w:p w14:paraId="4E325530" w14:textId="03DA8FEF" w:rsidR="009A755E" w:rsidRPr="00781112" w:rsidRDefault="009A755E" w:rsidP="00A018D4">
            <w:pPr>
              <w:jc w:val="center"/>
              <w:rPr>
                <w:rFonts w:cs="Arial"/>
                <w:color w:val="000000" w:themeColor="text1"/>
                <w:szCs w:val="16"/>
              </w:rPr>
            </w:pPr>
          </w:p>
        </w:tc>
        <w:tc>
          <w:tcPr>
            <w:tcW w:w="1545" w:type="pct"/>
            <w:shd w:val="clear" w:color="auto" w:fill="auto"/>
          </w:tcPr>
          <w:p w14:paraId="7BFB0081" w14:textId="12B35F6B" w:rsidR="009A755E" w:rsidRPr="00781112" w:rsidRDefault="009A755E">
            <w:pPr>
              <w:jc w:val="center"/>
              <w:rPr>
                <w:rFonts w:cs="Arial"/>
                <w:noProof/>
                <w:color w:val="000000" w:themeColor="text1"/>
                <w:szCs w:val="16"/>
              </w:rPr>
            </w:pPr>
          </w:p>
        </w:tc>
        <w:tc>
          <w:tcPr>
            <w:tcW w:w="1271" w:type="pct"/>
            <w:shd w:val="clear" w:color="auto" w:fill="auto"/>
          </w:tcPr>
          <w:p w14:paraId="674F4E8B" w14:textId="257F6F9E" w:rsidR="009A755E" w:rsidRPr="00781112" w:rsidRDefault="009A755E">
            <w:pPr>
              <w:jc w:val="center"/>
              <w:rPr>
                <w:rFonts w:cs="Arial"/>
                <w:noProof/>
                <w:color w:val="000000" w:themeColor="text1"/>
                <w:szCs w:val="16"/>
              </w:rPr>
            </w:pPr>
          </w:p>
        </w:tc>
        <w:tc>
          <w:tcPr>
            <w:tcW w:w="1309" w:type="pct"/>
            <w:shd w:val="clear" w:color="auto" w:fill="auto"/>
          </w:tcPr>
          <w:p w14:paraId="68852A19" w14:textId="65403F00" w:rsidR="009A755E" w:rsidRPr="00781112" w:rsidRDefault="009A755E">
            <w:pPr>
              <w:jc w:val="center"/>
              <w:rPr>
                <w:rFonts w:cs="Arial"/>
                <w:noProof/>
                <w:color w:val="000000" w:themeColor="text1"/>
                <w:szCs w:val="16"/>
              </w:rPr>
            </w:pPr>
          </w:p>
        </w:tc>
      </w:tr>
    </w:tbl>
    <w:p w14:paraId="53A11FEB" w14:textId="6CFF8254" w:rsidR="004E2151" w:rsidRPr="00781112" w:rsidRDefault="009F64D5" w:rsidP="008645AD">
      <w:pPr>
        <w:pStyle w:val="Heading2"/>
      </w:pPr>
      <w:r w:rsidRPr="00781112">
        <w:t>10</w:t>
      </w:r>
      <w:r w:rsidR="00596F4D" w:rsidRPr="00781112">
        <w:t xml:space="preserve"> </w:t>
      </w:r>
      <w:r w:rsidRPr="00781112">
        <w:t xml:space="preserve">- </w:t>
      </w:r>
      <w:r w:rsidR="004E2151" w:rsidRPr="00781112">
        <w:t>Prior FFY Required Actions</w:t>
      </w:r>
    </w:p>
    <w:p w14:paraId="67525E19" w14:textId="2FAD1162" w:rsidR="004E2151" w:rsidRPr="00781112" w:rsidRDefault="002B7490" w:rsidP="004E2151">
      <w:pPr>
        <w:rPr>
          <w:rFonts w:cs="Arial"/>
          <w:color w:val="000000" w:themeColor="text1"/>
          <w:szCs w:val="16"/>
        </w:rPr>
      </w:pPr>
      <w:r w:rsidRPr="00781112">
        <w:rPr>
          <w:rFonts w:cs="Arial"/>
          <w:color w:val="000000" w:themeColor="text1"/>
          <w:szCs w:val="16"/>
        </w:rPr>
        <w:t>None</w:t>
      </w:r>
    </w:p>
    <w:p w14:paraId="7C7C5568" w14:textId="77777777" w:rsidR="009F69E7" w:rsidRPr="00781112" w:rsidRDefault="009F69E7" w:rsidP="004E2151">
      <w:pPr>
        <w:rPr>
          <w:rFonts w:cs="Arial"/>
          <w:color w:val="000000" w:themeColor="text1"/>
          <w:szCs w:val="16"/>
        </w:rPr>
      </w:pPr>
    </w:p>
    <w:p w14:paraId="7C3D22D6" w14:textId="3FC2A3F5" w:rsidR="004E2151" w:rsidRPr="00781112" w:rsidRDefault="004E2151" w:rsidP="004E2151">
      <w:pPr>
        <w:rPr>
          <w:rFonts w:cs="Arial"/>
          <w:color w:val="000000" w:themeColor="text1"/>
          <w:szCs w:val="16"/>
        </w:rPr>
      </w:pPr>
    </w:p>
    <w:p w14:paraId="024AE3FE" w14:textId="2137BFB6" w:rsidR="007F5071" w:rsidRPr="00781112" w:rsidRDefault="008B2598" w:rsidP="008645AD">
      <w:pPr>
        <w:pStyle w:val="Heading2"/>
      </w:pPr>
      <w:r w:rsidRPr="00781112">
        <w:t>10 - OSEP Response</w:t>
      </w:r>
    </w:p>
    <w:p w14:paraId="4384A342" w14:textId="2981C3D3" w:rsidR="00481536" w:rsidRPr="00781112" w:rsidRDefault="002B7490" w:rsidP="00212954">
      <w:pPr>
        <w:rPr>
          <w:rFonts w:cs="Arial"/>
          <w:color w:val="000000" w:themeColor="text1"/>
          <w:szCs w:val="16"/>
        </w:rPr>
      </w:pPr>
      <w:r w:rsidRPr="00781112">
        <w:rPr>
          <w:rFonts w:cs="Arial"/>
          <w:color w:val="000000" w:themeColor="text1"/>
          <w:szCs w:val="16"/>
        </w:rPr>
        <w:t>The State has revised the baseline for this indicator, using data from FFY 2020, and OSEP accepts that revision.</w:t>
      </w:r>
    </w:p>
    <w:p w14:paraId="36F60250" w14:textId="56BA36D9" w:rsidR="007F5071" w:rsidRPr="00781112" w:rsidRDefault="007C1BCF" w:rsidP="008645AD">
      <w:pPr>
        <w:pStyle w:val="Heading2"/>
      </w:pPr>
      <w:r w:rsidRPr="00781112">
        <w:t xml:space="preserve">10 - </w:t>
      </w:r>
      <w:r w:rsidR="007F5071" w:rsidRPr="00781112">
        <w:t>Required Actions</w:t>
      </w:r>
    </w:p>
    <w:p w14:paraId="12C0EBBF" w14:textId="69C4D7D0" w:rsidR="00481536" w:rsidRPr="00781112" w:rsidRDefault="00481536" w:rsidP="00212954">
      <w:pPr>
        <w:rPr>
          <w:rFonts w:cs="Arial"/>
          <w:color w:val="000000" w:themeColor="text1"/>
          <w:szCs w:val="16"/>
        </w:rPr>
      </w:pPr>
    </w:p>
    <w:p w14:paraId="2B0C5DE2"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F067DF" w14:textId="45BAD1B8" w:rsidR="00D03701" w:rsidRPr="00781112" w:rsidRDefault="00D03701" w:rsidP="000444E2">
      <w:pPr>
        <w:pStyle w:val="Heading1"/>
        <w:rPr>
          <w:color w:val="000000" w:themeColor="text1"/>
          <w:sz w:val="22"/>
        </w:rPr>
      </w:pPr>
      <w:r w:rsidRPr="00781112">
        <w:rPr>
          <w:color w:val="000000" w:themeColor="text1"/>
          <w:sz w:val="22"/>
        </w:rPr>
        <w:lastRenderedPageBreak/>
        <w:t>Indicator 11: Child Find</w:t>
      </w:r>
      <w:bookmarkEnd w:id="57"/>
      <w:bookmarkEnd w:id="58"/>
      <w:bookmarkEnd w:id="59"/>
    </w:p>
    <w:p w14:paraId="4F5D642D" w14:textId="77777777" w:rsidR="00E119B0" w:rsidRPr="00781112" w:rsidRDefault="00E119B0" w:rsidP="00A018D4">
      <w:pPr>
        <w:rPr>
          <w:color w:val="000000" w:themeColor="text1"/>
          <w:szCs w:val="20"/>
        </w:rPr>
      </w:pPr>
      <w:bookmarkStart w:id="60" w:name="_Toc384383353"/>
      <w:bookmarkStart w:id="61" w:name="_Toc392159321"/>
      <w:r w:rsidRPr="00781112">
        <w:rPr>
          <w:b/>
          <w:color w:val="000000" w:themeColor="text1"/>
          <w:sz w:val="20"/>
          <w:szCs w:val="20"/>
        </w:rPr>
        <w:t>Instructions and Measurement</w:t>
      </w:r>
    </w:p>
    <w:p w14:paraId="4ECD8CEF" w14:textId="094F874E" w:rsidR="001F3A65" w:rsidRPr="00781112" w:rsidRDefault="001F3A65" w:rsidP="00832807">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Child Find</w:t>
      </w:r>
    </w:p>
    <w:p w14:paraId="56D17CB3" w14:textId="77777777" w:rsidR="003356F1" w:rsidRPr="00781112" w:rsidRDefault="001F3A65" w:rsidP="00832807">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who were evaluated within 60 days of receiving parental consent for initial evaluation or, if the State establishes a timeframe within which the evaluation must be conducted, within that timeframe. </w:t>
      </w:r>
    </w:p>
    <w:p w14:paraId="3EA48C22" w14:textId="29F5D3F7" w:rsidR="001F3A65" w:rsidRPr="00781112" w:rsidRDefault="001F3A65" w:rsidP="00832807">
      <w:pPr>
        <w:rPr>
          <w:rFonts w:cs="Arial"/>
          <w:color w:val="000000" w:themeColor="text1"/>
          <w:szCs w:val="16"/>
        </w:rPr>
      </w:pPr>
      <w:r w:rsidRPr="00781112">
        <w:rPr>
          <w:rFonts w:cs="Arial"/>
          <w:color w:val="000000" w:themeColor="text1"/>
          <w:szCs w:val="16"/>
        </w:rPr>
        <w:t>(20 U.S.C. 1416(a)(3)(B))</w:t>
      </w:r>
    </w:p>
    <w:p w14:paraId="3DA9D44A" w14:textId="77777777" w:rsidR="003356F1" w:rsidRPr="00781112" w:rsidRDefault="003356F1" w:rsidP="004369B2">
      <w:pPr>
        <w:rPr>
          <w:color w:val="000000" w:themeColor="text1"/>
        </w:rPr>
      </w:pPr>
      <w:r w:rsidRPr="00781112">
        <w:rPr>
          <w:b/>
          <w:color w:val="000000" w:themeColor="text1"/>
        </w:rPr>
        <w:t>Data Source</w:t>
      </w:r>
    </w:p>
    <w:p w14:paraId="3741FEFD" w14:textId="2D50FC3E" w:rsidR="003356F1" w:rsidRPr="00781112" w:rsidRDefault="003356F1"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 and must be based on actual, not an average, number of days. Indicate if the State has established a timeline and, if so, what is the State’s timeline for initial evaluations.</w:t>
      </w:r>
    </w:p>
    <w:p w14:paraId="79DFFD28" w14:textId="77777777" w:rsidR="003356F1" w:rsidRPr="00781112" w:rsidRDefault="003356F1" w:rsidP="004369B2">
      <w:pPr>
        <w:rPr>
          <w:color w:val="000000" w:themeColor="text1"/>
        </w:rPr>
      </w:pPr>
      <w:r w:rsidRPr="00781112">
        <w:rPr>
          <w:b/>
          <w:color w:val="000000" w:themeColor="text1"/>
        </w:rPr>
        <w:t>Measurement</w:t>
      </w:r>
    </w:p>
    <w:p w14:paraId="6421FFFB" w14:textId="6BB4E0C2"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 of children for whom parental consent to evaluate was received.</w:t>
      </w:r>
    </w:p>
    <w:p w14:paraId="07661B9A" w14:textId="43097164"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 of children whose evaluations were completed within 60 days (or State-established timeline).</w:t>
      </w:r>
    </w:p>
    <w:p w14:paraId="733D8722" w14:textId="77777777" w:rsidR="003356F1" w:rsidRPr="00781112" w:rsidRDefault="003356F1" w:rsidP="006A01BD">
      <w:pPr>
        <w:spacing w:before="0" w:after="210"/>
        <w:ind w:left="72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Indicate the range of days beyond the timeline when the evaluation was completed and any reasons for the delays.</w:t>
      </w:r>
    </w:p>
    <w:p w14:paraId="1A76194B" w14:textId="382D2A54" w:rsidR="003356F1" w:rsidRPr="00781112" w:rsidRDefault="003356F1" w:rsidP="006A01BD">
      <w:pPr>
        <w:spacing w:before="0" w:after="210"/>
        <w:ind w:firstLine="720"/>
        <w:rPr>
          <w:rFonts w:eastAsia="Times New Roman" w:cs="Arial"/>
          <w:color w:val="000000" w:themeColor="text1"/>
          <w:szCs w:val="16"/>
        </w:rPr>
      </w:pPr>
      <w:r w:rsidRPr="00781112">
        <w:rPr>
          <w:rFonts w:eastAsia="Times New Roman" w:cs="Arial"/>
          <w:color w:val="000000" w:themeColor="text1"/>
          <w:szCs w:val="16"/>
        </w:rPr>
        <w:t>Percent = [(b) divided by (a)] times 100.</w:t>
      </w:r>
    </w:p>
    <w:p w14:paraId="5F28023C" w14:textId="77777777" w:rsidR="003356F1" w:rsidRPr="00781112" w:rsidRDefault="003356F1" w:rsidP="004369B2">
      <w:pPr>
        <w:rPr>
          <w:color w:val="000000" w:themeColor="text1"/>
        </w:rPr>
      </w:pPr>
      <w:r w:rsidRPr="00781112">
        <w:rPr>
          <w:b/>
          <w:color w:val="000000" w:themeColor="text1"/>
        </w:rPr>
        <w:t>Instructions</w:t>
      </w:r>
    </w:p>
    <w:p w14:paraId="3DD8C135" w14:textId="77777777" w:rsidR="003356F1" w:rsidRPr="00781112" w:rsidRDefault="003356F1"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3F78D968" w14:textId="77777777" w:rsidR="003356F1" w:rsidRPr="00781112" w:rsidRDefault="003356F1"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1A394BBE" w14:textId="77777777" w:rsidR="003356F1" w:rsidRPr="00781112" w:rsidRDefault="003356F1" w:rsidP="00286BDF">
      <w:pPr>
        <w:rPr>
          <w:rFonts w:cs="Arial"/>
          <w:color w:val="000000" w:themeColor="text1"/>
          <w:szCs w:val="16"/>
        </w:rPr>
      </w:pPr>
      <w:r w:rsidRPr="00781112">
        <w:rPr>
          <w:rFonts w:cs="Arial"/>
          <w:color w:val="000000" w:themeColor="text1"/>
          <w:szCs w:val="16"/>
        </w:rPr>
        <w:t>Note that under 34 CFR §300.301(d), the timeframe set for initial evaluation does not apply to a public agency if: (1) the parent of a child repeatedly fails or refuses to produce the child for the evaluation; or (2) a child enrolls in a school of another public agency after the timeframe for initial evaluations has begun, and prior to a determination by the child’s previous public agency as to whether the child is a child with a disability. States should not report these exceptions in either the numerator (b) or denominator (a). If the State-established timeframe provides for exceptions through State regulation or policy, describe cases falling within those exceptions and include in b.</w:t>
      </w:r>
    </w:p>
    <w:p w14:paraId="231B6D26" w14:textId="77777777" w:rsidR="003356F1" w:rsidRPr="00781112" w:rsidRDefault="003356F1" w:rsidP="00286BDF">
      <w:pPr>
        <w:rPr>
          <w:rFonts w:cs="Arial"/>
          <w:color w:val="000000" w:themeColor="text1"/>
          <w:szCs w:val="16"/>
        </w:rPr>
      </w:pPr>
      <w:r w:rsidRPr="00781112">
        <w:rPr>
          <w:rFonts w:cs="Arial"/>
          <w:color w:val="000000" w:themeColor="text1"/>
          <w:szCs w:val="16"/>
        </w:rPr>
        <w:t>Targets must be 100%.</w:t>
      </w:r>
    </w:p>
    <w:p w14:paraId="6E371C53" w14:textId="77777777" w:rsidR="003356F1" w:rsidRPr="00781112" w:rsidRDefault="003356F1"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53468DF8" w14:textId="458F1F28" w:rsidR="003356F1"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4CA3F78B" w14:textId="72C271DF" w:rsidR="00DB20BC" w:rsidRPr="00781112" w:rsidRDefault="00C22B92" w:rsidP="00123D76">
      <w:pPr>
        <w:pStyle w:val="Heading2"/>
      </w:pPr>
      <w:bookmarkStart w:id="62" w:name="_Toc384383354"/>
      <w:bookmarkStart w:id="63" w:name="_Toc392159322"/>
      <w:bookmarkEnd w:id="60"/>
      <w:bookmarkEnd w:id="61"/>
      <w:r w:rsidRPr="00781112">
        <w:t>11</w:t>
      </w:r>
      <w:r w:rsidR="00596F4D" w:rsidRPr="00781112">
        <w:t xml:space="preserve"> </w:t>
      </w:r>
      <w:r w:rsidRPr="00781112">
        <w:t xml:space="preserve">- </w:t>
      </w:r>
      <w:r w:rsidR="00DB20BC" w:rsidRPr="00781112">
        <w:t>Indicator Data</w:t>
      </w:r>
    </w:p>
    <w:p w14:paraId="7C465821" w14:textId="6E27EB07" w:rsidR="00B6413B" w:rsidRPr="00781112" w:rsidRDefault="00B6413B"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1BASELINEDATA"/>
      </w:tblPr>
      <w:tblGrid>
        <w:gridCol w:w="1797"/>
        <w:gridCol w:w="1798"/>
      </w:tblGrid>
      <w:tr w:rsidR="00126B45" w:rsidRPr="00781112" w14:paraId="1E9ECD4B" w14:textId="77777777" w:rsidTr="00123D76">
        <w:trPr>
          <w:trHeight w:val="311"/>
          <w:tblHeader/>
        </w:trPr>
        <w:tc>
          <w:tcPr>
            <w:tcW w:w="1797" w:type="dxa"/>
          </w:tcPr>
          <w:p w14:paraId="7AF55935" w14:textId="77777777" w:rsidR="00126B45" w:rsidRPr="00781112" w:rsidRDefault="00126B45" w:rsidP="00123D76">
            <w:pPr>
              <w:jc w:val="center"/>
              <w:rPr>
                <w:b/>
                <w:color w:val="000000" w:themeColor="text1"/>
              </w:rPr>
            </w:pPr>
            <w:r w:rsidRPr="00781112">
              <w:rPr>
                <w:rFonts w:cs="Arial"/>
                <w:b/>
                <w:color w:val="000000" w:themeColor="text1"/>
                <w:szCs w:val="16"/>
              </w:rPr>
              <w:t>Baseline Year</w:t>
            </w:r>
          </w:p>
        </w:tc>
        <w:tc>
          <w:tcPr>
            <w:tcW w:w="1798" w:type="dxa"/>
          </w:tcPr>
          <w:p w14:paraId="316C30F4" w14:textId="77777777" w:rsidR="00126B45" w:rsidRPr="00781112" w:rsidRDefault="00126B45" w:rsidP="00123D76">
            <w:pPr>
              <w:jc w:val="center"/>
              <w:rPr>
                <w:b/>
                <w:color w:val="000000" w:themeColor="text1"/>
              </w:rPr>
            </w:pPr>
            <w:r w:rsidRPr="00781112">
              <w:rPr>
                <w:b/>
                <w:color w:val="000000" w:themeColor="text1"/>
              </w:rPr>
              <w:t>Baseline Data</w:t>
            </w:r>
          </w:p>
        </w:tc>
      </w:tr>
      <w:tr w:rsidR="00126B45" w:rsidRPr="00781112" w14:paraId="1CE17451" w14:textId="77777777" w:rsidTr="00123D76">
        <w:trPr>
          <w:trHeight w:val="311"/>
        </w:trPr>
        <w:tc>
          <w:tcPr>
            <w:tcW w:w="1797" w:type="dxa"/>
            <w:vAlign w:val="center"/>
          </w:tcPr>
          <w:p w14:paraId="4D36891E" w14:textId="227D3313" w:rsidR="00126B45" w:rsidRPr="00781112" w:rsidRDefault="00126B45" w:rsidP="00123D76">
            <w:pPr>
              <w:jc w:val="center"/>
              <w:rPr>
                <w:bCs/>
                <w:color w:val="000000" w:themeColor="text1"/>
              </w:rPr>
            </w:pPr>
            <w:r w:rsidRPr="00781112">
              <w:rPr>
                <w:bCs/>
                <w:color w:val="000000" w:themeColor="text1"/>
              </w:rPr>
              <w:t>2005</w:t>
            </w:r>
          </w:p>
        </w:tc>
        <w:tc>
          <w:tcPr>
            <w:tcW w:w="1798" w:type="dxa"/>
            <w:vAlign w:val="center"/>
          </w:tcPr>
          <w:p w14:paraId="403719B1" w14:textId="522EF75C" w:rsidR="00126B45" w:rsidRPr="00781112" w:rsidRDefault="00126B45" w:rsidP="00123D76">
            <w:pPr>
              <w:jc w:val="center"/>
              <w:rPr>
                <w:bCs/>
                <w:color w:val="000000" w:themeColor="text1"/>
              </w:rPr>
            </w:pPr>
            <w:r w:rsidRPr="00781112">
              <w:rPr>
                <w:bCs/>
                <w:color w:val="000000" w:themeColor="text1"/>
              </w:rPr>
              <w:t>100.00%</w:t>
            </w:r>
          </w:p>
        </w:tc>
      </w:tr>
    </w:tbl>
    <w:p w14:paraId="0C706E5F" w14:textId="77777777" w:rsidR="00126B45" w:rsidRPr="00781112" w:rsidRDefault="00126B4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1HISTDATA"/>
      </w:tblPr>
      <w:tblGrid>
        <w:gridCol w:w="1798"/>
        <w:gridCol w:w="1798"/>
        <w:gridCol w:w="1798"/>
        <w:gridCol w:w="1798"/>
        <w:gridCol w:w="1798"/>
        <w:gridCol w:w="1800"/>
      </w:tblGrid>
      <w:tr w:rsidR="005C29F8" w:rsidRPr="00781112" w14:paraId="185735BC" w14:textId="77777777" w:rsidTr="005F2FF9">
        <w:trPr>
          <w:trHeight w:val="350"/>
        </w:trPr>
        <w:tc>
          <w:tcPr>
            <w:tcW w:w="833" w:type="pct"/>
            <w:tcBorders>
              <w:bottom w:val="single" w:sz="4" w:space="0" w:color="auto"/>
            </w:tcBorders>
            <w:shd w:val="clear" w:color="auto" w:fill="auto"/>
          </w:tcPr>
          <w:p w14:paraId="40BFC57F" w14:textId="77777777" w:rsidR="00B6413B" w:rsidRPr="00781112" w:rsidRDefault="00B6413B"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80872C1" w14:textId="09E6591B" w:rsidR="00B6413B" w:rsidRPr="00781112" w:rsidRDefault="002B7490" w:rsidP="00B6413B">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172712E2" w14:textId="17CB7B21" w:rsidR="00B6413B" w:rsidRPr="00781112" w:rsidRDefault="002B7490" w:rsidP="00B6413B">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510C277D" w14:textId="7361F007" w:rsidR="00B6413B"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5A53D9E0" w14:textId="2FECDD8F" w:rsidR="00B6413B"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5DDA3CB1" w14:textId="7CA07026" w:rsidR="00B6413B" w:rsidRPr="00781112" w:rsidRDefault="002B7490" w:rsidP="00B6413B">
            <w:pPr>
              <w:jc w:val="center"/>
              <w:rPr>
                <w:rFonts w:cs="Arial"/>
                <w:b/>
                <w:color w:val="000000" w:themeColor="text1"/>
                <w:szCs w:val="16"/>
              </w:rPr>
            </w:pPr>
            <w:r w:rsidRPr="00781112">
              <w:rPr>
                <w:rFonts w:cs="Arial"/>
                <w:b/>
                <w:color w:val="000000" w:themeColor="text1"/>
                <w:szCs w:val="16"/>
              </w:rPr>
              <w:t>2019</w:t>
            </w:r>
          </w:p>
        </w:tc>
      </w:tr>
      <w:tr w:rsidR="005C29F8" w:rsidRPr="00781112" w14:paraId="1D8C5E85" w14:textId="77777777" w:rsidTr="005F2FF9">
        <w:trPr>
          <w:trHeight w:val="357"/>
        </w:trPr>
        <w:tc>
          <w:tcPr>
            <w:tcW w:w="833" w:type="pct"/>
            <w:shd w:val="clear" w:color="auto" w:fill="auto"/>
          </w:tcPr>
          <w:p w14:paraId="64B52232" w14:textId="6E60704D" w:rsidR="00B6413B" w:rsidRPr="00781112" w:rsidRDefault="00B6413B" w:rsidP="00B6413B">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13EDBB26" w14:textId="03929D2F"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2315242" w14:textId="2AA4BC03"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592D8352" w14:textId="0CCD91D0"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213B65B" w14:textId="455FA06B"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0947AB89" w14:textId="009A0A22" w:rsidR="00B6413B" w:rsidRPr="00781112" w:rsidRDefault="00B16A26">
            <w:pPr>
              <w:jc w:val="center"/>
              <w:rPr>
                <w:rFonts w:cs="Arial"/>
                <w:color w:val="000000" w:themeColor="text1"/>
                <w:szCs w:val="16"/>
              </w:rPr>
            </w:pPr>
            <w:r w:rsidRPr="00781112">
              <w:rPr>
                <w:rFonts w:cs="Arial"/>
                <w:color w:val="000000" w:themeColor="text1"/>
                <w:szCs w:val="16"/>
              </w:rPr>
              <w:t>100%</w:t>
            </w:r>
          </w:p>
        </w:tc>
      </w:tr>
      <w:tr w:rsidR="005C29F8" w:rsidRPr="00781112" w14:paraId="034A91A9" w14:textId="77777777" w:rsidTr="005F2FF9">
        <w:trPr>
          <w:trHeight w:val="85"/>
        </w:trPr>
        <w:tc>
          <w:tcPr>
            <w:tcW w:w="833" w:type="pct"/>
            <w:shd w:val="clear" w:color="auto" w:fill="auto"/>
          </w:tcPr>
          <w:p w14:paraId="2D12CD30" w14:textId="77777777" w:rsidR="00B6413B" w:rsidRPr="00781112" w:rsidRDefault="00B6413B" w:rsidP="00B6413B">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45567F1B" w14:textId="15BD6387" w:rsidR="00B6413B" w:rsidRPr="00781112" w:rsidRDefault="002B7490" w:rsidP="00A018D4">
            <w:pPr>
              <w:jc w:val="center"/>
              <w:rPr>
                <w:rFonts w:cs="Arial"/>
                <w:color w:val="000000" w:themeColor="text1"/>
                <w:szCs w:val="16"/>
              </w:rPr>
            </w:pPr>
            <w:r w:rsidRPr="00781112">
              <w:rPr>
                <w:rFonts w:cs="Arial"/>
                <w:color w:val="000000" w:themeColor="text1"/>
                <w:szCs w:val="16"/>
              </w:rPr>
              <w:t>98.37%</w:t>
            </w:r>
          </w:p>
        </w:tc>
        <w:tc>
          <w:tcPr>
            <w:tcW w:w="833" w:type="pct"/>
            <w:shd w:val="clear" w:color="auto" w:fill="auto"/>
          </w:tcPr>
          <w:p w14:paraId="22571264" w14:textId="18DEE061" w:rsidR="00B6413B" w:rsidRPr="00781112" w:rsidRDefault="002B7490" w:rsidP="00A018D4">
            <w:pPr>
              <w:jc w:val="center"/>
              <w:rPr>
                <w:rFonts w:cs="Arial"/>
                <w:color w:val="000000" w:themeColor="text1"/>
                <w:szCs w:val="16"/>
              </w:rPr>
            </w:pPr>
            <w:r w:rsidRPr="00781112">
              <w:rPr>
                <w:rFonts w:cs="Arial"/>
                <w:color w:val="000000" w:themeColor="text1"/>
                <w:szCs w:val="16"/>
              </w:rPr>
              <w:t>98.69%</w:t>
            </w:r>
          </w:p>
        </w:tc>
        <w:tc>
          <w:tcPr>
            <w:tcW w:w="833" w:type="pct"/>
            <w:tcBorders>
              <w:bottom w:val="single" w:sz="4" w:space="0" w:color="auto"/>
            </w:tcBorders>
            <w:shd w:val="clear" w:color="auto" w:fill="auto"/>
            <w:vAlign w:val="center"/>
          </w:tcPr>
          <w:p w14:paraId="0169492B" w14:textId="35C25712" w:rsidR="00B6413B" w:rsidRPr="00781112" w:rsidRDefault="002B7490" w:rsidP="00A018D4">
            <w:pPr>
              <w:jc w:val="center"/>
              <w:rPr>
                <w:rFonts w:cs="Arial"/>
                <w:color w:val="000000" w:themeColor="text1"/>
                <w:szCs w:val="16"/>
              </w:rPr>
            </w:pPr>
            <w:r w:rsidRPr="00781112">
              <w:rPr>
                <w:rFonts w:cs="Arial"/>
                <w:color w:val="000000" w:themeColor="text1"/>
                <w:szCs w:val="16"/>
              </w:rPr>
              <w:t>98.59%</w:t>
            </w:r>
          </w:p>
        </w:tc>
        <w:tc>
          <w:tcPr>
            <w:tcW w:w="833" w:type="pct"/>
            <w:tcBorders>
              <w:bottom w:val="single" w:sz="4" w:space="0" w:color="auto"/>
            </w:tcBorders>
            <w:shd w:val="clear" w:color="auto" w:fill="auto"/>
            <w:vAlign w:val="center"/>
          </w:tcPr>
          <w:p w14:paraId="3F28AAFF" w14:textId="54CE0344" w:rsidR="00B6413B" w:rsidRPr="00781112" w:rsidRDefault="002B7490" w:rsidP="00A018D4">
            <w:pPr>
              <w:jc w:val="center"/>
              <w:rPr>
                <w:rFonts w:cs="Arial"/>
                <w:color w:val="000000" w:themeColor="text1"/>
                <w:szCs w:val="16"/>
              </w:rPr>
            </w:pPr>
            <w:r w:rsidRPr="00781112">
              <w:rPr>
                <w:rFonts w:cs="Arial"/>
                <w:color w:val="000000" w:themeColor="text1"/>
                <w:szCs w:val="16"/>
              </w:rPr>
              <w:t>99.13%</w:t>
            </w:r>
          </w:p>
        </w:tc>
        <w:tc>
          <w:tcPr>
            <w:tcW w:w="834" w:type="pct"/>
            <w:tcBorders>
              <w:bottom w:val="single" w:sz="4" w:space="0" w:color="auto"/>
            </w:tcBorders>
            <w:shd w:val="clear" w:color="auto" w:fill="auto"/>
            <w:vAlign w:val="center"/>
          </w:tcPr>
          <w:p w14:paraId="1634D135" w14:textId="4B1B8A56" w:rsidR="00B6413B" w:rsidRPr="00781112" w:rsidRDefault="002B7490" w:rsidP="00A018D4">
            <w:pPr>
              <w:jc w:val="center"/>
              <w:rPr>
                <w:rFonts w:cs="Arial"/>
                <w:color w:val="000000" w:themeColor="text1"/>
                <w:szCs w:val="16"/>
              </w:rPr>
            </w:pPr>
            <w:r w:rsidRPr="00781112">
              <w:rPr>
                <w:rFonts w:cs="Arial"/>
                <w:color w:val="000000" w:themeColor="text1"/>
                <w:szCs w:val="16"/>
              </w:rPr>
              <w:t>98.01%</w:t>
            </w:r>
          </w:p>
        </w:tc>
      </w:tr>
    </w:tbl>
    <w:p w14:paraId="4B68E2EB" w14:textId="77777777" w:rsidR="00DE2E22" w:rsidRPr="00781112" w:rsidRDefault="00DE2E22" w:rsidP="004369B2">
      <w:pPr>
        <w:rPr>
          <w:color w:val="000000" w:themeColor="text1"/>
        </w:rPr>
      </w:pPr>
    </w:p>
    <w:p w14:paraId="665BBDF2" w14:textId="3C595D9B" w:rsidR="007A3964" w:rsidRPr="00781112" w:rsidRDefault="007A3964" w:rsidP="004369B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TARGETS"/>
      </w:tblPr>
      <w:tblGrid>
        <w:gridCol w:w="679"/>
        <w:gridCol w:w="1591"/>
        <w:gridCol w:w="1704"/>
        <w:gridCol w:w="1704"/>
        <w:gridCol w:w="1704"/>
        <w:gridCol w:w="1704"/>
        <w:gridCol w:w="1704"/>
      </w:tblGrid>
      <w:tr w:rsidR="00487DD1" w:rsidRPr="00781112" w14:paraId="76DFECC2" w14:textId="07DDD47D" w:rsidTr="005F2FF9">
        <w:trPr>
          <w:trHeight w:val="460"/>
        </w:trPr>
        <w:tc>
          <w:tcPr>
            <w:tcW w:w="234" w:type="pct"/>
            <w:tcBorders>
              <w:bottom w:val="single" w:sz="4" w:space="0" w:color="auto"/>
            </w:tcBorders>
            <w:shd w:val="clear" w:color="auto" w:fill="auto"/>
          </w:tcPr>
          <w:p w14:paraId="6892E70C" w14:textId="77777777" w:rsidR="00487DD1" w:rsidRPr="00781112" w:rsidRDefault="00487DD1" w:rsidP="00487DD1">
            <w:pPr>
              <w:jc w:val="center"/>
              <w:rPr>
                <w:b/>
                <w:color w:val="000000" w:themeColor="text1"/>
              </w:rPr>
            </w:pPr>
            <w:r w:rsidRPr="00781112">
              <w:rPr>
                <w:b/>
                <w:color w:val="000000" w:themeColor="text1"/>
              </w:rPr>
              <w:t>FFY</w:t>
            </w:r>
          </w:p>
        </w:tc>
        <w:tc>
          <w:tcPr>
            <w:tcW w:w="751" w:type="pct"/>
            <w:shd w:val="clear" w:color="auto" w:fill="auto"/>
          </w:tcPr>
          <w:p w14:paraId="66B6940B" w14:textId="77777777" w:rsidR="00487DD1" w:rsidRPr="00781112" w:rsidRDefault="00487DD1" w:rsidP="00487DD1">
            <w:pPr>
              <w:jc w:val="center"/>
              <w:rPr>
                <w:b/>
                <w:color w:val="000000" w:themeColor="text1"/>
              </w:rPr>
            </w:pPr>
            <w:r w:rsidRPr="00781112">
              <w:rPr>
                <w:b/>
                <w:color w:val="000000" w:themeColor="text1"/>
              </w:rPr>
              <w:t>2020</w:t>
            </w:r>
          </w:p>
        </w:tc>
        <w:tc>
          <w:tcPr>
            <w:tcW w:w="803" w:type="pct"/>
          </w:tcPr>
          <w:p w14:paraId="642D6D44" w14:textId="2A5BD9E4" w:rsidR="00487DD1" w:rsidRPr="00781112" w:rsidRDefault="00487DD1" w:rsidP="00487DD1">
            <w:pPr>
              <w:jc w:val="center"/>
              <w:rPr>
                <w:b/>
                <w:color w:val="000000" w:themeColor="text1"/>
              </w:rPr>
            </w:pPr>
            <w:r w:rsidRPr="00781112">
              <w:rPr>
                <w:rFonts w:cs="Arial"/>
                <w:b/>
                <w:color w:val="000000" w:themeColor="text1"/>
                <w:szCs w:val="16"/>
              </w:rPr>
              <w:t>2021</w:t>
            </w:r>
          </w:p>
        </w:tc>
        <w:tc>
          <w:tcPr>
            <w:tcW w:w="803" w:type="pct"/>
          </w:tcPr>
          <w:p w14:paraId="3DC5C0D5" w14:textId="20C2B807" w:rsidR="00487DD1" w:rsidRPr="00781112" w:rsidRDefault="00487DD1" w:rsidP="00487DD1">
            <w:pPr>
              <w:jc w:val="center"/>
              <w:rPr>
                <w:b/>
                <w:color w:val="000000" w:themeColor="text1"/>
              </w:rPr>
            </w:pPr>
            <w:r w:rsidRPr="00781112">
              <w:rPr>
                <w:rFonts w:cs="Arial"/>
                <w:b/>
                <w:color w:val="000000" w:themeColor="text1"/>
                <w:szCs w:val="16"/>
              </w:rPr>
              <w:t>2022</w:t>
            </w:r>
          </w:p>
        </w:tc>
        <w:tc>
          <w:tcPr>
            <w:tcW w:w="803" w:type="pct"/>
          </w:tcPr>
          <w:p w14:paraId="66836E96" w14:textId="691AA0DC" w:rsidR="00487DD1" w:rsidRPr="00781112" w:rsidRDefault="00487DD1" w:rsidP="00487DD1">
            <w:pPr>
              <w:jc w:val="center"/>
              <w:rPr>
                <w:b/>
                <w:color w:val="000000" w:themeColor="text1"/>
              </w:rPr>
            </w:pPr>
            <w:r w:rsidRPr="00781112">
              <w:rPr>
                <w:rFonts w:cs="Arial"/>
                <w:b/>
                <w:color w:val="000000" w:themeColor="text1"/>
                <w:szCs w:val="16"/>
              </w:rPr>
              <w:t>2023</w:t>
            </w:r>
          </w:p>
        </w:tc>
        <w:tc>
          <w:tcPr>
            <w:tcW w:w="803" w:type="pct"/>
          </w:tcPr>
          <w:p w14:paraId="5B366E12" w14:textId="3D99FA3A" w:rsidR="00487DD1" w:rsidRPr="00781112" w:rsidRDefault="00487DD1" w:rsidP="00487DD1">
            <w:pPr>
              <w:jc w:val="center"/>
              <w:rPr>
                <w:b/>
                <w:color w:val="000000" w:themeColor="text1"/>
              </w:rPr>
            </w:pPr>
            <w:r w:rsidRPr="00781112">
              <w:rPr>
                <w:rFonts w:cs="Arial"/>
                <w:b/>
                <w:color w:val="000000" w:themeColor="text1"/>
                <w:szCs w:val="16"/>
              </w:rPr>
              <w:t>2024</w:t>
            </w:r>
          </w:p>
        </w:tc>
        <w:tc>
          <w:tcPr>
            <w:tcW w:w="803" w:type="pct"/>
          </w:tcPr>
          <w:p w14:paraId="522992DD" w14:textId="572168E6" w:rsidR="00487DD1" w:rsidRPr="00781112" w:rsidRDefault="00487DD1" w:rsidP="00487DD1">
            <w:pPr>
              <w:jc w:val="center"/>
              <w:rPr>
                <w:b/>
                <w:color w:val="000000" w:themeColor="text1"/>
              </w:rPr>
            </w:pPr>
            <w:r w:rsidRPr="00781112">
              <w:rPr>
                <w:rFonts w:cs="Arial"/>
                <w:b/>
                <w:color w:val="000000" w:themeColor="text1"/>
                <w:szCs w:val="16"/>
              </w:rPr>
              <w:t>2025</w:t>
            </w:r>
          </w:p>
        </w:tc>
      </w:tr>
      <w:tr w:rsidR="00487DD1" w:rsidRPr="00781112" w14:paraId="3EC10007" w14:textId="1FF3F876" w:rsidTr="005F2FF9">
        <w:trPr>
          <w:trHeight w:val="469"/>
        </w:trPr>
        <w:tc>
          <w:tcPr>
            <w:tcW w:w="234" w:type="pct"/>
            <w:shd w:val="clear" w:color="auto" w:fill="auto"/>
            <w:vAlign w:val="center"/>
          </w:tcPr>
          <w:p w14:paraId="078AD14E" w14:textId="77777777" w:rsidR="00487DD1" w:rsidRPr="00781112" w:rsidRDefault="00487DD1" w:rsidP="00487DD1">
            <w:pPr>
              <w:rPr>
                <w:rFonts w:cs="Arial"/>
                <w:color w:val="000000" w:themeColor="text1"/>
                <w:szCs w:val="16"/>
              </w:rPr>
            </w:pPr>
            <w:r w:rsidRPr="00781112">
              <w:rPr>
                <w:rFonts w:cs="Arial"/>
                <w:color w:val="000000" w:themeColor="text1"/>
                <w:szCs w:val="16"/>
              </w:rPr>
              <w:t xml:space="preserve">Target </w:t>
            </w:r>
          </w:p>
        </w:tc>
        <w:tc>
          <w:tcPr>
            <w:tcW w:w="751" w:type="pct"/>
            <w:shd w:val="clear" w:color="auto" w:fill="auto"/>
            <w:vAlign w:val="center"/>
          </w:tcPr>
          <w:p w14:paraId="738C5681" w14:textId="308364FD" w:rsidR="00487DD1" w:rsidRPr="00781112" w:rsidRDefault="00487DD1" w:rsidP="00487DD1">
            <w:pPr>
              <w:jc w:val="center"/>
              <w:rPr>
                <w:rFonts w:cs="Arial"/>
                <w:color w:val="000000" w:themeColor="text1"/>
                <w:szCs w:val="16"/>
              </w:rPr>
            </w:pPr>
            <w:r w:rsidRPr="00781112">
              <w:rPr>
                <w:rFonts w:cs="Arial"/>
                <w:color w:val="000000" w:themeColor="text1"/>
                <w:szCs w:val="16"/>
              </w:rPr>
              <w:t>100%</w:t>
            </w:r>
          </w:p>
        </w:tc>
        <w:tc>
          <w:tcPr>
            <w:tcW w:w="803" w:type="pct"/>
          </w:tcPr>
          <w:p w14:paraId="6D8F87FA" w14:textId="469699AF" w:rsidR="00487DD1" w:rsidRPr="00781112" w:rsidRDefault="00487DD1" w:rsidP="00487DD1">
            <w:pPr>
              <w:jc w:val="center"/>
              <w:rPr>
                <w:rFonts w:cs="Arial"/>
                <w:color w:val="000000" w:themeColor="text1"/>
                <w:szCs w:val="16"/>
              </w:rPr>
            </w:pPr>
            <w:r w:rsidRPr="00781112">
              <w:rPr>
                <w:color w:val="000000" w:themeColor="text1"/>
                <w:szCs w:val="16"/>
              </w:rPr>
              <w:t>100%</w:t>
            </w:r>
          </w:p>
        </w:tc>
        <w:tc>
          <w:tcPr>
            <w:tcW w:w="803" w:type="pct"/>
          </w:tcPr>
          <w:p w14:paraId="36607C1B" w14:textId="54CF66D1" w:rsidR="00487DD1" w:rsidRPr="00781112" w:rsidRDefault="00487DD1" w:rsidP="00487DD1">
            <w:pPr>
              <w:jc w:val="center"/>
              <w:rPr>
                <w:rFonts w:cs="Arial"/>
                <w:color w:val="000000" w:themeColor="text1"/>
                <w:szCs w:val="16"/>
              </w:rPr>
            </w:pPr>
            <w:r w:rsidRPr="00781112">
              <w:rPr>
                <w:color w:val="000000" w:themeColor="text1"/>
                <w:szCs w:val="16"/>
              </w:rPr>
              <w:t>100%</w:t>
            </w:r>
          </w:p>
        </w:tc>
        <w:tc>
          <w:tcPr>
            <w:tcW w:w="803" w:type="pct"/>
          </w:tcPr>
          <w:p w14:paraId="2E85DC12" w14:textId="59499407" w:rsidR="00487DD1" w:rsidRPr="00781112" w:rsidRDefault="00487DD1" w:rsidP="00487DD1">
            <w:pPr>
              <w:jc w:val="center"/>
              <w:rPr>
                <w:rFonts w:cs="Arial"/>
                <w:color w:val="000000" w:themeColor="text1"/>
                <w:szCs w:val="16"/>
              </w:rPr>
            </w:pPr>
            <w:r w:rsidRPr="00781112">
              <w:rPr>
                <w:color w:val="000000" w:themeColor="text1"/>
                <w:szCs w:val="16"/>
              </w:rPr>
              <w:t>100%</w:t>
            </w:r>
          </w:p>
        </w:tc>
        <w:tc>
          <w:tcPr>
            <w:tcW w:w="803" w:type="pct"/>
          </w:tcPr>
          <w:p w14:paraId="60586439" w14:textId="48E3304A" w:rsidR="00487DD1" w:rsidRPr="00781112" w:rsidRDefault="00487DD1" w:rsidP="00487DD1">
            <w:pPr>
              <w:jc w:val="center"/>
              <w:rPr>
                <w:rFonts w:cs="Arial"/>
                <w:color w:val="000000" w:themeColor="text1"/>
                <w:szCs w:val="16"/>
              </w:rPr>
            </w:pPr>
            <w:r w:rsidRPr="00781112">
              <w:rPr>
                <w:color w:val="000000" w:themeColor="text1"/>
                <w:szCs w:val="16"/>
              </w:rPr>
              <w:t>100%</w:t>
            </w:r>
          </w:p>
        </w:tc>
        <w:tc>
          <w:tcPr>
            <w:tcW w:w="803" w:type="pct"/>
          </w:tcPr>
          <w:p w14:paraId="3A09B5B3" w14:textId="439C3E47" w:rsidR="00487DD1" w:rsidRPr="00781112" w:rsidRDefault="00487DD1" w:rsidP="00487DD1">
            <w:pPr>
              <w:jc w:val="center"/>
              <w:rPr>
                <w:rFonts w:cs="Arial"/>
                <w:color w:val="000000" w:themeColor="text1"/>
                <w:szCs w:val="16"/>
              </w:rPr>
            </w:pPr>
            <w:r w:rsidRPr="00781112">
              <w:rPr>
                <w:color w:val="000000" w:themeColor="text1"/>
                <w:szCs w:val="16"/>
              </w:rPr>
              <w:t>100%</w:t>
            </w:r>
          </w:p>
        </w:tc>
      </w:tr>
    </w:tbl>
    <w:p w14:paraId="5CBD7BB2" w14:textId="77777777" w:rsidR="00DE2E22" w:rsidRPr="00781112" w:rsidRDefault="00DE2E22" w:rsidP="004369B2">
      <w:pPr>
        <w:rPr>
          <w:color w:val="000000" w:themeColor="text1"/>
        </w:rPr>
      </w:pPr>
    </w:p>
    <w:p w14:paraId="3FAEB3AB" w14:textId="1EAB0E8F" w:rsidR="00D03701" w:rsidRPr="00781112" w:rsidRDefault="00F6415A" w:rsidP="004369B2">
      <w:pPr>
        <w:rPr>
          <w:color w:val="000000" w:themeColor="text1"/>
        </w:rPr>
      </w:pPr>
      <w:r w:rsidRPr="00781112">
        <w:rPr>
          <w:b/>
          <w:color w:val="000000" w:themeColor="text1"/>
        </w:rPr>
        <w:t>FFY 2020 SPP/APR Data</w:t>
      </w:r>
      <w:bookmarkEnd w:id="62"/>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CFFYAPRDATA"/>
      </w:tblPr>
      <w:tblGrid>
        <w:gridCol w:w="1462"/>
        <w:gridCol w:w="1363"/>
        <w:gridCol w:w="1407"/>
        <w:gridCol w:w="2123"/>
        <w:gridCol w:w="1265"/>
        <w:gridCol w:w="1612"/>
        <w:gridCol w:w="1558"/>
      </w:tblGrid>
      <w:tr w:rsidR="005C29F8" w:rsidRPr="00781112" w14:paraId="4D51CA61" w14:textId="77777777" w:rsidTr="008227D4">
        <w:trPr>
          <w:trHeight w:val="357"/>
          <w:tblHeader/>
        </w:trPr>
        <w:tc>
          <w:tcPr>
            <w:tcW w:w="677" w:type="pct"/>
            <w:shd w:val="clear" w:color="auto" w:fill="auto"/>
            <w:vAlign w:val="bottom"/>
          </w:tcPr>
          <w:p w14:paraId="2C2F9079" w14:textId="77777777" w:rsidR="003356F1" w:rsidRPr="00781112" w:rsidRDefault="003356F1" w:rsidP="00681BA6">
            <w:pPr>
              <w:jc w:val="center"/>
              <w:rPr>
                <w:rFonts w:cs="Arial"/>
                <w:b/>
                <w:color w:val="000000" w:themeColor="text1"/>
                <w:szCs w:val="16"/>
              </w:rPr>
            </w:pPr>
            <w:r w:rsidRPr="00781112">
              <w:rPr>
                <w:rFonts w:cs="Arial"/>
                <w:b/>
                <w:color w:val="000000" w:themeColor="text1"/>
                <w:szCs w:val="16"/>
              </w:rPr>
              <w:lastRenderedPageBreak/>
              <w:t>(a) Number of children for whom parental consent to evaluate was received</w:t>
            </w:r>
          </w:p>
        </w:tc>
        <w:tc>
          <w:tcPr>
            <w:tcW w:w="631" w:type="pct"/>
            <w:shd w:val="clear" w:color="auto" w:fill="auto"/>
            <w:vAlign w:val="bottom"/>
          </w:tcPr>
          <w:p w14:paraId="37C63445" w14:textId="77777777" w:rsidR="003356F1" w:rsidRPr="00781112" w:rsidRDefault="003356F1" w:rsidP="00681BA6">
            <w:pPr>
              <w:jc w:val="center"/>
              <w:rPr>
                <w:rFonts w:cs="Arial"/>
                <w:b/>
                <w:color w:val="000000" w:themeColor="text1"/>
                <w:szCs w:val="16"/>
              </w:rPr>
            </w:pPr>
            <w:r w:rsidRPr="00781112">
              <w:rPr>
                <w:rFonts w:cs="Arial"/>
                <w:b/>
                <w:color w:val="000000" w:themeColor="text1"/>
                <w:szCs w:val="16"/>
              </w:rPr>
              <w:t>(b) Number of children whose evaluations were completed within 60 days (or State-established timeline)</w:t>
            </w:r>
          </w:p>
        </w:tc>
        <w:tc>
          <w:tcPr>
            <w:tcW w:w="652" w:type="pct"/>
            <w:shd w:val="clear" w:color="auto" w:fill="auto"/>
            <w:vAlign w:val="bottom"/>
          </w:tcPr>
          <w:p w14:paraId="0F3587FA" w14:textId="235A534D" w:rsidR="003356F1"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984" w:type="pct"/>
            <w:shd w:val="clear" w:color="auto" w:fill="auto"/>
            <w:vAlign w:val="bottom"/>
          </w:tcPr>
          <w:p w14:paraId="46349806" w14:textId="5B3A7229" w:rsidR="003356F1" w:rsidRPr="00781112" w:rsidRDefault="00F6415A" w:rsidP="00681BA6">
            <w:pPr>
              <w:jc w:val="center"/>
              <w:rPr>
                <w:rFonts w:cs="Arial"/>
                <w:b/>
                <w:color w:val="000000" w:themeColor="text1"/>
                <w:szCs w:val="16"/>
              </w:rPr>
            </w:pPr>
            <w:r w:rsidRPr="00781112">
              <w:rPr>
                <w:rFonts w:cs="Arial"/>
                <w:b/>
                <w:color w:val="000000" w:themeColor="text1"/>
                <w:szCs w:val="16"/>
              </w:rPr>
              <w:t>FFY 2020 Target</w:t>
            </w:r>
          </w:p>
        </w:tc>
        <w:tc>
          <w:tcPr>
            <w:tcW w:w="586" w:type="pct"/>
            <w:shd w:val="clear" w:color="auto" w:fill="auto"/>
            <w:vAlign w:val="bottom"/>
          </w:tcPr>
          <w:p w14:paraId="789B0350" w14:textId="6C3A69C8" w:rsidR="003356F1" w:rsidRPr="00781112" w:rsidRDefault="00F6415A" w:rsidP="00681BA6">
            <w:pPr>
              <w:jc w:val="center"/>
              <w:rPr>
                <w:rFonts w:cs="Arial"/>
                <w:b/>
                <w:color w:val="000000" w:themeColor="text1"/>
                <w:szCs w:val="16"/>
              </w:rPr>
            </w:pPr>
            <w:r w:rsidRPr="00781112">
              <w:rPr>
                <w:rFonts w:cs="Arial"/>
                <w:b/>
                <w:color w:val="000000" w:themeColor="text1"/>
                <w:szCs w:val="16"/>
              </w:rPr>
              <w:t>FFY 2020 Data</w:t>
            </w:r>
          </w:p>
        </w:tc>
        <w:tc>
          <w:tcPr>
            <w:tcW w:w="747" w:type="pct"/>
            <w:shd w:val="clear" w:color="auto" w:fill="auto"/>
            <w:vAlign w:val="bottom"/>
          </w:tcPr>
          <w:p w14:paraId="1F8A5D0B" w14:textId="1CA25A33" w:rsidR="003356F1" w:rsidRPr="00781112" w:rsidRDefault="003356F1" w:rsidP="00681BA6">
            <w:pPr>
              <w:jc w:val="center"/>
              <w:rPr>
                <w:rFonts w:cs="Arial"/>
                <w:b/>
                <w:color w:val="000000" w:themeColor="text1"/>
                <w:szCs w:val="16"/>
              </w:rPr>
            </w:pPr>
            <w:r w:rsidRPr="00781112">
              <w:rPr>
                <w:rFonts w:cs="Arial"/>
                <w:b/>
                <w:color w:val="000000" w:themeColor="text1"/>
                <w:szCs w:val="16"/>
              </w:rPr>
              <w:t>Status</w:t>
            </w:r>
          </w:p>
        </w:tc>
        <w:tc>
          <w:tcPr>
            <w:tcW w:w="722" w:type="pct"/>
            <w:shd w:val="clear" w:color="auto" w:fill="auto"/>
            <w:vAlign w:val="bottom"/>
          </w:tcPr>
          <w:p w14:paraId="072F67FA" w14:textId="0AF25FE9" w:rsidR="003356F1" w:rsidRPr="00781112" w:rsidRDefault="003356F1"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601FAE62" w14:textId="77777777" w:rsidTr="008227D4">
        <w:tblPrEx>
          <w:jc w:val="center"/>
        </w:tblPrEx>
        <w:trPr>
          <w:trHeight w:val="361"/>
          <w:jc w:val="center"/>
        </w:trPr>
        <w:tc>
          <w:tcPr>
            <w:tcW w:w="677" w:type="pct"/>
            <w:shd w:val="clear" w:color="auto" w:fill="auto"/>
            <w:vAlign w:val="center"/>
          </w:tcPr>
          <w:p w14:paraId="40E44618" w14:textId="45B3AEC4" w:rsidR="00227DE4" w:rsidRPr="00781112" w:rsidRDefault="002B7490" w:rsidP="004369B2">
            <w:pPr>
              <w:jc w:val="center"/>
              <w:rPr>
                <w:rFonts w:cs="Arial"/>
                <w:color w:val="000000" w:themeColor="text1"/>
                <w:szCs w:val="16"/>
              </w:rPr>
            </w:pPr>
            <w:r w:rsidRPr="00781112">
              <w:rPr>
                <w:rFonts w:cs="Arial"/>
                <w:color w:val="000000" w:themeColor="text1"/>
                <w:szCs w:val="16"/>
              </w:rPr>
              <w:t>15,193</w:t>
            </w:r>
          </w:p>
        </w:tc>
        <w:tc>
          <w:tcPr>
            <w:tcW w:w="631" w:type="pct"/>
            <w:shd w:val="clear" w:color="auto" w:fill="auto"/>
          </w:tcPr>
          <w:p w14:paraId="12D46373" w14:textId="70B5728E" w:rsidR="00227DE4" w:rsidRPr="00781112" w:rsidRDefault="002B7490" w:rsidP="004369B2">
            <w:pPr>
              <w:jc w:val="center"/>
              <w:rPr>
                <w:rFonts w:cs="Arial"/>
                <w:color w:val="000000" w:themeColor="text1"/>
                <w:szCs w:val="16"/>
              </w:rPr>
            </w:pPr>
            <w:r w:rsidRPr="00781112">
              <w:rPr>
                <w:rFonts w:cs="Arial"/>
                <w:color w:val="000000" w:themeColor="text1"/>
                <w:szCs w:val="16"/>
              </w:rPr>
              <w:t>13,609</w:t>
            </w:r>
          </w:p>
        </w:tc>
        <w:tc>
          <w:tcPr>
            <w:tcW w:w="652" w:type="pct"/>
            <w:shd w:val="clear" w:color="auto" w:fill="auto"/>
          </w:tcPr>
          <w:p w14:paraId="78F7DC6F" w14:textId="0C25E273" w:rsidR="00227DE4" w:rsidRPr="00781112" w:rsidRDefault="002B7490" w:rsidP="004369B2">
            <w:pPr>
              <w:jc w:val="center"/>
              <w:rPr>
                <w:rFonts w:cs="Arial"/>
                <w:color w:val="000000" w:themeColor="text1"/>
                <w:szCs w:val="16"/>
              </w:rPr>
            </w:pPr>
            <w:r w:rsidRPr="00781112">
              <w:rPr>
                <w:rFonts w:cs="Arial"/>
                <w:color w:val="000000" w:themeColor="text1"/>
                <w:szCs w:val="16"/>
              </w:rPr>
              <w:t>98.01%</w:t>
            </w:r>
          </w:p>
        </w:tc>
        <w:tc>
          <w:tcPr>
            <w:tcW w:w="984" w:type="pct"/>
            <w:shd w:val="clear" w:color="auto" w:fill="auto"/>
          </w:tcPr>
          <w:p w14:paraId="57D08E3A" w14:textId="02A6843C" w:rsidR="00227DE4"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86" w:type="pct"/>
            <w:shd w:val="clear" w:color="auto" w:fill="auto"/>
          </w:tcPr>
          <w:p w14:paraId="76ED234E" w14:textId="0761C4C5" w:rsidR="00227DE4" w:rsidRPr="00781112" w:rsidRDefault="002B7490" w:rsidP="004369B2">
            <w:pPr>
              <w:jc w:val="center"/>
              <w:rPr>
                <w:rFonts w:cs="Arial"/>
                <w:color w:val="000000" w:themeColor="text1"/>
                <w:szCs w:val="16"/>
              </w:rPr>
            </w:pPr>
            <w:r w:rsidRPr="00781112">
              <w:rPr>
                <w:rFonts w:cs="Arial"/>
                <w:color w:val="000000" w:themeColor="text1"/>
                <w:szCs w:val="16"/>
              </w:rPr>
              <w:t>89.57%</w:t>
            </w:r>
          </w:p>
        </w:tc>
        <w:tc>
          <w:tcPr>
            <w:tcW w:w="747" w:type="pct"/>
            <w:shd w:val="clear" w:color="auto" w:fill="auto"/>
          </w:tcPr>
          <w:p w14:paraId="0270582F" w14:textId="73E1CA33" w:rsidR="00227DE4"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22" w:type="pct"/>
            <w:shd w:val="clear" w:color="auto" w:fill="auto"/>
          </w:tcPr>
          <w:p w14:paraId="2AF3A578" w14:textId="64369F07" w:rsidR="00227DE4" w:rsidRPr="00781112" w:rsidRDefault="002B7490" w:rsidP="004369B2">
            <w:pPr>
              <w:jc w:val="center"/>
              <w:rPr>
                <w:rFonts w:cs="Arial"/>
                <w:color w:val="000000" w:themeColor="text1"/>
                <w:szCs w:val="16"/>
              </w:rPr>
            </w:pPr>
            <w:r w:rsidRPr="00781112">
              <w:rPr>
                <w:rFonts w:cs="Arial"/>
                <w:color w:val="000000" w:themeColor="text1"/>
                <w:szCs w:val="16"/>
              </w:rPr>
              <w:t>Slippage</w:t>
            </w:r>
          </w:p>
        </w:tc>
      </w:tr>
    </w:tbl>
    <w:p w14:paraId="5D46E0B7" w14:textId="17C9BC91" w:rsidR="00BC682D" w:rsidRPr="00781112" w:rsidRDefault="00481536" w:rsidP="00BC682D">
      <w:pPr>
        <w:rPr>
          <w:rFonts w:cs="Arial"/>
          <w:b/>
          <w:i/>
          <w:color w:val="000000" w:themeColor="text1"/>
          <w:szCs w:val="16"/>
        </w:rPr>
      </w:pPr>
      <w:r w:rsidRPr="00781112">
        <w:rPr>
          <w:rFonts w:cs="Arial"/>
          <w:b/>
          <w:color w:val="000000" w:themeColor="text1"/>
          <w:szCs w:val="16"/>
        </w:rPr>
        <w:t>Provide reasons for slippage</w:t>
      </w:r>
    </w:p>
    <w:p w14:paraId="1CA4022B" w14:textId="73E50EE0" w:rsidR="00481536" w:rsidRPr="00781112" w:rsidRDefault="002B7490" w:rsidP="007D435F">
      <w:pPr>
        <w:rPr>
          <w:rFonts w:cs="Arial"/>
          <w:color w:val="000000" w:themeColor="text1"/>
          <w:szCs w:val="16"/>
        </w:rPr>
      </w:pPr>
      <w:r w:rsidRPr="00781112">
        <w:rPr>
          <w:rFonts w:cs="Arial"/>
          <w:color w:val="000000" w:themeColor="text1"/>
          <w:szCs w:val="16"/>
        </w:rPr>
        <w:t xml:space="preserve">The primary reason for the 8.41% slippage in completing evaluations within the 60-day evaluation timeline was due to COVID 19 pandemic-which delayed LEAs from administering the necessary evaluation components due to school closures and staff shortages. </w:t>
      </w:r>
    </w:p>
    <w:p w14:paraId="00FCD0E7" w14:textId="5068539E" w:rsidR="00596F83" w:rsidRPr="00781112" w:rsidRDefault="00596F83" w:rsidP="007D435F">
      <w:pPr>
        <w:rPr>
          <w:rFonts w:cs="Arial"/>
          <w:b/>
          <w:color w:val="000000" w:themeColor="text1"/>
          <w:szCs w:val="16"/>
        </w:rPr>
      </w:pPr>
      <w:r w:rsidRPr="00781112">
        <w:rPr>
          <w:rFonts w:cs="Arial"/>
          <w:b/>
          <w:color w:val="000000" w:themeColor="text1"/>
          <w:szCs w:val="16"/>
        </w:rPr>
        <w:t>Number of children included in (a) but not included in (b)</w:t>
      </w:r>
    </w:p>
    <w:p w14:paraId="500E5C8C" w14:textId="708E8E06" w:rsidR="00596F83" w:rsidRPr="00781112" w:rsidRDefault="00596F83" w:rsidP="007D435F">
      <w:pPr>
        <w:rPr>
          <w:rFonts w:cs="Arial"/>
          <w:color w:val="000000" w:themeColor="text1"/>
          <w:szCs w:val="16"/>
        </w:rPr>
      </w:pPr>
      <w:r w:rsidRPr="00781112">
        <w:rPr>
          <w:rFonts w:cs="Arial"/>
          <w:color w:val="000000" w:themeColor="text1"/>
          <w:szCs w:val="16"/>
        </w:rPr>
        <w:t>1,584</w:t>
      </w:r>
    </w:p>
    <w:p w14:paraId="59300647" w14:textId="301BC4BA" w:rsidR="00E418E6" w:rsidRPr="00781112" w:rsidRDefault="00481536" w:rsidP="006A01BD">
      <w:pPr>
        <w:rPr>
          <w:b/>
          <w:color w:val="000000" w:themeColor="text1"/>
        </w:rPr>
      </w:pPr>
      <w:r w:rsidRPr="00781112">
        <w:rPr>
          <w:b/>
          <w:color w:val="000000" w:themeColor="text1"/>
        </w:rPr>
        <w:t>Account for children included in (a) but not included in (b). Indicate the range of days beyond the timeline when the evaluation was completed and any reasons for the delays.</w:t>
      </w:r>
    </w:p>
    <w:p w14:paraId="7FF7A4DA" w14:textId="602A3FE9" w:rsidR="00481536" w:rsidRPr="00781112" w:rsidRDefault="002B7490" w:rsidP="006A01BD">
      <w:pPr>
        <w:rPr>
          <w:color w:val="000000" w:themeColor="text1"/>
        </w:rPr>
      </w:pPr>
      <w:r w:rsidRPr="00781112">
        <w:rPr>
          <w:color w:val="000000" w:themeColor="text1"/>
        </w:rPr>
        <w:t>LDOE identified a total of 1584 children for whom parental consent was obtained, but from whom evaluations were not completed within the 60-day timeline. The range of days beyond the timeline is included below:</w:t>
      </w:r>
      <w:r w:rsidRPr="00781112">
        <w:rPr>
          <w:color w:val="000000" w:themeColor="text1"/>
        </w:rPr>
        <w:br/>
      </w:r>
      <w:r w:rsidRPr="00781112">
        <w:rPr>
          <w:color w:val="000000" w:themeColor="text1"/>
        </w:rPr>
        <w:br/>
        <w:t>(124)    1-15 days</w:t>
      </w:r>
      <w:r w:rsidRPr="00781112">
        <w:rPr>
          <w:color w:val="000000" w:themeColor="text1"/>
        </w:rPr>
        <w:br/>
        <w:t>(53)      16-30 days</w:t>
      </w:r>
      <w:r w:rsidRPr="00781112">
        <w:rPr>
          <w:color w:val="000000" w:themeColor="text1"/>
        </w:rPr>
        <w:br/>
        <w:t>(77)      31-45 days</w:t>
      </w:r>
      <w:r w:rsidRPr="00781112">
        <w:rPr>
          <w:color w:val="000000" w:themeColor="text1"/>
        </w:rPr>
        <w:br/>
        <w:t>(248)    46-60 days</w:t>
      </w:r>
      <w:r w:rsidRPr="00781112">
        <w:rPr>
          <w:color w:val="000000" w:themeColor="text1"/>
        </w:rPr>
        <w:br/>
        <w:t>(1082)  60+ days</w:t>
      </w:r>
      <w:r w:rsidRPr="00781112">
        <w:rPr>
          <w:color w:val="000000" w:themeColor="text1"/>
        </w:rPr>
        <w:br/>
      </w:r>
      <w:r w:rsidRPr="00781112">
        <w:rPr>
          <w:color w:val="000000" w:themeColor="text1"/>
        </w:rPr>
        <w:br/>
        <w:t>The majority of delayed evaluations were completed within 60+ days of the deadline. LEAs identified the following primary reasons for delay:</w:t>
      </w:r>
      <w:r w:rsidRPr="00781112">
        <w:rPr>
          <w:color w:val="000000" w:themeColor="text1"/>
        </w:rPr>
        <w:br/>
      </w:r>
      <w:r w:rsidRPr="00781112">
        <w:rPr>
          <w:color w:val="000000" w:themeColor="text1"/>
        </w:rPr>
        <w:br/>
        <w:t>-school closures</w:t>
      </w:r>
      <w:r w:rsidRPr="00781112">
        <w:rPr>
          <w:color w:val="000000" w:themeColor="text1"/>
        </w:rPr>
        <w:br/>
        <w:t>-staff shortages</w:t>
      </w:r>
      <w:r w:rsidRPr="00781112">
        <w:rPr>
          <w:color w:val="000000" w:themeColor="text1"/>
        </w:rPr>
        <w:br/>
        <w:t>-inaccurate data entry</w:t>
      </w:r>
      <w:r w:rsidRPr="00781112">
        <w:rPr>
          <w:color w:val="000000" w:themeColor="text1"/>
        </w:rPr>
        <w:br/>
        <w:t>-miscalculation of evaluation dates</w:t>
      </w:r>
      <w:r w:rsidRPr="00781112">
        <w:rPr>
          <w:color w:val="000000" w:themeColor="text1"/>
        </w:rPr>
        <w:br/>
        <w:t>-delayed reports of outside agencies</w:t>
      </w:r>
      <w:r w:rsidRPr="00781112">
        <w:rPr>
          <w:color w:val="000000" w:themeColor="text1"/>
        </w:rPr>
        <w:br/>
        <w:t>-delayed receipt of medical documents</w:t>
      </w:r>
    </w:p>
    <w:p w14:paraId="4FE2B83B" w14:textId="50CDAD1F" w:rsidR="00596F83" w:rsidRPr="00781112" w:rsidRDefault="00596F83" w:rsidP="00596F83">
      <w:pPr>
        <w:rPr>
          <w:rFonts w:cs="Arial"/>
          <w:b/>
          <w:color w:val="000000" w:themeColor="text1"/>
          <w:szCs w:val="16"/>
        </w:rPr>
      </w:pPr>
      <w:r w:rsidRPr="00781112">
        <w:rPr>
          <w:rFonts w:cs="Arial"/>
          <w:b/>
          <w:color w:val="000000" w:themeColor="text1"/>
          <w:szCs w:val="16"/>
        </w:rPr>
        <w:t>Indicate the evaluation timeline used:</w:t>
      </w:r>
    </w:p>
    <w:p w14:paraId="7D77618A" w14:textId="3A3B87A2" w:rsidR="00596F83" w:rsidRPr="00781112" w:rsidRDefault="00596F83" w:rsidP="004369B2">
      <w:pPr>
        <w:rPr>
          <w:rFonts w:cs="Arial"/>
          <w:color w:val="000000" w:themeColor="text1"/>
          <w:szCs w:val="16"/>
        </w:rPr>
      </w:pPr>
      <w:r w:rsidRPr="00781112">
        <w:rPr>
          <w:rFonts w:cs="Arial"/>
          <w:color w:val="000000" w:themeColor="text1"/>
          <w:szCs w:val="16"/>
        </w:rPr>
        <w:t>The State used the 60 day timeframe within which the evaluation must be conducted</w:t>
      </w:r>
    </w:p>
    <w:p w14:paraId="7B602C87" w14:textId="77777777" w:rsidR="00596F83" w:rsidRPr="00781112" w:rsidRDefault="00030B45">
      <w:pPr>
        <w:rPr>
          <w:b/>
          <w:color w:val="000000" w:themeColor="text1"/>
        </w:rPr>
      </w:pPr>
      <w:r w:rsidRPr="00781112">
        <w:rPr>
          <w:b/>
          <w:color w:val="000000" w:themeColor="text1"/>
        </w:rPr>
        <w:t xml:space="preserve">What is the source of the data provided for this indicator? </w:t>
      </w:r>
    </w:p>
    <w:p w14:paraId="6EC5182D" w14:textId="7DE4D103" w:rsidR="00030B45" w:rsidRPr="00781112" w:rsidRDefault="002B7490" w:rsidP="004369B2">
      <w:pPr>
        <w:rPr>
          <w:iCs/>
          <w:color w:val="000000" w:themeColor="text1"/>
        </w:rPr>
      </w:pPr>
      <w:r w:rsidRPr="00781112">
        <w:rPr>
          <w:iCs/>
          <w:color w:val="000000" w:themeColor="text1"/>
        </w:rPr>
        <w:t>State database that includes data for the entire reporting year</w:t>
      </w:r>
    </w:p>
    <w:p w14:paraId="5C41E868" w14:textId="77777777" w:rsidR="00030B45" w:rsidRPr="00781112" w:rsidRDefault="00030B45"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41D2EA17" w14:textId="243E2564" w:rsidR="00326C0B" w:rsidRPr="00781112" w:rsidRDefault="002B7490" w:rsidP="00030B45">
      <w:pPr>
        <w:rPr>
          <w:rFonts w:cs="Arial"/>
          <w:color w:val="000000" w:themeColor="text1"/>
          <w:szCs w:val="16"/>
        </w:rPr>
      </w:pPr>
      <w:r w:rsidRPr="00781112">
        <w:rPr>
          <w:rFonts w:cs="Arial"/>
          <w:color w:val="000000" w:themeColor="text1"/>
          <w:szCs w:val="16"/>
        </w:rPr>
        <w:t>The FFY 2020 Indicator 11 data was extracted from Louisiana's Special Education Reporting (SER) System. Evaluation timelines begin when the LEA receives a signed Parental Consent-to-Evaluate form. SER has a series of system checks that aid in ensuring data accuracy, including a Business Day calendar that may be generated for calculations of 45 and 60-day intervals. Data must pass electronic system edits and comparison reports before new data are stored.</w:t>
      </w:r>
      <w:r w:rsidRPr="00781112">
        <w:rPr>
          <w:rFonts w:cs="Arial"/>
          <w:color w:val="000000" w:themeColor="text1"/>
          <w:szCs w:val="16"/>
        </w:rPr>
        <w:br/>
      </w:r>
      <w:r w:rsidRPr="00781112">
        <w:rPr>
          <w:rFonts w:cs="Arial"/>
          <w:color w:val="000000" w:themeColor="text1"/>
          <w:szCs w:val="16"/>
        </w:rPr>
        <w:br/>
        <w:t>LDOE uses a standard process for data collection, determination of non-compliance, and issuance of findings:</w:t>
      </w:r>
      <w:r w:rsidRPr="00781112">
        <w:rPr>
          <w:rFonts w:cs="Arial"/>
          <w:color w:val="000000" w:themeColor="text1"/>
          <w:szCs w:val="16"/>
        </w:rPr>
        <w:br/>
      </w:r>
      <w:r w:rsidRPr="00781112">
        <w:rPr>
          <w:rFonts w:cs="Arial"/>
          <w:color w:val="000000" w:themeColor="text1"/>
          <w:szCs w:val="16"/>
        </w:rPr>
        <w:br/>
        <w:t>1. LDOE gathers data from SER after the end of the 2020-2021 school year.</w:t>
      </w:r>
      <w:r w:rsidRPr="00781112">
        <w:rPr>
          <w:rFonts w:cs="Arial"/>
          <w:color w:val="000000" w:themeColor="text1"/>
          <w:szCs w:val="16"/>
        </w:rPr>
        <w:br/>
      </w:r>
      <w:r w:rsidRPr="00781112">
        <w:rPr>
          <w:rFonts w:cs="Arial"/>
          <w:color w:val="000000" w:themeColor="text1"/>
          <w:szCs w:val="16"/>
        </w:rPr>
        <w:br/>
        <w:t>2. LDOE identifies LEAs who appear noncompliant and offers them an opportunity to clarify their data or provide allowable exceptions.</w:t>
      </w:r>
      <w:r w:rsidRPr="00781112">
        <w:rPr>
          <w:rFonts w:cs="Arial"/>
          <w:color w:val="000000" w:themeColor="text1"/>
          <w:szCs w:val="16"/>
        </w:rPr>
        <w:br/>
      </w:r>
      <w:r w:rsidRPr="00781112">
        <w:rPr>
          <w:rFonts w:cs="Arial"/>
          <w:color w:val="000000" w:themeColor="text1"/>
          <w:szCs w:val="16"/>
        </w:rPr>
        <w:br/>
        <w:t>3. LDOE identifies LEAs with cases of non-compliance.</w:t>
      </w:r>
      <w:r w:rsidRPr="00781112">
        <w:rPr>
          <w:rFonts w:cs="Arial"/>
          <w:color w:val="000000" w:themeColor="text1"/>
          <w:szCs w:val="16"/>
        </w:rPr>
        <w:br/>
      </w:r>
      <w:r w:rsidRPr="00781112">
        <w:rPr>
          <w:rFonts w:cs="Arial"/>
          <w:color w:val="000000" w:themeColor="text1"/>
          <w:szCs w:val="16"/>
        </w:rPr>
        <w:br/>
        <w:t>4. LDOE conducts outreach to LEA Special Education Directors, providing them with information on evaluations that exceeded the 60-day timelines in the absence of an approved extension.</w:t>
      </w:r>
      <w:r w:rsidRPr="00781112">
        <w:rPr>
          <w:rFonts w:cs="Arial"/>
          <w:color w:val="000000" w:themeColor="text1"/>
          <w:szCs w:val="16"/>
        </w:rPr>
        <w:br/>
      </w:r>
      <w:r w:rsidRPr="00781112">
        <w:rPr>
          <w:rFonts w:cs="Arial"/>
          <w:color w:val="000000" w:themeColor="text1"/>
          <w:szCs w:val="16"/>
        </w:rPr>
        <w:br/>
        <w:t>5. LEAs that were identified as non-compliant submit a plan of action that indicates the reason for the non-compliance, a description of what could have been done to keep the evaluation compliant, a list of actions taken to ensure non-compliance will not be repeated, and the personnel responsible for implementing the plan of action.</w:t>
      </w:r>
      <w:r w:rsidRPr="00781112">
        <w:rPr>
          <w:rFonts w:cs="Arial"/>
          <w:color w:val="000000" w:themeColor="text1"/>
          <w:szCs w:val="16"/>
        </w:rPr>
        <w:br/>
      </w:r>
      <w:r w:rsidRPr="00781112">
        <w:rPr>
          <w:rFonts w:cs="Arial"/>
          <w:color w:val="000000" w:themeColor="text1"/>
          <w:szCs w:val="16"/>
        </w:rPr>
        <w:br/>
        <w:t>6. LEAs are required to correct issues of noncompliance as soon as possible, but in no case longer than one year after noncompliance is identified.</w:t>
      </w:r>
      <w:r w:rsidRPr="00781112">
        <w:rPr>
          <w:rFonts w:cs="Arial"/>
          <w:color w:val="000000" w:themeColor="text1"/>
          <w:szCs w:val="16"/>
        </w:rPr>
        <w:br/>
      </w:r>
      <w:r w:rsidRPr="00781112">
        <w:rPr>
          <w:rFonts w:cs="Arial"/>
          <w:color w:val="000000" w:themeColor="text1"/>
          <w:szCs w:val="16"/>
        </w:rPr>
        <w:br/>
        <w:t>7. In order to satisfy the second prong of OSEP Memo 09-02, compliance reports are reviewed quarterly. Correction of non-compliance is achieved when the LEA reaches 100% compliance in timely evaluations in any given quarter of the following year.</w:t>
      </w:r>
    </w:p>
    <w:p w14:paraId="4F981BFF" w14:textId="77777777" w:rsidR="00C86164" w:rsidRPr="00781112" w:rsidRDefault="00C86164" w:rsidP="00C86164">
      <w:pPr>
        <w:rPr>
          <w:rFonts w:cs="Arial"/>
          <w:b/>
          <w:color w:val="000000" w:themeColor="text1"/>
          <w:szCs w:val="16"/>
        </w:rPr>
      </w:pPr>
      <w:bookmarkStart w:id="64" w:name="_Toc381956339"/>
      <w:bookmarkStart w:id="65" w:name="_Toc384383357"/>
      <w:bookmarkStart w:id="66" w:name="_Toc392159325"/>
      <w:r w:rsidRPr="00781112">
        <w:rPr>
          <w:rFonts w:cs="Arial"/>
          <w:b/>
          <w:color w:val="000000" w:themeColor="text1"/>
          <w:szCs w:val="16"/>
        </w:rPr>
        <w:t>Provide additional information about this indicator (optional)</w:t>
      </w:r>
    </w:p>
    <w:p w14:paraId="4D7330D9" w14:textId="5E39C58C" w:rsidR="00326C0B" w:rsidRPr="00781112" w:rsidRDefault="00326C0B" w:rsidP="007D435F">
      <w:pPr>
        <w:rPr>
          <w:rFonts w:cs="Arial"/>
          <w:color w:val="000000" w:themeColor="text1"/>
          <w:szCs w:val="16"/>
        </w:rPr>
      </w:pPr>
    </w:p>
    <w:p w14:paraId="53B75C36" w14:textId="77777777" w:rsidR="00DE2E22" w:rsidRPr="00781112" w:rsidRDefault="00DE2E22" w:rsidP="004369B2">
      <w:pPr>
        <w:rPr>
          <w:color w:val="000000" w:themeColor="text1"/>
        </w:rPr>
      </w:pPr>
    </w:p>
    <w:p w14:paraId="3221D503" w14:textId="17F90429"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11PFFYNCFINDINGS"/>
      </w:tblPr>
      <w:tblGrid>
        <w:gridCol w:w="2650"/>
        <w:gridCol w:w="2780"/>
        <w:gridCol w:w="2656"/>
        <w:gridCol w:w="2704"/>
      </w:tblGrid>
      <w:tr w:rsidR="005C29F8" w:rsidRPr="00781112" w14:paraId="19F31341" w14:textId="77777777" w:rsidTr="008227D4">
        <w:trPr>
          <w:trHeight w:val="389"/>
          <w:tblHeader/>
        </w:trPr>
        <w:tc>
          <w:tcPr>
            <w:tcW w:w="1228" w:type="pct"/>
            <w:shd w:val="clear" w:color="auto" w:fill="auto"/>
            <w:vAlign w:val="bottom"/>
          </w:tcPr>
          <w:p w14:paraId="56F59E5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lastRenderedPageBreak/>
              <w:t>Findings of Noncompliance Identified</w:t>
            </w:r>
          </w:p>
        </w:tc>
        <w:tc>
          <w:tcPr>
            <w:tcW w:w="1288" w:type="pct"/>
            <w:shd w:val="clear" w:color="auto" w:fill="auto"/>
            <w:vAlign w:val="bottom"/>
          </w:tcPr>
          <w:p w14:paraId="27C8700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4F7EC97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E04671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A7D6F00" w14:textId="77777777" w:rsidTr="008227D4">
        <w:tc>
          <w:tcPr>
            <w:tcW w:w="1228" w:type="pct"/>
            <w:shd w:val="clear" w:color="auto" w:fill="auto"/>
          </w:tcPr>
          <w:p w14:paraId="1D3665CE" w14:textId="31AA2004" w:rsidR="009A755E" w:rsidRPr="00781112" w:rsidRDefault="002B7490" w:rsidP="00A018D4">
            <w:pPr>
              <w:jc w:val="center"/>
              <w:rPr>
                <w:rFonts w:cs="Arial"/>
                <w:color w:val="000000" w:themeColor="text1"/>
                <w:szCs w:val="16"/>
              </w:rPr>
            </w:pPr>
            <w:r w:rsidRPr="00781112">
              <w:rPr>
                <w:rFonts w:cs="Arial"/>
                <w:color w:val="000000" w:themeColor="text1"/>
                <w:szCs w:val="16"/>
              </w:rPr>
              <w:t>247</w:t>
            </w:r>
          </w:p>
        </w:tc>
        <w:tc>
          <w:tcPr>
            <w:tcW w:w="1288" w:type="pct"/>
            <w:shd w:val="clear" w:color="auto" w:fill="auto"/>
          </w:tcPr>
          <w:p w14:paraId="4AEC445C" w14:textId="6396B491" w:rsidR="009A755E" w:rsidRPr="00781112" w:rsidRDefault="002B7490" w:rsidP="00A018D4">
            <w:pPr>
              <w:jc w:val="center"/>
              <w:rPr>
                <w:rFonts w:cs="Arial"/>
                <w:color w:val="000000" w:themeColor="text1"/>
                <w:szCs w:val="16"/>
              </w:rPr>
            </w:pPr>
            <w:r w:rsidRPr="00781112">
              <w:rPr>
                <w:rFonts w:cs="Arial"/>
                <w:color w:val="000000" w:themeColor="text1"/>
                <w:szCs w:val="16"/>
              </w:rPr>
              <w:t>247</w:t>
            </w:r>
          </w:p>
        </w:tc>
        <w:tc>
          <w:tcPr>
            <w:tcW w:w="1231" w:type="pct"/>
            <w:shd w:val="clear" w:color="auto" w:fill="auto"/>
          </w:tcPr>
          <w:p w14:paraId="650763EC" w14:textId="5B71F402"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67914127" w14:textId="0865F5F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9183A2D" w14:textId="47215EF4" w:rsidR="009A755E" w:rsidRPr="00781112" w:rsidRDefault="00F6415A" w:rsidP="004369B2">
      <w:pPr>
        <w:rPr>
          <w:color w:val="000000" w:themeColor="text1"/>
        </w:rPr>
      </w:pPr>
      <w:r w:rsidRPr="00781112">
        <w:rPr>
          <w:b/>
          <w:color w:val="000000" w:themeColor="text1"/>
        </w:rPr>
        <w:t>FFY 2019 Findings of Noncompliance Verified as Corrected</w:t>
      </w:r>
    </w:p>
    <w:p w14:paraId="417CAEC2" w14:textId="31AFF48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61965D8E" w14:textId="42E8D356" w:rsidR="00326C0B" w:rsidRPr="00781112" w:rsidRDefault="002B7490" w:rsidP="009A755E">
      <w:pPr>
        <w:rPr>
          <w:rFonts w:cs="Arial"/>
          <w:color w:val="000000" w:themeColor="text1"/>
          <w:szCs w:val="16"/>
        </w:rPr>
      </w:pPr>
      <w:r w:rsidRPr="00781112">
        <w:rPr>
          <w:rFonts w:cs="Arial"/>
          <w:color w:val="000000" w:themeColor="text1"/>
          <w:szCs w:val="16"/>
        </w:rPr>
        <w:t>In FFY 2019, LDOE reported findings of noncompliance related to Indicator 11. LEAs that have findings of noncompliance are placed in a Corrective Action Plan (CAP). The CAP includes activities that target the areas of noncompliance listed on the monitoring report. For each CAP activity, the LEA must submit a deliverable according to the timeline prescribed on the CAP. Each CAP activity is reviewed and feedback is given to the LEA as to whether or not the deliverable is sufficient to address the activity on the CAP. If the deliverable is not sufficient, the LEA is notified and they are directed to resubmit with the correct information. If the information submitted is sufficient, then the LEA is notified that the activity is complete for that particular activity and timeline. Once the LEA has been found to sufficiently have completed all activities on the CAP by the LDOE reviewer, the LEA is sent an email closing out the CAP. The LEA must also go through a follow-up monitoring (desk review or onsite) where new data is reviewed to see if systemic changes of compliance have occurred from prior monitoring.</w:t>
      </w:r>
    </w:p>
    <w:p w14:paraId="51512AE8" w14:textId="4644521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1D2403D9" w14:textId="1E0996F1" w:rsidR="00326C0B" w:rsidRPr="00781112" w:rsidRDefault="002B7490" w:rsidP="009A755E">
      <w:pPr>
        <w:rPr>
          <w:rFonts w:cs="Arial"/>
          <w:color w:val="000000" w:themeColor="text1"/>
          <w:szCs w:val="16"/>
        </w:rPr>
      </w:pPr>
      <w:r w:rsidRPr="00781112">
        <w:rPr>
          <w:rFonts w:cs="Arial"/>
          <w:color w:val="000000" w:themeColor="text1"/>
          <w:szCs w:val="16"/>
        </w:rPr>
        <w:t>LDOE verified that each individual case of non-compliance was corrected by requiring LEAs to submit and implement a CAP, which includes activities to ensure compliance, correction, and identification of practical methods to avoid slippage regarding evaluation timelines in the future. The State verified the completion of corrective plan of action activities by conducting outreach to the LEAs. To satisfy the second prong of OSEP Memo 09-02, LDOE runs SER evaluation compliance reports that are reviewed quarterly. Correction of non-compliance is achieved when the LEA reaches 100% compliance in timely evaluations in any given quarter of the following year.</w:t>
      </w:r>
    </w:p>
    <w:p w14:paraId="47B6C111" w14:textId="77777777" w:rsidR="008227D4" w:rsidRPr="00781112" w:rsidRDefault="008227D4" w:rsidP="004369B2">
      <w:pPr>
        <w:rPr>
          <w:color w:val="000000" w:themeColor="text1"/>
        </w:rPr>
      </w:pPr>
    </w:p>
    <w:p w14:paraId="3D219E0E" w14:textId="55B8A3BE"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11PPFFYNCFINDINGS"/>
      </w:tblPr>
      <w:tblGrid>
        <w:gridCol w:w="2132"/>
        <w:gridCol w:w="3153"/>
        <w:gridCol w:w="2842"/>
        <w:gridCol w:w="2663"/>
      </w:tblGrid>
      <w:tr w:rsidR="005C29F8" w:rsidRPr="00781112" w14:paraId="24C0CC8B" w14:textId="77777777" w:rsidTr="003968A6">
        <w:trPr>
          <w:tblHeader/>
        </w:trPr>
        <w:tc>
          <w:tcPr>
            <w:tcW w:w="988" w:type="pct"/>
            <w:shd w:val="clear" w:color="auto" w:fill="auto"/>
            <w:vAlign w:val="bottom"/>
          </w:tcPr>
          <w:p w14:paraId="4DB94990" w14:textId="41E221B0"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58480848" w14:textId="276E84C5"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317" w:type="pct"/>
            <w:shd w:val="clear" w:color="auto" w:fill="auto"/>
            <w:vAlign w:val="bottom"/>
          </w:tcPr>
          <w:p w14:paraId="5E728C5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6B7FE6A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D9969AD" w14:textId="77777777" w:rsidTr="003968A6">
        <w:tc>
          <w:tcPr>
            <w:tcW w:w="988" w:type="pct"/>
            <w:shd w:val="clear" w:color="auto" w:fill="auto"/>
          </w:tcPr>
          <w:p w14:paraId="1373C0BF" w14:textId="5ED00762" w:rsidR="009A755E" w:rsidRPr="00781112" w:rsidRDefault="009A755E" w:rsidP="00A018D4">
            <w:pPr>
              <w:jc w:val="center"/>
              <w:rPr>
                <w:rFonts w:cs="Arial"/>
                <w:color w:val="000000" w:themeColor="text1"/>
                <w:szCs w:val="16"/>
              </w:rPr>
            </w:pPr>
          </w:p>
        </w:tc>
        <w:tc>
          <w:tcPr>
            <w:tcW w:w="1461" w:type="pct"/>
            <w:shd w:val="clear" w:color="auto" w:fill="auto"/>
          </w:tcPr>
          <w:p w14:paraId="5AB62777" w14:textId="29B5602C" w:rsidR="009A755E" w:rsidRPr="00781112" w:rsidRDefault="009A755E">
            <w:pPr>
              <w:jc w:val="center"/>
              <w:rPr>
                <w:rFonts w:cs="Arial"/>
                <w:noProof/>
                <w:color w:val="000000" w:themeColor="text1"/>
                <w:szCs w:val="16"/>
              </w:rPr>
            </w:pPr>
          </w:p>
        </w:tc>
        <w:tc>
          <w:tcPr>
            <w:tcW w:w="1317" w:type="pct"/>
            <w:shd w:val="clear" w:color="auto" w:fill="auto"/>
          </w:tcPr>
          <w:p w14:paraId="1914F665" w14:textId="53788CBE" w:rsidR="009A755E" w:rsidRPr="00781112" w:rsidRDefault="009A755E">
            <w:pPr>
              <w:jc w:val="center"/>
              <w:rPr>
                <w:rFonts w:cs="Arial"/>
                <w:noProof/>
                <w:color w:val="000000" w:themeColor="text1"/>
                <w:szCs w:val="16"/>
              </w:rPr>
            </w:pPr>
          </w:p>
        </w:tc>
        <w:tc>
          <w:tcPr>
            <w:tcW w:w="1234" w:type="pct"/>
            <w:shd w:val="clear" w:color="auto" w:fill="auto"/>
          </w:tcPr>
          <w:p w14:paraId="543D4553" w14:textId="411E0F5D" w:rsidR="009A755E" w:rsidRPr="00781112" w:rsidRDefault="009A755E">
            <w:pPr>
              <w:jc w:val="center"/>
              <w:rPr>
                <w:rFonts w:cs="Arial"/>
                <w:noProof/>
                <w:color w:val="000000" w:themeColor="text1"/>
                <w:szCs w:val="16"/>
              </w:rPr>
            </w:pPr>
          </w:p>
        </w:tc>
      </w:tr>
      <w:tr w:rsidR="005C29F8" w:rsidRPr="00781112" w14:paraId="1816F3D1" w14:textId="77777777" w:rsidTr="003968A6">
        <w:tc>
          <w:tcPr>
            <w:tcW w:w="988" w:type="pct"/>
            <w:shd w:val="clear" w:color="auto" w:fill="auto"/>
          </w:tcPr>
          <w:p w14:paraId="1177FA9A" w14:textId="73A2A90B" w:rsidR="009A755E" w:rsidRPr="00781112" w:rsidRDefault="009A755E" w:rsidP="00A018D4">
            <w:pPr>
              <w:jc w:val="center"/>
              <w:rPr>
                <w:rFonts w:cs="Arial"/>
                <w:color w:val="000000" w:themeColor="text1"/>
                <w:szCs w:val="16"/>
              </w:rPr>
            </w:pPr>
          </w:p>
        </w:tc>
        <w:tc>
          <w:tcPr>
            <w:tcW w:w="1461" w:type="pct"/>
            <w:shd w:val="clear" w:color="auto" w:fill="auto"/>
          </w:tcPr>
          <w:p w14:paraId="42D596E0" w14:textId="4BE898FD" w:rsidR="009A755E" w:rsidRPr="00781112" w:rsidRDefault="009A755E">
            <w:pPr>
              <w:jc w:val="center"/>
              <w:rPr>
                <w:rFonts w:cs="Arial"/>
                <w:noProof/>
                <w:color w:val="000000" w:themeColor="text1"/>
                <w:szCs w:val="16"/>
              </w:rPr>
            </w:pPr>
          </w:p>
        </w:tc>
        <w:tc>
          <w:tcPr>
            <w:tcW w:w="1317" w:type="pct"/>
            <w:shd w:val="clear" w:color="auto" w:fill="auto"/>
          </w:tcPr>
          <w:p w14:paraId="1709DA4E" w14:textId="03D6E40F" w:rsidR="009A755E" w:rsidRPr="00781112" w:rsidRDefault="009A755E">
            <w:pPr>
              <w:jc w:val="center"/>
              <w:rPr>
                <w:rFonts w:cs="Arial"/>
                <w:noProof/>
                <w:color w:val="000000" w:themeColor="text1"/>
                <w:szCs w:val="16"/>
              </w:rPr>
            </w:pPr>
          </w:p>
        </w:tc>
        <w:tc>
          <w:tcPr>
            <w:tcW w:w="1234" w:type="pct"/>
            <w:shd w:val="clear" w:color="auto" w:fill="auto"/>
          </w:tcPr>
          <w:p w14:paraId="7008AE63" w14:textId="0E87CC18" w:rsidR="009A755E" w:rsidRPr="00781112" w:rsidRDefault="009A755E">
            <w:pPr>
              <w:jc w:val="center"/>
              <w:rPr>
                <w:rFonts w:cs="Arial"/>
                <w:noProof/>
                <w:color w:val="000000" w:themeColor="text1"/>
                <w:szCs w:val="16"/>
              </w:rPr>
            </w:pPr>
          </w:p>
        </w:tc>
      </w:tr>
      <w:tr w:rsidR="005C29F8" w:rsidRPr="00781112" w14:paraId="6B4A8AF5" w14:textId="77777777" w:rsidTr="003968A6">
        <w:tc>
          <w:tcPr>
            <w:tcW w:w="988" w:type="pct"/>
            <w:shd w:val="clear" w:color="auto" w:fill="auto"/>
          </w:tcPr>
          <w:p w14:paraId="43946979" w14:textId="506054A6" w:rsidR="009A755E" w:rsidRPr="00781112" w:rsidRDefault="009A755E" w:rsidP="00A018D4">
            <w:pPr>
              <w:jc w:val="center"/>
              <w:rPr>
                <w:rFonts w:cs="Arial"/>
                <w:color w:val="000000" w:themeColor="text1"/>
                <w:szCs w:val="16"/>
              </w:rPr>
            </w:pPr>
          </w:p>
        </w:tc>
        <w:tc>
          <w:tcPr>
            <w:tcW w:w="1461" w:type="pct"/>
            <w:shd w:val="clear" w:color="auto" w:fill="auto"/>
          </w:tcPr>
          <w:p w14:paraId="2F9F2AEA" w14:textId="4F1403DB" w:rsidR="009A755E" w:rsidRPr="00781112" w:rsidRDefault="009A755E">
            <w:pPr>
              <w:jc w:val="center"/>
              <w:rPr>
                <w:rFonts w:cs="Arial"/>
                <w:noProof/>
                <w:color w:val="000000" w:themeColor="text1"/>
                <w:szCs w:val="16"/>
              </w:rPr>
            </w:pPr>
          </w:p>
        </w:tc>
        <w:tc>
          <w:tcPr>
            <w:tcW w:w="1317" w:type="pct"/>
            <w:shd w:val="clear" w:color="auto" w:fill="auto"/>
          </w:tcPr>
          <w:p w14:paraId="083E1253" w14:textId="465F1687" w:rsidR="009A755E" w:rsidRPr="00781112" w:rsidRDefault="009A755E">
            <w:pPr>
              <w:jc w:val="center"/>
              <w:rPr>
                <w:rFonts w:cs="Arial"/>
                <w:noProof/>
                <w:color w:val="000000" w:themeColor="text1"/>
                <w:szCs w:val="16"/>
              </w:rPr>
            </w:pPr>
          </w:p>
        </w:tc>
        <w:tc>
          <w:tcPr>
            <w:tcW w:w="1234" w:type="pct"/>
            <w:shd w:val="clear" w:color="auto" w:fill="auto"/>
          </w:tcPr>
          <w:p w14:paraId="5051C049" w14:textId="54F55515" w:rsidR="009A755E" w:rsidRPr="00781112" w:rsidRDefault="009A755E">
            <w:pPr>
              <w:jc w:val="center"/>
              <w:rPr>
                <w:rFonts w:cs="Arial"/>
                <w:noProof/>
                <w:color w:val="000000" w:themeColor="text1"/>
                <w:szCs w:val="16"/>
              </w:rPr>
            </w:pPr>
          </w:p>
        </w:tc>
      </w:tr>
    </w:tbl>
    <w:p w14:paraId="6AA9F004" w14:textId="407DFBC2" w:rsidR="004E2151" w:rsidRPr="00781112" w:rsidRDefault="00C22B92" w:rsidP="00123D76">
      <w:pPr>
        <w:pStyle w:val="Heading2"/>
      </w:pPr>
      <w:r w:rsidRPr="00781112">
        <w:t>11</w:t>
      </w:r>
      <w:r w:rsidR="004838A4" w:rsidRPr="00781112">
        <w:t xml:space="preserve"> </w:t>
      </w:r>
      <w:r w:rsidRPr="00781112">
        <w:t xml:space="preserve">- </w:t>
      </w:r>
      <w:r w:rsidR="004E2151" w:rsidRPr="00781112">
        <w:t>Prior FFY Required Actions</w:t>
      </w:r>
    </w:p>
    <w:p w14:paraId="1469B26E" w14:textId="5BCE6CA0" w:rsidR="004E2151"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LEA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2020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2019, although its FFY 2019 data reflect less than 100% compliance, provide an explanation of why the State did not identify any findings of noncompliance in FFY 2019.</w:t>
      </w:r>
    </w:p>
    <w:p w14:paraId="314020BE" w14:textId="77777777" w:rsidR="009F69E7" w:rsidRPr="00781112" w:rsidRDefault="009F69E7" w:rsidP="004E2151">
      <w:pPr>
        <w:rPr>
          <w:rFonts w:cs="Arial"/>
          <w:color w:val="000000" w:themeColor="text1"/>
          <w:szCs w:val="16"/>
        </w:rPr>
      </w:pPr>
    </w:p>
    <w:p w14:paraId="35EEEBCC" w14:textId="55E83DC0" w:rsidR="004E2151" w:rsidRPr="00781112" w:rsidRDefault="004E2151" w:rsidP="004369B2">
      <w:pPr>
        <w:rPr>
          <w:b/>
          <w:color w:val="000000" w:themeColor="text1"/>
        </w:rPr>
      </w:pPr>
      <w:r w:rsidRPr="00781112">
        <w:rPr>
          <w:b/>
          <w:color w:val="000000" w:themeColor="text1"/>
        </w:rPr>
        <w:t>Response to actions required in FFY 2019 SPP/APR</w:t>
      </w:r>
    </w:p>
    <w:p w14:paraId="29D8AFAD" w14:textId="6EBD882C" w:rsidR="004E2151" w:rsidRPr="00781112" w:rsidRDefault="004E2151" w:rsidP="004E2151">
      <w:pPr>
        <w:rPr>
          <w:rFonts w:cs="Arial"/>
          <w:color w:val="000000" w:themeColor="text1"/>
          <w:szCs w:val="16"/>
        </w:rPr>
      </w:pPr>
    </w:p>
    <w:p w14:paraId="1D3AFFE6" w14:textId="5250F151" w:rsidR="007F5071" w:rsidRPr="00781112" w:rsidRDefault="00C22B92" w:rsidP="00123D76">
      <w:pPr>
        <w:pStyle w:val="Heading2"/>
      </w:pPr>
      <w:r w:rsidRPr="00781112">
        <w:t>11 - OSEP Response</w:t>
      </w:r>
    </w:p>
    <w:p w14:paraId="2479DA6D" w14:textId="3DE51C13" w:rsidR="00326C0B" w:rsidRPr="00781112" w:rsidRDefault="002B7490" w:rsidP="00212954">
      <w:pPr>
        <w:rPr>
          <w:rFonts w:cs="Arial"/>
          <w:color w:val="000000" w:themeColor="text1"/>
          <w:szCs w:val="16"/>
        </w:rPr>
      </w:pPr>
      <w:r w:rsidRPr="00781112">
        <w:rPr>
          <w:rFonts w:cs="Arial"/>
          <w:color w:val="000000" w:themeColor="text1"/>
          <w:szCs w:val="16"/>
        </w:rPr>
        <w:t xml:space="preserve">The State did not demonstrate that the LEA corrected the findings of noncompliance identified in FFY 2019 because it did not report that it verified correction of those findings, consistent with OSEP Memo 09-02. Specifically, the State did not report that that it verified that each LEA with noncompliance identified in FFY 2019 has corrected each individual case of noncompliance, unless the child is no longer within the jurisdiction of the LEA. </w:t>
      </w:r>
    </w:p>
    <w:p w14:paraId="140652C1" w14:textId="064683E6" w:rsidR="007F5071" w:rsidRPr="00781112" w:rsidRDefault="00C22B92" w:rsidP="00123D76">
      <w:pPr>
        <w:pStyle w:val="Heading2"/>
      </w:pPr>
      <w:r w:rsidRPr="00781112">
        <w:t>11 - Required Actions</w:t>
      </w:r>
    </w:p>
    <w:p w14:paraId="542023B0" w14:textId="425F5FF5" w:rsidR="00326C0B" w:rsidRPr="00781112" w:rsidRDefault="002B7490" w:rsidP="00212954">
      <w:pPr>
        <w:rPr>
          <w:rFonts w:cs="Arial"/>
          <w:color w:val="000000" w:themeColor="text1"/>
          <w:szCs w:val="16"/>
        </w:rPr>
      </w:pPr>
      <w:r w:rsidRPr="00781112">
        <w:rPr>
          <w:rFonts w:cs="Arial"/>
          <w:color w:val="000000" w:themeColor="text1"/>
          <w:szCs w:val="16"/>
        </w:rPr>
        <w:t xml:space="preserve">Because the State reported less than 100% compliance for FFY 2020, the State must report on the status of correction of noncompliance identified in FFY 2020 for this indicator. In addition, the State must demonstrate, in the FFY 2021 SPP/APR, that the remaining 247 uncorrected findings of noncompliance identified in FFY 2019 were corrected.  When reporting on the correction of noncompliance, the State must report, in the FFY 2021 SPP/APR, that it has verified that each LEA with findings of noncompliance identified in FFY 2020 and each LEA with remaining noncompliance identified in FFY 2019: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2021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br/>
        <w:t>If the State did not identify any findings of noncompliance in FFY 2020, although its FFY 2020 data reflect less than 100% compliance, provide an explanation of why the State did not identify any findings of noncompliance in FFY 2020.</w:t>
      </w:r>
    </w:p>
    <w:p w14:paraId="529C4C74"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5C7C90D" w14:textId="1ACF121A" w:rsidR="00D03701" w:rsidRPr="00781112" w:rsidRDefault="00D03701" w:rsidP="000444E2">
      <w:pPr>
        <w:pStyle w:val="Heading1"/>
        <w:rPr>
          <w:color w:val="000000" w:themeColor="text1"/>
          <w:sz w:val="22"/>
        </w:rPr>
      </w:pPr>
      <w:r w:rsidRPr="00781112">
        <w:rPr>
          <w:color w:val="000000" w:themeColor="text1"/>
          <w:sz w:val="22"/>
        </w:rPr>
        <w:lastRenderedPageBreak/>
        <w:t>Indicator 12: Early Childhood Transition</w:t>
      </w:r>
      <w:bookmarkEnd w:id="64"/>
      <w:bookmarkEnd w:id="65"/>
      <w:bookmarkEnd w:id="66"/>
    </w:p>
    <w:p w14:paraId="435B75C0" w14:textId="77777777" w:rsidR="00652135" w:rsidRPr="00781112" w:rsidRDefault="00652135" w:rsidP="00A018D4">
      <w:pPr>
        <w:rPr>
          <w:color w:val="000000" w:themeColor="text1"/>
          <w:szCs w:val="20"/>
        </w:rPr>
      </w:pPr>
      <w:r w:rsidRPr="00781112">
        <w:rPr>
          <w:b/>
          <w:color w:val="000000" w:themeColor="text1"/>
          <w:sz w:val="20"/>
          <w:szCs w:val="20"/>
        </w:rPr>
        <w:t>Instructions and Measurement</w:t>
      </w:r>
    </w:p>
    <w:p w14:paraId="6C78EC4F" w14:textId="77777777" w:rsidR="001F3A65" w:rsidRPr="00781112" w:rsidRDefault="001F3A65" w:rsidP="009447A3">
      <w:pPr>
        <w:rPr>
          <w:rFonts w:cs="Arial"/>
          <w:color w:val="000000" w:themeColor="text1"/>
          <w:szCs w:val="16"/>
        </w:rPr>
      </w:pPr>
      <w:bookmarkStart w:id="67" w:name="_Toc384383358"/>
      <w:bookmarkStart w:id="68" w:name="_Toc392159326"/>
      <w:r w:rsidRPr="00781112">
        <w:rPr>
          <w:rFonts w:cs="Arial"/>
          <w:b/>
          <w:color w:val="000000" w:themeColor="text1"/>
          <w:szCs w:val="16"/>
        </w:rPr>
        <w:t>Monitoring Priorit</w:t>
      </w:r>
      <w:r w:rsidRPr="00781112">
        <w:rPr>
          <w:rFonts w:cs="Arial"/>
          <w:color w:val="000000" w:themeColor="text1"/>
          <w:szCs w:val="16"/>
        </w:rPr>
        <w:t>y: Effective General Supervision Part B / Effective Transition</w:t>
      </w:r>
    </w:p>
    <w:p w14:paraId="5BB6E6C8" w14:textId="77777777" w:rsidR="00704E6A"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referred by Part C prior to age 3, who are found eligible for Part B, and who have an IEP developed and implemented by their third birthdays. </w:t>
      </w:r>
    </w:p>
    <w:p w14:paraId="760E84D0" w14:textId="3B0C2366" w:rsidR="001F3A65" w:rsidRPr="00781112" w:rsidRDefault="001F3A65" w:rsidP="009447A3">
      <w:pPr>
        <w:rPr>
          <w:rFonts w:cs="Arial"/>
          <w:color w:val="000000" w:themeColor="text1"/>
          <w:szCs w:val="16"/>
        </w:rPr>
      </w:pPr>
      <w:r w:rsidRPr="00781112">
        <w:rPr>
          <w:rFonts w:cs="Arial"/>
          <w:color w:val="000000" w:themeColor="text1"/>
          <w:szCs w:val="16"/>
        </w:rPr>
        <w:t>(20 U.S.C. 1416(a)(3)(B))</w:t>
      </w:r>
    </w:p>
    <w:p w14:paraId="10C4B518" w14:textId="77777777" w:rsidR="00704E6A" w:rsidRPr="00781112" w:rsidRDefault="00704E6A" w:rsidP="004369B2">
      <w:pPr>
        <w:rPr>
          <w:color w:val="000000" w:themeColor="text1"/>
        </w:rPr>
      </w:pPr>
      <w:r w:rsidRPr="00781112">
        <w:rPr>
          <w:b/>
          <w:color w:val="000000" w:themeColor="text1"/>
        </w:rPr>
        <w:t>Data Source</w:t>
      </w:r>
    </w:p>
    <w:p w14:paraId="65642578" w14:textId="09D10273" w:rsidR="00704E6A" w:rsidRPr="00781112" w:rsidRDefault="00704E6A"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DFE5EEF" w14:textId="77777777" w:rsidR="00704E6A" w:rsidRPr="00781112" w:rsidRDefault="00704E6A" w:rsidP="004369B2">
      <w:pPr>
        <w:rPr>
          <w:color w:val="000000" w:themeColor="text1"/>
        </w:rPr>
      </w:pPr>
      <w:r w:rsidRPr="00781112">
        <w:rPr>
          <w:b/>
          <w:color w:val="000000" w:themeColor="text1"/>
        </w:rPr>
        <w:t>Measurement</w:t>
      </w:r>
    </w:p>
    <w:p w14:paraId="577779AD" w14:textId="51863F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a. # of children who have been served in Part C and referred to Part B for Part B eligibility determination.</w:t>
      </w:r>
    </w:p>
    <w:p w14:paraId="1D83C19C" w14:textId="0381C17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b. # of those referred determined to be NOT eligible and whose eligibility was determined prior to their third birthdays.</w:t>
      </w:r>
    </w:p>
    <w:p w14:paraId="62A73664" w14:textId="3A860D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c. # of those found eligible who have an IEP developed and implemented by their third birthdays.</w:t>
      </w:r>
    </w:p>
    <w:p w14:paraId="43DE876C" w14:textId="58ABBAA9"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d. # of children for whom parent refusal to provide consent caused delays in evaluation or initial services or to whom exceptions under 34 CFR </w:t>
      </w:r>
      <w:r w:rsidRPr="00781112">
        <w:rPr>
          <w:rFonts w:eastAsia="Times New Roman" w:cs="Arial"/>
          <w:color w:val="000000" w:themeColor="text1"/>
          <w:szCs w:val="16"/>
        </w:rPr>
        <w:tab/>
      </w:r>
      <w:r w:rsidR="00704E6A" w:rsidRPr="00781112">
        <w:rPr>
          <w:rFonts w:eastAsia="Times New Roman" w:cs="Arial"/>
          <w:color w:val="000000" w:themeColor="text1"/>
          <w:szCs w:val="16"/>
        </w:rPr>
        <w:t>§300.301(d) applied.</w:t>
      </w:r>
    </w:p>
    <w:p w14:paraId="4AFE260E" w14:textId="6A26A1C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e. # of children determined to be eligible for early intervention services under Part C less than 90 days before their third birthdays.</w:t>
      </w:r>
    </w:p>
    <w:p w14:paraId="1306CF8A" w14:textId="7D69EBBD" w:rsidR="00704E6A" w:rsidRPr="00781112" w:rsidRDefault="00A90E71" w:rsidP="00A90E71">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f. # of children whose parents chose to continue early intervention services beyond the child’s third birthday through a State’s policy under 34 </w:t>
      </w:r>
      <w:r w:rsidRPr="00781112">
        <w:rPr>
          <w:rFonts w:eastAsia="Times New Roman" w:cs="Arial"/>
          <w:color w:val="000000" w:themeColor="text1"/>
          <w:szCs w:val="16"/>
        </w:rPr>
        <w:tab/>
      </w:r>
      <w:r w:rsidR="00704E6A" w:rsidRPr="00781112">
        <w:rPr>
          <w:rFonts w:eastAsia="Times New Roman" w:cs="Arial"/>
          <w:color w:val="000000" w:themeColor="text1"/>
          <w:szCs w:val="16"/>
        </w:rPr>
        <w:t>CFR §303.211 or a similar State option.</w:t>
      </w:r>
    </w:p>
    <w:p w14:paraId="13DB13F0" w14:textId="77777777" w:rsidR="00A90E71" w:rsidRPr="00781112" w:rsidRDefault="00A90E71" w:rsidP="006A01BD">
      <w:pPr>
        <w:spacing w:before="0" w:after="0"/>
        <w:rPr>
          <w:rFonts w:eastAsia="Times New Roman" w:cs="Arial"/>
          <w:color w:val="000000" w:themeColor="text1"/>
          <w:szCs w:val="16"/>
        </w:rPr>
      </w:pPr>
    </w:p>
    <w:p w14:paraId="07549C8E" w14:textId="77777777" w:rsidR="00704E6A" w:rsidRPr="00781112" w:rsidRDefault="00704E6A" w:rsidP="006A01BD">
      <w:pPr>
        <w:spacing w:before="0" w:after="21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c, d, e, or f. Indicate the range of days beyond the third birthday when eligibility was determined and the IEP developed, and the reasons for the delays.</w:t>
      </w:r>
    </w:p>
    <w:p w14:paraId="5406A8A2" w14:textId="2622A063" w:rsidR="00704E6A" w:rsidRPr="00781112" w:rsidRDefault="00704E6A" w:rsidP="009447A3">
      <w:pPr>
        <w:spacing w:before="0" w:after="210"/>
        <w:rPr>
          <w:rFonts w:eastAsia="Times New Roman" w:cs="Arial"/>
          <w:color w:val="000000" w:themeColor="text1"/>
          <w:szCs w:val="16"/>
        </w:rPr>
      </w:pPr>
      <w:r w:rsidRPr="00781112">
        <w:rPr>
          <w:rFonts w:eastAsia="Times New Roman" w:cs="Arial"/>
          <w:color w:val="000000" w:themeColor="text1"/>
          <w:szCs w:val="16"/>
        </w:rPr>
        <w:t>Percent = [(c) divided by (a - b - d - e - f)] times 100.</w:t>
      </w:r>
    </w:p>
    <w:p w14:paraId="568E2452" w14:textId="77777777" w:rsidR="00704E6A" w:rsidRPr="00781112" w:rsidRDefault="00704E6A" w:rsidP="004369B2">
      <w:pPr>
        <w:rPr>
          <w:color w:val="000000" w:themeColor="text1"/>
        </w:rPr>
      </w:pPr>
      <w:r w:rsidRPr="00781112">
        <w:rPr>
          <w:b/>
          <w:color w:val="000000" w:themeColor="text1"/>
        </w:rPr>
        <w:t>Instructions</w:t>
      </w:r>
    </w:p>
    <w:p w14:paraId="26144B56" w14:textId="77777777" w:rsidR="00704E6A" w:rsidRPr="00781112" w:rsidRDefault="00704E6A"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739AF8C8" w14:textId="77777777" w:rsidR="00704E6A" w:rsidRPr="00781112" w:rsidRDefault="00704E6A"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216DD8AC" w14:textId="77777777" w:rsidR="001F165D" w:rsidRPr="00781112" w:rsidRDefault="001F165D" w:rsidP="001F165D">
      <w:pPr>
        <w:rPr>
          <w:rFonts w:cs="Arial"/>
          <w:color w:val="000000" w:themeColor="text1"/>
          <w:szCs w:val="16"/>
        </w:rPr>
      </w:pPr>
      <w:r w:rsidRPr="00781112">
        <w:rPr>
          <w:rFonts w:cs="Arial"/>
          <w:color w:val="000000" w:themeColor="text1"/>
          <w:szCs w:val="16"/>
        </w:rPr>
        <w:t>Targets must be 100%.</w:t>
      </w:r>
    </w:p>
    <w:p w14:paraId="1B4708FE" w14:textId="1629AEED" w:rsidR="00704E6A" w:rsidRPr="00781112" w:rsidRDefault="00BA70F9" w:rsidP="00286BDF">
      <w:pPr>
        <w:rPr>
          <w:rFonts w:cs="Arial"/>
          <w:color w:val="000000" w:themeColor="text1"/>
          <w:szCs w:val="16"/>
        </w:rPr>
      </w:pPr>
      <w:r w:rsidRPr="00781112">
        <w:rPr>
          <w:rFonts w:cs="Arial"/>
          <w:color w:val="000000" w:themeColor="text1"/>
          <w:szCs w:val="16"/>
        </w:rPr>
        <w:t>Category f is to be used only by States that have an approved policy for providing parents the option of continuing early intervention services beyond the child’s third birthday under 34 CFR §303.211 or a similar State option.</w:t>
      </w:r>
    </w:p>
    <w:p w14:paraId="5D5B86D4" w14:textId="77777777" w:rsidR="00704E6A" w:rsidRPr="00781112" w:rsidRDefault="00704E6A"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1B505E64" w14:textId="13EC4722" w:rsidR="00704E6A"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79824C1D" w14:textId="3C301685" w:rsidR="00FE7D29" w:rsidRPr="00781112" w:rsidRDefault="00056350" w:rsidP="00123D76">
      <w:pPr>
        <w:pStyle w:val="Heading2"/>
      </w:pPr>
      <w:bookmarkStart w:id="69" w:name="_Toc384383359"/>
      <w:bookmarkStart w:id="70" w:name="_Toc392159327"/>
      <w:bookmarkEnd w:id="67"/>
      <w:bookmarkEnd w:id="68"/>
      <w:r w:rsidRPr="00781112">
        <w:t>12</w:t>
      </w:r>
      <w:r w:rsidR="004838A4" w:rsidRPr="00781112">
        <w:t xml:space="preserve"> </w:t>
      </w:r>
      <w:r w:rsidRPr="00781112">
        <w:t xml:space="preserve">- </w:t>
      </w:r>
      <w:r w:rsidR="00211617" w:rsidRPr="00781112">
        <w:t>Indicator Data</w:t>
      </w:r>
    </w:p>
    <w:p w14:paraId="0150EC4C" w14:textId="77777777" w:rsidR="0091098C" w:rsidRPr="00781112" w:rsidRDefault="0091098C" w:rsidP="004369B2">
      <w:pPr>
        <w:rPr>
          <w:color w:val="000000" w:themeColor="text1"/>
        </w:rPr>
      </w:pPr>
      <w:r w:rsidRPr="00781112">
        <w:rPr>
          <w:b/>
          <w:color w:val="000000" w:themeColor="text1"/>
        </w:rPr>
        <w:t>Not Applicable</w:t>
      </w:r>
    </w:p>
    <w:p w14:paraId="1844E5CA" w14:textId="6EC3A331" w:rsidR="00A5601C" w:rsidRPr="00781112" w:rsidRDefault="005D604C">
      <w:pPr>
        <w:rPr>
          <w:b/>
          <w:color w:val="000000" w:themeColor="text1"/>
        </w:rPr>
      </w:pPr>
      <w:r w:rsidRPr="00781112">
        <w:rPr>
          <w:b/>
          <w:color w:val="000000" w:themeColor="text1"/>
        </w:rPr>
        <w:t>Select yes if this indicator is not applicable.</w:t>
      </w:r>
    </w:p>
    <w:p w14:paraId="5B7EBB05" w14:textId="76B0BD88" w:rsidR="00043AC9" w:rsidRPr="00781112" w:rsidRDefault="00043AC9" w:rsidP="004369B2">
      <w:pPr>
        <w:rPr>
          <w:rFonts w:cs="Arial"/>
          <w:color w:val="000000" w:themeColor="text1"/>
          <w:szCs w:val="16"/>
        </w:rPr>
      </w:pPr>
      <w:r w:rsidRPr="00781112">
        <w:rPr>
          <w:rFonts w:cs="Arial"/>
          <w:color w:val="000000" w:themeColor="text1"/>
          <w:szCs w:val="16"/>
        </w:rPr>
        <w:t>NO</w:t>
      </w:r>
    </w:p>
    <w:p w14:paraId="0D26312C" w14:textId="77777777" w:rsidR="00C50290" w:rsidRPr="00781112" w:rsidRDefault="00C50290" w:rsidP="004369B2">
      <w:pPr>
        <w:rPr>
          <w:color w:val="000000" w:themeColor="text1"/>
        </w:rPr>
      </w:pPr>
    </w:p>
    <w:p w14:paraId="71DDF5C0" w14:textId="3F9EB38B"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2BASELINEDATA"/>
      </w:tblPr>
      <w:tblGrid>
        <w:gridCol w:w="1797"/>
        <w:gridCol w:w="1798"/>
      </w:tblGrid>
      <w:tr w:rsidR="001875AF" w:rsidRPr="00781112" w14:paraId="056D9953" w14:textId="77777777" w:rsidTr="00123D76">
        <w:trPr>
          <w:trHeight w:val="311"/>
          <w:tblHeader/>
        </w:trPr>
        <w:tc>
          <w:tcPr>
            <w:tcW w:w="1797" w:type="dxa"/>
          </w:tcPr>
          <w:p w14:paraId="3B806594" w14:textId="77777777" w:rsidR="001875AF" w:rsidRPr="00781112" w:rsidRDefault="001875AF" w:rsidP="00123D76">
            <w:pPr>
              <w:jc w:val="center"/>
              <w:rPr>
                <w:b/>
                <w:color w:val="000000" w:themeColor="text1"/>
              </w:rPr>
            </w:pPr>
            <w:r w:rsidRPr="00781112">
              <w:rPr>
                <w:rFonts w:cs="Arial"/>
                <w:b/>
                <w:color w:val="000000" w:themeColor="text1"/>
                <w:szCs w:val="16"/>
              </w:rPr>
              <w:t>Baseline Year</w:t>
            </w:r>
          </w:p>
        </w:tc>
        <w:tc>
          <w:tcPr>
            <w:tcW w:w="1798" w:type="dxa"/>
          </w:tcPr>
          <w:p w14:paraId="47C5AC3E" w14:textId="77777777" w:rsidR="001875AF" w:rsidRPr="00781112" w:rsidRDefault="001875AF" w:rsidP="00123D76">
            <w:pPr>
              <w:jc w:val="center"/>
              <w:rPr>
                <w:b/>
                <w:color w:val="000000" w:themeColor="text1"/>
              </w:rPr>
            </w:pPr>
            <w:r w:rsidRPr="00781112">
              <w:rPr>
                <w:b/>
                <w:color w:val="000000" w:themeColor="text1"/>
              </w:rPr>
              <w:t>Baseline Data</w:t>
            </w:r>
          </w:p>
        </w:tc>
      </w:tr>
      <w:tr w:rsidR="001875AF" w:rsidRPr="00781112" w14:paraId="693B925B" w14:textId="77777777" w:rsidTr="00123D76">
        <w:trPr>
          <w:trHeight w:val="311"/>
        </w:trPr>
        <w:tc>
          <w:tcPr>
            <w:tcW w:w="1797" w:type="dxa"/>
            <w:vAlign w:val="center"/>
          </w:tcPr>
          <w:p w14:paraId="589FAD9D" w14:textId="6C47315C" w:rsidR="001875AF" w:rsidRPr="00781112" w:rsidRDefault="001875AF" w:rsidP="00123D76">
            <w:pPr>
              <w:jc w:val="center"/>
              <w:rPr>
                <w:bCs/>
                <w:color w:val="000000" w:themeColor="text1"/>
              </w:rPr>
            </w:pPr>
            <w:r w:rsidRPr="00781112">
              <w:rPr>
                <w:bCs/>
                <w:color w:val="000000" w:themeColor="text1"/>
              </w:rPr>
              <w:t>2005</w:t>
            </w:r>
          </w:p>
        </w:tc>
        <w:tc>
          <w:tcPr>
            <w:tcW w:w="1798" w:type="dxa"/>
            <w:vAlign w:val="center"/>
          </w:tcPr>
          <w:p w14:paraId="00D43D2D" w14:textId="0C3ED28A" w:rsidR="001875AF" w:rsidRPr="00781112" w:rsidRDefault="001875AF" w:rsidP="00123D76">
            <w:pPr>
              <w:jc w:val="center"/>
              <w:rPr>
                <w:bCs/>
                <w:color w:val="000000" w:themeColor="text1"/>
              </w:rPr>
            </w:pPr>
            <w:r w:rsidRPr="00781112">
              <w:rPr>
                <w:bCs/>
                <w:color w:val="000000" w:themeColor="text1"/>
              </w:rPr>
              <w:t>64.60%</w:t>
            </w:r>
          </w:p>
        </w:tc>
      </w:tr>
    </w:tbl>
    <w:p w14:paraId="465AB33D" w14:textId="77777777" w:rsidR="001875AF" w:rsidRPr="00781112" w:rsidRDefault="001875AF"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HISTDATA"/>
      </w:tblPr>
      <w:tblGrid>
        <w:gridCol w:w="1798"/>
        <w:gridCol w:w="1798"/>
        <w:gridCol w:w="1798"/>
        <w:gridCol w:w="1798"/>
        <w:gridCol w:w="1798"/>
        <w:gridCol w:w="1800"/>
      </w:tblGrid>
      <w:tr w:rsidR="005C29F8" w:rsidRPr="00781112" w14:paraId="641F8356" w14:textId="77777777" w:rsidTr="005F2FF9">
        <w:trPr>
          <w:trHeight w:val="350"/>
        </w:trPr>
        <w:tc>
          <w:tcPr>
            <w:tcW w:w="833" w:type="pct"/>
            <w:tcBorders>
              <w:bottom w:val="single" w:sz="4" w:space="0" w:color="auto"/>
            </w:tcBorders>
            <w:shd w:val="clear" w:color="auto" w:fill="auto"/>
          </w:tcPr>
          <w:bookmarkEnd w:id="69"/>
          <w:bookmarkEnd w:id="70"/>
          <w:p w14:paraId="5D9A28F2"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E21A227" w14:textId="61889525" w:rsidR="009447A3" w:rsidRPr="00781112" w:rsidRDefault="002B7490" w:rsidP="008E31C4">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6B56B4FE" w14:textId="34D3DC5E" w:rsidR="009447A3"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786A53CE" w14:textId="3A94FF3D"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221DF675" w14:textId="00A1F14E"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72849A47" w14:textId="21327CD6"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r>
      <w:tr w:rsidR="005C29F8" w:rsidRPr="00781112" w14:paraId="1A3B7AC8" w14:textId="77777777" w:rsidTr="005F2FF9">
        <w:trPr>
          <w:trHeight w:val="357"/>
        </w:trPr>
        <w:tc>
          <w:tcPr>
            <w:tcW w:w="833" w:type="pct"/>
            <w:shd w:val="clear" w:color="auto" w:fill="auto"/>
          </w:tcPr>
          <w:p w14:paraId="27FE69AA" w14:textId="697900D5" w:rsidR="009447A3" w:rsidRPr="00781112" w:rsidRDefault="009447A3" w:rsidP="008E31C4">
            <w:pP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628560E" w14:textId="0BC4570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47A32E0" w14:textId="064AD14E"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EFE8268" w14:textId="7F4C4E30"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14DDB11E" w14:textId="2D6071C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17E07D81" w14:textId="67F91616"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r>
      <w:tr w:rsidR="005C29F8" w:rsidRPr="00781112" w14:paraId="6BA24638" w14:textId="77777777" w:rsidTr="005F2FF9">
        <w:trPr>
          <w:trHeight w:val="85"/>
        </w:trPr>
        <w:tc>
          <w:tcPr>
            <w:tcW w:w="833" w:type="pct"/>
            <w:shd w:val="clear" w:color="auto" w:fill="auto"/>
          </w:tcPr>
          <w:p w14:paraId="76E217FB" w14:textId="77777777" w:rsidR="009447A3" w:rsidRPr="00781112" w:rsidRDefault="009447A3"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ABEE368" w14:textId="7DA2F686" w:rsidR="009447A3" w:rsidRPr="00781112" w:rsidRDefault="002B7490" w:rsidP="003A4027">
            <w:pPr>
              <w:jc w:val="center"/>
              <w:rPr>
                <w:rFonts w:cs="Arial"/>
                <w:color w:val="000000" w:themeColor="text1"/>
                <w:szCs w:val="16"/>
              </w:rPr>
            </w:pPr>
            <w:r w:rsidRPr="00781112">
              <w:rPr>
                <w:rFonts w:cs="Arial"/>
                <w:color w:val="000000" w:themeColor="text1"/>
                <w:szCs w:val="16"/>
              </w:rPr>
              <w:t>97.59%</w:t>
            </w:r>
          </w:p>
        </w:tc>
        <w:tc>
          <w:tcPr>
            <w:tcW w:w="833" w:type="pct"/>
            <w:shd w:val="clear" w:color="auto" w:fill="auto"/>
          </w:tcPr>
          <w:p w14:paraId="6826E3EC" w14:textId="5DEFD785" w:rsidR="009447A3" w:rsidRPr="00781112" w:rsidRDefault="002B7490" w:rsidP="003A4027">
            <w:pPr>
              <w:jc w:val="center"/>
              <w:rPr>
                <w:rFonts w:cs="Arial"/>
                <w:color w:val="000000" w:themeColor="text1"/>
                <w:szCs w:val="16"/>
              </w:rPr>
            </w:pPr>
            <w:r w:rsidRPr="00781112">
              <w:rPr>
                <w:rFonts w:cs="Arial"/>
                <w:color w:val="000000" w:themeColor="text1"/>
                <w:szCs w:val="16"/>
              </w:rPr>
              <w:t>97.71%</w:t>
            </w:r>
          </w:p>
        </w:tc>
        <w:tc>
          <w:tcPr>
            <w:tcW w:w="833" w:type="pct"/>
            <w:tcBorders>
              <w:bottom w:val="single" w:sz="4" w:space="0" w:color="auto"/>
            </w:tcBorders>
            <w:shd w:val="clear" w:color="auto" w:fill="auto"/>
            <w:vAlign w:val="center"/>
          </w:tcPr>
          <w:p w14:paraId="3702B817" w14:textId="1114F76E" w:rsidR="009447A3" w:rsidRPr="00781112" w:rsidRDefault="002B7490" w:rsidP="003A4027">
            <w:pPr>
              <w:jc w:val="center"/>
              <w:rPr>
                <w:rFonts w:cs="Arial"/>
                <w:color w:val="000000" w:themeColor="text1"/>
                <w:szCs w:val="16"/>
              </w:rPr>
            </w:pPr>
            <w:r w:rsidRPr="00781112">
              <w:rPr>
                <w:rFonts w:cs="Arial"/>
                <w:color w:val="000000" w:themeColor="text1"/>
                <w:szCs w:val="16"/>
              </w:rPr>
              <w:t>96.16%</w:t>
            </w:r>
          </w:p>
        </w:tc>
        <w:tc>
          <w:tcPr>
            <w:tcW w:w="833" w:type="pct"/>
            <w:tcBorders>
              <w:bottom w:val="single" w:sz="4" w:space="0" w:color="auto"/>
            </w:tcBorders>
            <w:shd w:val="clear" w:color="auto" w:fill="auto"/>
            <w:vAlign w:val="center"/>
          </w:tcPr>
          <w:p w14:paraId="7E5D1EA5" w14:textId="75D6241E" w:rsidR="009447A3" w:rsidRPr="00781112" w:rsidRDefault="002B7490" w:rsidP="003A4027">
            <w:pPr>
              <w:jc w:val="center"/>
              <w:rPr>
                <w:rFonts w:cs="Arial"/>
                <w:color w:val="000000" w:themeColor="text1"/>
                <w:szCs w:val="16"/>
              </w:rPr>
            </w:pPr>
            <w:r w:rsidRPr="00781112">
              <w:rPr>
                <w:rFonts w:cs="Arial"/>
                <w:color w:val="000000" w:themeColor="text1"/>
                <w:szCs w:val="16"/>
              </w:rPr>
              <w:t>97.20%</w:t>
            </w:r>
          </w:p>
        </w:tc>
        <w:tc>
          <w:tcPr>
            <w:tcW w:w="834" w:type="pct"/>
            <w:tcBorders>
              <w:bottom w:val="single" w:sz="4" w:space="0" w:color="auto"/>
            </w:tcBorders>
            <w:shd w:val="clear" w:color="auto" w:fill="auto"/>
            <w:vAlign w:val="center"/>
          </w:tcPr>
          <w:p w14:paraId="556DAD68" w14:textId="7FC0436F" w:rsidR="009447A3" w:rsidRPr="00781112" w:rsidRDefault="002B7490" w:rsidP="003A4027">
            <w:pPr>
              <w:jc w:val="center"/>
              <w:rPr>
                <w:rFonts w:cs="Arial"/>
                <w:color w:val="000000" w:themeColor="text1"/>
                <w:szCs w:val="16"/>
              </w:rPr>
            </w:pPr>
            <w:r w:rsidRPr="00781112">
              <w:rPr>
                <w:rFonts w:cs="Arial"/>
                <w:color w:val="000000" w:themeColor="text1"/>
                <w:szCs w:val="16"/>
              </w:rPr>
              <w:t>96.99%</w:t>
            </w:r>
          </w:p>
        </w:tc>
      </w:tr>
    </w:tbl>
    <w:p w14:paraId="3BDF8559" w14:textId="77777777" w:rsidR="00D82883" w:rsidRPr="00781112" w:rsidRDefault="00D82883" w:rsidP="004369B2">
      <w:pPr>
        <w:rPr>
          <w:color w:val="000000" w:themeColor="text1"/>
        </w:rPr>
      </w:pPr>
    </w:p>
    <w:p w14:paraId="32D6DA70" w14:textId="38C36AA8" w:rsidR="007A3964" w:rsidRPr="00781112" w:rsidRDefault="007A3964" w:rsidP="004369B2">
      <w:pPr>
        <w:rPr>
          <w:color w:val="000000" w:themeColor="text1"/>
        </w:rPr>
      </w:pPr>
      <w:r w:rsidRPr="00781112">
        <w:rPr>
          <w:b/>
          <w:color w:val="000000" w:themeColor="text1"/>
        </w:rPr>
        <w:t>Targets</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TARGETS"/>
      </w:tblPr>
      <w:tblGrid>
        <w:gridCol w:w="679"/>
        <w:gridCol w:w="1543"/>
        <w:gridCol w:w="1659"/>
        <w:gridCol w:w="1659"/>
        <w:gridCol w:w="1660"/>
        <w:gridCol w:w="1660"/>
        <w:gridCol w:w="1660"/>
      </w:tblGrid>
      <w:tr w:rsidR="00AF574F" w:rsidRPr="00781112" w14:paraId="41D3AE7A" w14:textId="578794F0" w:rsidTr="005F2FF9">
        <w:trPr>
          <w:trHeight w:val="328"/>
        </w:trPr>
        <w:tc>
          <w:tcPr>
            <w:tcW w:w="207" w:type="pct"/>
            <w:tcBorders>
              <w:bottom w:val="single" w:sz="4" w:space="0" w:color="auto"/>
            </w:tcBorders>
            <w:shd w:val="clear" w:color="auto" w:fill="auto"/>
          </w:tcPr>
          <w:p w14:paraId="7786D02D" w14:textId="77777777" w:rsidR="00AF574F" w:rsidRPr="00781112" w:rsidRDefault="00AF574F" w:rsidP="00AF574F">
            <w:pPr>
              <w:jc w:val="center"/>
              <w:rPr>
                <w:b/>
                <w:color w:val="000000" w:themeColor="text1"/>
              </w:rPr>
            </w:pPr>
            <w:r w:rsidRPr="00781112">
              <w:rPr>
                <w:b/>
                <w:color w:val="000000" w:themeColor="text1"/>
              </w:rPr>
              <w:t>FFY</w:t>
            </w:r>
          </w:p>
        </w:tc>
        <w:tc>
          <w:tcPr>
            <w:tcW w:w="753" w:type="pct"/>
            <w:shd w:val="clear" w:color="auto" w:fill="auto"/>
          </w:tcPr>
          <w:p w14:paraId="09ED5838" w14:textId="77777777" w:rsidR="00AF574F" w:rsidRPr="00781112" w:rsidRDefault="00AF574F" w:rsidP="00AF574F">
            <w:pPr>
              <w:jc w:val="center"/>
              <w:rPr>
                <w:b/>
                <w:color w:val="000000" w:themeColor="text1"/>
              </w:rPr>
            </w:pPr>
            <w:r w:rsidRPr="00781112">
              <w:rPr>
                <w:b/>
                <w:color w:val="000000" w:themeColor="text1"/>
              </w:rPr>
              <w:t>2020</w:t>
            </w:r>
          </w:p>
        </w:tc>
        <w:tc>
          <w:tcPr>
            <w:tcW w:w="808" w:type="pct"/>
          </w:tcPr>
          <w:p w14:paraId="0769903C" w14:textId="05A227DB" w:rsidR="00AF574F" w:rsidRPr="00781112" w:rsidRDefault="00AF574F" w:rsidP="00AF574F">
            <w:pPr>
              <w:jc w:val="center"/>
              <w:rPr>
                <w:b/>
                <w:color w:val="000000" w:themeColor="text1"/>
              </w:rPr>
            </w:pPr>
            <w:r w:rsidRPr="00781112">
              <w:rPr>
                <w:rFonts w:cs="Arial"/>
                <w:b/>
                <w:color w:val="000000" w:themeColor="text1"/>
                <w:szCs w:val="16"/>
              </w:rPr>
              <w:t>2021</w:t>
            </w:r>
          </w:p>
        </w:tc>
        <w:tc>
          <w:tcPr>
            <w:tcW w:w="808" w:type="pct"/>
          </w:tcPr>
          <w:p w14:paraId="77CF077D" w14:textId="38DFC132" w:rsidR="00AF574F" w:rsidRPr="00781112" w:rsidRDefault="00AF574F" w:rsidP="00AF574F">
            <w:pPr>
              <w:jc w:val="center"/>
              <w:rPr>
                <w:b/>
                <w:color w:val="000000" w:themeColor="text1"/>
              </w:rPr>
            </w:pPr>
            <w:r w:rsidRPr="00781112">
              <w:rPr>
                <w:rFonts w:cs="Arial"/>
                <w:b/>
                <w:color w:val="000000" w:themeColor="text1"/>
                <w:szCs w:val="16"/>
              </w:rPr>
              <w:t>2022</w:t>
            </w:r>
          </w:p>
        </w:tc>
        <w:tc>
          <w:tcPr>
            <w:tcW w:w="808" w:type="pct"/>
          </w:tcPr>
          <w:p w14:paraId="5C5F415E" w14:textId="7B035D53" w:rsidR="00AF574F" w:rsidRPr="00781112" w:rsidRDefault="00AF574F" w:rsidP="00AF574F">
            <w:pPr>
              <w:jc w:val="center"/>
              <w:rPr>
                <w:b/>
                <w:color w:val="000000" w:themeColor="text1"/>
              </w:rPr>
            </w:pPr>
            <w:r w:rsidRPr="00781112">
              <w:rPr>
                <w:rFonts w:cs="Arial"/>
                <w:b/>
                <w:color w:val="000000" w:themeColor="text1"/>
                <w:szCs w:val="16"/>
              </w:rPr>
              <w:t>2023</w:t>
            </w:r>
          </w:p>
        </w:tc>
        <w:tc>
          <w:tcPr>
            <w:tcW w:w="808" w:type="pct"/>
          </w:tcPr>
          <w:p w14:paraId="4D5B8FD6" w14:textId="4B2021E7" w:rsidR="00AF574F" w:rsidRPr="00781112" w:rsidRDefault="00AF574F" w:rsidP="00AF574F">
            <w:pPr>
              <w:jc w:val="center"/>
              <w:rPr>
                <w:b/>
                <w:color w:val="000000" w:themeColor="text1"/>
              </w:rPr>
            </w:pPr>
            <w:r w:rsidRPr="00781112">
              <w:rPr>
                <w:rFonts w:cs="Arial"/>
                <w:b/>
                <w:color w:val="000000" w:themeColor="text1"/>
                <w:szCs w:val="16"/>
              </w:rPr>
              <w:t>2024</w:t>
            </w:r>
          </w:p>
        </w:tc>
        <w:tc>
          <w:tcPr>
            <w:tcW w:w="808" w:type="pct"/>
          </w:tcPr>
          <w:p w14:paraId="4CA9D2AB" w14:textId="2AC1725C" w:rsidR="00AF574F" w:rsidRPr="00781112" w:rsidRDefault="00AF574F" w:rsidP="00AF574F">
            <w:pPr>
              <w:jc w:val="center"/>
              <w:rPr>
                <w:b/>
                <w:color w:val="000000" w:themeColor="text1"/>
              </w:rPr>
            </w:pPr>
            <w:r w:rsidRPr="00781112">
              <w:rPr>
                <w:rFonts w:cs="Arial"/>
                <w:b/>
                <w:color w:val="000000" w:themeColor="text1"/>
                <w:szCs w:val="16"/>
              </w:rPr>
              <w:t>2025</w:t>
            </w:r>
          </w:p>
        </w:tc>
      </w:tr>
      <w:tr w:rsidR="00AF574F" w:rsidRPr="00781112" w14:paraId="2B267817" w14:textId="2A03C05D" w:rsidTr="005F2FF9">
        <w:trPr>
          <w:trHeight w:val="335"/>
        </w:trPr>
        <w:tc>
          <w:tcPr>
            <w:tcW w:w="207" w:type="pct"/>
            <w:shd w:val="clear" w:color="auto" w:fill="auto"/>
            <w:vAlign w:val="center"/>
          </w:tcPr>
          <w:p w14:paraId="70D956A8" w14:textId="77777777" w:rsidR="00AF574F" w:rsidRPr="00781112" w:rsidRDefault="00AF574F" w:rsidP="00AF574F">
            <w:pPr>
              <w:rPr>
                <w:rFonts w:cs="Arial"/>
                <w:color w:val="000000" w:themeColor="text1"/>
                <w:szCs w:val="16"/>
              </w:rPr>
            </w:pPr>
            <w:r w:rsidRPr="00781112">
              <w:rPr>
                <w:rFonts w:cs="Arial"/>
                <w:color w:val="000000" w:themeColor="text1"/>
                <w:szCs w:val="16"/>
              </w:rPr>
              <w:t xml:space="preserve">Target </w:t>
            </w:r>
          </w:p>
        </w:tc>
        <w:tc>
          <w:tcPr>
            <w:tcW w:w="753" w:type="pct"/>
            <w:shd w:val="clear" w:color="auto" w:fill="auto"/>
            <w:vAlign w:val="center"/>
          </w:tcPr>
          <w:p w14:paraId="5CDE7127" w14:textId="59D1386F" w:rsidR="00AF574F" w:rsidRPr="00781112" w:rsidRDefault="00AF574F" w:rsidP="00AF574F">
            <w:pPr>
              <w:jc w:val="center"/>
              <w:rPr>
                <w:rFonts w:cs="Arial"/>
                <w:color w:val="000000" w:themeColor="text1"/>
                <w:szCs w:val="16"/>
              </w:rPr>
            </w:pPr>
            <w:r w:rsidRPr="00781112">
              <w:rPr>
                <w:rFonts w:cs="Arial"/>
                <w:color w:val="000000" w:themeColor="text1"/>
                <w:szCs w:val="16"/>
              </w:rPr>
              <w:t>100%</w:t>
            </w:r>
          </w:p>
        </w:tc>
        <w:tc>
          <w:tcPr>
            <w:tcW w:w="808" w:type="pct"/>
          </w:tcPr>
          <w:p w14:paraId="6CF78C3F" w14:textId="1B45F3AE"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808" w:type="pct"/>
          </w:tcPr>
          <w:p w14:paraId="6FCC2C45" w14:textId="5131688B"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808" w:type="pct"/>
          </w:tcPr>
          <w:p w14:paraId="06CB35C0" w14:textId="66848221"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808" w:type="pct"/>
          </w:tcPr>
          <w:p w14:paraId="3CD9C2C5" w14:textId="2066089A"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808" w:type="pct"/>
          </w:tcPr>
          <w:p w14:paraId="0911C601" w14:textId="5D8A006D" w:rsidR="00AF574F" w:rsidRPr="00781112" w:rsidRDefault="00AF574F" w:rsidP="00AF574F">
            <w:pPr>
              <w:jc w:val="center"/>
              <w:rPr>
                <w:rFonts w:cs="Arial"/>
                <w:color w:val="000000" w:themeColor="text1"/>
                <w:szCs w:val="16"/>
              </w:rPr>
            </w:pPr>
            <w:r w:rsidRPr="00781112">
              <w:rPr>
                <w:color w:val="000000" w:themeColor="text1"/>
                <w:szCs w:val="16"/>
              </w:rPr>
              <w:t>100%</w:t>
            </w:r>
          </w:p>
        </w:tc>
      </w:tr>
    </w:tbl>
    <w:p w14:paraId="1AD7361B" w14:textId="77777777" w:rsidR="00D82883" w:rsidRPr="00781112" w:rsidRDefault="00D82883" w:rsidP="004369B2">
      <w:pPr>
        <w:rPr>
          <w:color w:val="000000" w:themeColor="text1"/>
        </w:rPr>
      </w:pPr>
    </w:p>
    <w:p w14:paraId="4C8DD49F" w14:textId="6A719208" w:rsidR="00634AD8" w:rsidRPr="00781112" w:rsidRDefault="00F6415A" w:rsidP="004369B2">
      <w:pPr>
        <w:rPr>
          <w:color w:val="000000" w:themeColor="text1"/>
        </w:rPr>
      </w:pPr>
      <w:r w:rsidRPr="00781112">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CFFYAPRDATA"/>
      </w:tblPr>
      <w:tblGrid>
        <w:gridCol w:w="9355"/>
        <w:gridCol w:w="1435"/>
      </w:tblGrid>
      <w:tr w:rsidR="005C29F8" w:rsidRPr="00781112" w14:paraId="5DD64811" w14:textId="77777777" w:rsidTr="009D3860">
        <w:trPr>
          <w:trHeight w:val="350"/>
        </w:trPr>
        <w:tc>
          <w:tcPr>
            <w:tcW w:w="4335" w:type="pct"/>
          </w:tcPr>
          <w:p w14:paraId="7822AF5A"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a. Number of children who have been served in Part C and referred to Part B for Part B eligibility determination. </w:t>
            </w:r>
          </w:p>
        </w:tc>
        <w:tc>
          <w:tcPr>
            <w:tcW w:w="665" w:type="pct"/>
            <w:shd w:val="clear" w:color="auto" w:fill="auto"/>
            <w:vAlign w:val="center"/>
          </w:tcPr>
          <w:p w14:paraId="65ADF67F" w14:textId="14592995" w:rsidR="00634AD8" w:rsidRPr="00781112" w:rsidRDefault="002B7490" w:rsidP="00A018D4">
            <w:pPr>
              <w:jc w:val="center"/>
              <w:rPr>
                <w:rFonts w:cs="Arial"/>
                <w:color w:val="000000" w:themeColor="text1"/>
                <w:szCs w:val="16"/>
              </w:rPr>
            </w:pPr>
            <w:r w:rsidRPr="00781112">
              <w:rPr>
                <w:rFonts w:cs="Arial"/>
                <w:color w:val="000000" w:themeColor="text1"/>
                <w:szCs w:val="16"/>
              </w:rPr>
              <w:t>1,132</w:t>
            </w:r>
          </w:p>
        </w:tc>
      </w:tr>
      <w:tr w:rsidR="005C29F8" w:rsidRPr="00781112" w14:paraId="6497A162" w14:textId="77777777" w:rsidTr="009D3860">
        <w:trPr>
          <w:trHeight w:val="357"/>
        </w:trPr>
        <w:tc>
          <w:tcPr>
            <w:tcW w:w="4335" w:type="pct"/>
          </w:tcPr>
          <w:p w14:paraId="00979D87"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b. Number of those referred determined to be NOT eligible and whose eligibility was determined prior to third birthday. </w:t>
            </w:r>
          </w:p>
        </w:tc>
        <w:tc>
          <w:tcPr>
            <w:tcW w:w="665" w:type="pct"/>
            <w:shd w:val="clear" w:color="auto" w:fill="auto"/>
            <w:vAlign w:val="center"/>
          </w:tcPr>
          <w:p w14:paraId="5383065B" w14:textId="0CFFF590" w:rsidR="00634AD8" w:rsidRPr="00781112" w:rsidRDefault="002B7490" w:rsidP="00A018D4">
            <w:pPr>
              <w:jc w:val="center"/>
              <w:rPr>
                <w:rFonts w:cs="Arial"/>
                <w:color w:val="000000" w:themeColor="text1"/>
                <w:szCs w:val="16"/>
              </w:rPr>
            </w:pPr>
            <w:r w:rsidRPr="00781112">
              <w:rPr>
                <w:rFonts w:cs="Arial"/>
                <w:color w:val="000000" w:themeColor="text1"/>
                <w:szCs w:val="16"/>
              </w:rPr>
              <w:t>36</w:t>
            </w:r>
          </w:p>
        </w:tc>
      </w:tr>
      <w:tr w:rsidR="005C29F8" w:rsidRPr="00781112" w14:paraId="3372C19D" w14:textId="77777777" w:rsidTr="009D3860">
        <w:trPr>
          <w:trHeight w:val="357"/>
        </w:trPr>
        <w:tc>
          <w:tcPr>
            <w:tcW w:w="4335" w:type="pct"/>
          </w:tcPr>
          <w:p w14:paraId="2817071E" w14:textId="77777777" w:rsidR="00634AD8" w:rsidRPr="00781112" w:rsidRDefault="00634AD8" w:rsidP="003E65F5">
            <w:pPr>
              <w:rPr>
                <w:rFonts w:cs="Arial"/>
                <w:color w:val="000000" w:themeColor="text1"/>
                <w:szCs w:val="16"/>
              </w:rPr>
            </w:pPr>
            <w:r w:rsidRPr="00781112">
              <w:rPr>
                <w:rFonts w:cs="Arial"/>
                <w:color w:val="000000" w:themeColor="text1"/>
                <w:szCs w:val="16"/>
              </w:rPr>
              <w:lastRenderedPageBreak/>
              <w:t xml:space="preserve">c. Number of those found eligible who have an IEP developed and implemented by their third birthdays. </w:t>
            </w:r>
          </w:p>
        </w:tc>
        <w:tc>
          <w:tcPr>
            <w:tcW w:w="665" w:type="pct"/>
            <w:shd w:val="clear" w:color="auto" w:fill="auto"/>
            <w:vAlign w:val="center"/>
          </w:tcPr>
          <w:p w14:paraId="1678CD90" w14:textId="068B0D57" w:rsidR="00634AD8" w:rsidRPr="00781112" w:rsidRDefault="002B7490" w:rsidP="00A018D4">
            <w:pPr>
              <w:jc w:val="center"/>
              <w:rPr>
                <w:rFonts w:cs="Arial"/>
                <w:color w:val="000000" w:themeColor="text1"/>
                <w:szCs w:val="16"/>
              </w:rPr>
            </w:pPr>
            <w:r w:rsidRPr="00781112">
              <w:rPr>
                <w:rFonts w:cs="Arial"/>
                <w:color w:val="000000" w:themeColor="text1"/>
                <w:szCs w:val="16"/>
              </w:rPr>
              <w:t>875</w:t>
            </w:r>
          </w:p>
        </w:tc>
      </w:tr>
      <w:tr w:rsidR="005C29F8" w:rsidRPr="00781112" w14:paraId="00CE41C8" w14:textId="77777777" w:rsidTr="009D3860">
        <w:trPr>
          <w:trHeight w:val="357"/>
        </w:trPr>
        <w:tc>
          <w:tcPr>
            <w:tcW w:w="4335" w:type="pct"/>
          </w:tcPr>
          <w:p w14:paraId="547A75A2"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d. Number for whom parent refusals to provide consent caused delays in evaluation or initial services or to whom exceptions under 34 CFR §300.301(d) applied. </w:t>
            </w:r>
          </w:p>
        </w:tc>
        <w:tc>
          <w:tcPr>
            <w:tcW w:w="665" w:type="pct"/>
            <w:shd w:val="clear" w:color="auto" w:fill="auto"/>
            <w:vAlign w:val="center"/>
          </w:tcPr>
          <w:p w14:paraId="78FF9A45" w14:textId="45CD6353" w:rsidR="00634AD8" w:rsidRPr="00781112" w:rsidRDefault="002B7490" w:rsidP="00A018D4">
            <w:pPr>
              <w:jc w:val="center"/>
              <w:rPr>
                <w:rFonts w:cs="Arial"/>
                <w:color w:val="000000" w:themeColor="text1"/>
                <w:szCs w:val="16"/>
              </w:rPr>
            </w:pPr>
            <w:r w:rsidRPr="00781112">
              <w:rPr>
                <w:rFonts w:cs="Arial"/>
                <w:color w:val="000000" w:themeColor="text1"/>
                <w:szCs w:val="16"/>
              </w:rPr>
              <w:t>15</w:t>
            </w:r>
          </w:p>
        </w:tc>
      </w:tr>
      <w:tr w:rsidR="005C29F8" w:rsidRPr="00781112" w14:paraId="47C8B30F" w14:textId="77777777" w:rsidTr="009D3860">
        <w:trPr>
          <w:trHeight w:val="357"/>
        </w:trPr>
        <w:tc>
          <w:tcPr>
            <w:tcW w:w="4335" w:type="pct"/>
          </w:tcPr>
          <w:p w14:paraId="03BE3AC0"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e. Number of children who were referred to Part C less than 90 days before their third birthdays. </w:t>
            </w:r>
          </w:p>
        </w:tc>
        <w:tc>
          <w:tcPr>
            <w:tcW w:w="665" w:type="pct"/>
            <w:shd w:val="clear" w:color="auto" w:fill="auto"/>
            <w:vAlign w:val="center"/>
          </w:tcPr>
          <w:p w14:paraId="33E087DB" w14:textId="01E57E33" w:rsidR="00634AD8" w:rsidRPr="00781112" w:rsidRDefault="002B7490" w:rsidP="00A018D4">
            <w:pPr>
              <w:jc w:val="center"/>
              <w:rPr>
                <w:rFonts w:cs="Arial"/>
                <w:color w:val="000000" w:themeColor="text1"/>
                <w:szCs w:val="16"/>
              </w:rPr>
            </w:pPr>
            <w:r w:rsidRPr="00781112">
              <w:rPr>
                <w:rFonts w:cs="Arial"/>
                <w:color w:val="000000" w:themeColor="text1"/>
                <w:szCs w:val="16"/>
              </w:rPr>
              <w:t>24</w:t>
            </w:r>
          </w:p>
        </w:tc>
      </w:tr>
      <w:tr w:rsidR="004E67B3" w:rsidRPr="00781112" w14:paraId="19297440" w14:textId="77777777" w:rsidTr="009D3860">
        <w:trPr>
          <w:trHeight w:val="357"/>
        </w:trPr>
        <w:tc>
          <w:tcPr>
            <w:tcW w:w="4335" w:type="pct"/>
          </w:tcPr>
          <w:p w14:paraId="592F3289" w14:textId="43CA733D" w:rsidR="004E67B3" w:rsidRPr="00781112" w:rsidRDefault="004E67B3" w:rsidP="003E65F5">
            <w:pPr>
              <w:rPr>
                <w:rFonts w:cs="Arial"/>
                <w:color w:val="000000" w:themeColor="text1"/>
                <w:szCs w:val="16"/>
              </w:rPr>
            </w:pPr>
            <w:r w:rsidRPr="00781112">
              <w:rPr>
                <w:rFonts w:cs="Arial"/>
                <w:color w:val="000000" w:themeColor="text1"/>
                <w:szCs w:val="16"/>
              </w:rPr>
              <w:t>f. Number of children whose parents chose to continue early intervention services beyond the child’s third birthday through a State’s policy under 34 CFR §303.211 or a similar State option.</w:t>
            </w:r>
          </w:p>
        </w:tc>
        <w:tc>
          <w:tcPr>
            <w:tcW w:w="665" w:type="pct"/>
            <w:shd w:val="clear" w:color="auto" w:fill="auto"/>
            <w:vAlign w:val="center"/>
          </w:tcPr>
          <w:p w14:paraId="02B29C79" w14:textId="62FEE650" w:rsidR="004E67B3"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798A2079"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CFFYAPRDATA1"/>
      </w:tblPr>
      <w:tblGrid>
        <w:gridCol w:w="1794"/>
        <w:gridCol w:w="1285"/>
        <w:gridCol w:w="1285"/>
        <w:gridCol w:w="1285"/>
        <w:gridCol w:w="1285"/>
        <w:gridCol w:w="1285"/>
        <w:gridCol w:w="1285"/>
        <w:gridCol w:w="1286"/>
      </w:tblGrid>
      <w:tr w:rsidR="005C29F8" w:rsidRPr="00781112" w14:paraId="666B6B4E" w14:textId="2C1DC9A0" w:rsidTr="005F2FF9">
        <w:trPr>
          <w:trHeight w:val="340"/>
          <w:tblHeader/>
        </w:trPr>
        <w:tc>
          <w:tcPr>
            <w:tcW w:w="831" w:type="pct"/>
            <w:shd w:val="clear" w:color="auto" w:fill="auto"/>
          </w:tcPr>
          <w:p w14:paraId="5A0321EA" w14:textId="34C57852" w:rsidR="00704E6A" w:rsidRPr="00781112" w:rsidRDefault="00694A39" w:rsidP="009447A3">
            <w:pPr>
              <w:rPr>
                <w:rFonts w:cs="Arial"/>
                <w:b/>
                <w:bCs/>
                <w:color w:val="000000" w:themeColor="text1"/>
                <w:szCs w:val="16"/>
              </w:rPr>
            </w:pPr>
            <w:r w:rsidRPr="00781112">
              <w:rPr>
                <w:rFonts w:cs="Arial"/>
                <w:b/>
                <w:bCs/>
                <w:color w:val="000000" w:themeColor="text1"/>
                <w:szCs w:val="16"/>
              </w:rPr>
              <w:t>Measure</w:t>
            </w:r>
          </w:p>
        </w:tc>
        <w:tc>
          <w:tcPr>
            <w:tcW w:w="595" w:type="pct"/>
            <w:shd w:val="clear" w:color="auto" w:fill="auto"/>
          </w:tcPr>
          <w:p w14:paraId="45390059" w14:textId="77777777" w:rsidR="00704E6A" w:rsidRPr="00781112" w:rsidRDefault="00704E6A" w:rsidP="00681BA6">
            <w:pPr>
              <w:jc w:val="center"/>
              <w:rPr>
                <w:rFonts w:cs="Arial"/>
                <w:b/>
                <w:color w:val="000000" w:themeColor="text1"/>
                <w:szCs w:val="16"/>
              </w:rPr>
            </w:pPr>
            <w:r w:rsidRPr="00781112">
              <w:rPr>
                <w:rFonts w:cs="Arial"/>
                <w:b/>
                <w:color w:val="000000" w:themeColor="text1"/>
                <w:szCs w:val="16"/>
              </w:rPr>
              <w:t>Numerator (c)</w:t>
            </w:r>
          </w:p>
        </w:tc>
        <w:tc>
          <w:tcPr>
            <w:tcW w:w="595" w:type="pct"/>
            <w:shd w:val="clear" w:color="auto" w:fill="auto"/>
          </w:tcPr>
          <w:p w14:paraId="46860D80" w14:textId="77777777" w:rsidR="00704E6A" w:rsidRPr="0075451F" w:rsidRDefault="00704E6A" w:rsidP="00681BA6">
            <w:pPr>
              <w:jc w:val="center"/>
              <w:rPr>
                <w:rFonts w:cs="Arial"/>
                <w:b/>
                <w:color w:val="000000" w:themeColor="text1"/>
                <w:szCs w:val="16"/>
                <w:lang w:val="es-ES"/>
              </w:rPr>
            </w:pPr>
            <w:r w:rsidRPr="0075451F">
              <w:rPr>
                <w:rFonts w:cs="Arial"/>
                <w:b/>
                <w:color w:val="000000" w:themeColor="text1"/>
                <w:szCs w:val="16"/>
                <w:lang w:val="es-ES"/>
              </w:rPr>
              <w:t>Denominator (a-b-d-e-f)</w:t>
            </w:r>
          </w:p>
        </w:tc>
        <w:tc>
          <w:tcPr>
            <w:tcW w:w="595" w:type="pct"/>
            <w:shd w:val="clear" w:color="auto" w:fill="auto"/>
          </w:tcPr>
          <w:p w14:paraId="58F547FF" w14:textId="21FC1CF7" w:rsidR="00704E6A"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595" w:type="pct"/>
            <w:shd w:val="clear" w:color="auto" w:fill="auto"/>
          </w:tcPr>
          <w:p w14:paraId="36BD2BCA" w14:textId="5FF00453" w:rsidR="00704E6A" w:rsidRPr="00781112" w:rsidRDefault="00806C75" w:rsidP="00681BA6">
            <w:pPr>
              <w:jc w:val="center"/>
              <w:rPr>
                <w:rFonts w:cs="Arial"/>
                <w:b/>
                <w:color w:val="000000" w:themeColor="text1"/>
                <w:szCs w:val="16"/>
              </w:rPr>
            </w:pPr>
            <w:r w:rsidRPr="00781112">
              <w:rPr>
                <w:rFonts w:cs="Arial"/>
                <w:b/>
                <w:color w:val="000000" w:themeColor="text1"/>
                <w:szCs w:val="16"/>
              </w:rPr>
              <w:t>FFY 2020 Target</w:t>
            </w:r>
          </w:p>
        </w:tc>
        <w:tc>
          <w:tcPr>
            <w:tcW w:w="595" w:type="pct"/>
            <w:shd w:val="clear" w:color="auto" w:fill="auto"/>
          </w:tcPr>
          <w:p w14:paraId="0030B6C4" w14:textId="15E2C0C4" w:rsidR="00704E6A" w:rsidRPr="00781112" w:rsidRDefault="00806C75" w:rsidP="00681BA6">
            <w:pPr>
              <w:jc w:val="center"/>
              <w:rPr>
                <w:rFonts w:cs="Arial"/>
                <w:b/>
                <w:color w:val="000000" w:themeColor="text1"/>
                <w:szCs w:val="16"/>
              </w:rPr>
            </w:pPr>
            <w:r w:rsidRPr="00781112">
              <w:rPr>
                <w:rFonts w:cs="Arial"/>
                <w:b/>
                <w:color w:val="000000" w:themeColor="text1"/>
                <w:szCs w:val="16"/>
              </w:rPr>
              <w:t>FFY 2020 Data</w:t>
            </w:r>
          </w:p>
        </w:tc>
        <w:tc>
          <w:tcPr>
            <w:tcW w:w="595" w:type="pct"/>
            <w:shd w:val="clear" w:color="auto" w:fill="auto"/>
          </w:tcPr>
          <w:p w14:paraId="16905A6D" w14:textId="19A3632B" w:rsidR="00704E6A" w:rsidRPr="00781112" w:rsidRDefault="00704E6A" w:rsidP="00681BA6">
            <w:pPr>
              <w:jc w:val="center"/>
              <w:rPr>
                <w:rFonts w:cs="Arial"/>
                <w:b/>
                <w:color w:val="000000" w:themeColor="text1"/>
                <w:szCs w:val="16"/>
              </w:rPr>
            </w:pPr>
            <w:r w:rsidRPr="00781112">
              <w:rPr>
                <w:rFonts w:cs="Arial"/>
                <w:b/>
                <w:color w:val="000000" w:themeColor="text1"/>
                <w:szCs w:val="16"/>
              </w:rPr>
              <w:t>Status</w:t>
            </w:r>
          </w:p>
        </w:tc>
        <w:tc>
          <w:tcPr>
            <w:tcW w:w="596" w:type="pct"/>
            <w:shd w:val="clear" w:color="auto" w:fill="auto"/>
          </w:tcPr>
          <w:p w14:paraId="0DCCD9DE" w14:textId="3F28AD62" w:rsidR="00704E6A" w:rsidRPr="00781112" w:rsidRDefault="00704E6A"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1F7C0EED" w14:textId="06CECBDB" w:rsidTr="005F2FF9">
        <w:trPr>
          <w:trHeight w:val="347"/>
        </w:trPr>
        <w:tc>
          <w:tcPr>
            <w:tcW w:w="831" w:type="pct"/>
            <w:shd w:val="clear" w:color="auto" w:fill="auto"/>
          </w:tcPr>
          <w:p w14:paraId="42006EF2" w14:textId="30F01538" w:rsidR="009447A3" w:rsidRPr="00781112" w:rsidRDefault="00616BA4" w:rsidP="009447A3">
            <w:pPr>
              <w:rPr>
                <w:rFonts w:cs="Arial"/>
                <w:color w:val="000000" w:themeColor="text1"/>
                <w:szCs w:val="16"/>
              </w:rPr>
            </w:pPr>
            <w:r w:rsidRPr="00781112">
              <w:rPr>
                <w:rFonts w:cs="Arial"/>
                <w:color w:val="000000" w:themeColor="text1"/>
                <w:szCs w:val="16"/>
              </w:rPr>
              <w:t>Percent of children referred by Part C prior to age 3 who are found eligible for Part B, and who have an IEP developed and implemented by their third birthdays.</w:t>
            </w:r>
          </w:p>
        </w:tc>
        <w:tc>
          <w:tcPr>
            <w:tcW w:w="595" w:type="pct"/>
            <w:shd w:val="clear" w:color="auto" w:fill="auto"/>
            <w:vAlign w:val="center"/>
          </w:tcPr>
          <w:p w14:paraId="25AD0B10" w14:textId="530E8072" w:rsidR="009447A3" w:rsidRPr="00781112" w:rsidRDefault="00FA318E" w:rsidP="004369B2">
            <w:pPr>
              <w:jc w:val="center"/>
              <w:rPr>
                <w:rFonts w:cs="Arial"/>
                <w:color w:val="000000" w:themeColor="text1"/>
                <w:szCs w:val="16"/>
              </w:rPr>
            </w:pPr>
            <w:r w:rsidRPr="00781112">
              <w:rPr>
                <w:rFonts w:cs="Arial"/>
                <w:color w:val="000000" w:themeColor="text1"/>
                <w:szCs w:val="16"/>
              </w:rPr>
              <w:t>875</w:t>
            </w:r>
          </w:p>
        </w:tc>
        <w:tc>
          <w:tcPr>
            <w:tcW w:w="595" w:type="pct"/>
            <w:shd w:val="clear" w:color="auto" w:fill="auto"/>
            <w:vAlign w:val="center"/>
          </w:tcPr>
          <w:p w14:paraId="7A8E33C9" w14:textId="2CE029E7" w:rsidR="009447A3" w:rsidRPr="00781112" w:rsidRDefault="00FA318E" w:rsidP="004369B2">
            <w:pPr>
              <w:jc w:val="center"/>
              <w:rPr>
                <w:rFonts w:cs="Arial"/>
                <w:color w:val="000000" w:themeColor="text1"/>
                <w:szCs w:val="16"/>
              </w:rPr>
            </w:pPr>
            <w:r w:rsidRPr="00781112">
              <w:rPr>
                <w:rFonts w:cs="Arial"/>
                <w:color w:val="000000" w:themeColor="text1"/>
                <w:szCs w:val="16"/>
              </w:rPr>
              <w:t>1,057</w:t>
            </w:r>
          </w:p>
        </w:tc>
        <w:tc>
          <w:tcPr>
            <w:tcW w:w="595" w:type="pct"/>
            <w:shd w:val="clear" w:color="auto" w:fill="auto"/>
            <w:vAlign w:val="center"/>
          </w:tcPr>
          <w:p w14:paraId="7A618E17" w14:textId="730CF37E" w:rsidR="009447A3" w:rsidRPr="00781112" w:rsidRDefault="002B7490" w:rsidP="004369B2">
            <w:pPr>
              <w:jc w:val="center"/>
              <w:rPr>
                <w:rFonts w:cs="Arial"/>
                <w:color w:val="000000" w:themeColor="text1"/>
                <w:szCs w:val="16"/>
              </w:rPr>
            </w:pPr>
            <w:r w:rsidRPr="00781112">
              <w:rPr>
                <w:rFonts w:cs="Arial"/>
                <w:color w:val="000000" w:themeColor="text1"/>
                <w:szCs w:val="16"/>
              </w:rPr>
              <w:t>96.99%</w:t>
            </w:r>
          </w:p>
        </w:tc>
        <w:tc>
          <w:tcPr>
            <w:tcW w:w="595" w:type="pct"/>
            <w:shd w:val="clear" w:color="auto" w:fill="auto"/>
            <w:vAlign w:val="center"/>
          </w:tcPr>
          <w:p w14:paraId="173DD24A" w14:textId="02E11A38"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95" w:type="pct"/>
            <w:shd w:val="clear" w:color="auto" w:fill="auto"/>
            <w:vAlign w:val="center"/>
          </w:tcPr>
          <w:p w14:paraId="1BEC9517" w14:textId="612C62AC" w:rsidR="009447A3" w:rsidRPr="00781112" w:rsidRDefault="002B7490" w:rsidP="004369B2">
            <w:pPr>
              <w:jc w:val="center"/>
              <w:rPr>
                <w:rFonts w:cs="Arial"/>
                <w:color w:val="000000" w:themeColor="text1"/>
                <w:szCs w:val="16"/>
              </w:rPr>
            </w:pPr>
            <w:r w:rsidRPr="00781112">
              <w:rPr>
                <w:rFonts w:cs="Arial"/>
                <w:color w:val="000000" w:themeColor="text1"/>
                <w:szCs w:val="16"/>
              </w:rPr>
              <w:t>82.78%</w:t>
            </w:r>
          </w:p>
        </w:tc>
        <w:tc>
          <w:tcPr>
            <w:tcW w:w="595" w:type="pct"/>
            <w:shd w:val="clear" w:color="auto" w:fill="auto"/>
            <w:vAlign w:val="center"/>
          </w:tcPr>
          <w:p w14:paraId="35C0024C" w14:textId="6347E5FC" w:rsidR="009447A3"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596" w:type="pct"/>
            <w:shd w:val="clear" w:color="auto" w:fill="auto"/>
            <w:vAlign w:val="center"/>
          </w:tcPr>
          <w:p w14:paraId="466F387F" w14:textId="652A9CC9" w:rsidR="009447A3" w:rsidRPr="00781112" w:rsidRDefault="002B7490" w:rsidP="004369B2">
            <w:pPr>
              <w:jc w:val="center"/>
              <w:rPr>
                <w:rFonts w:cs="Arial"/>
                <w:color w:val="000000" w:themeColor="text1"/>
                <w:szCs w:val="16"/>
              </w:rPr>
            </w:pPr>
            <w:r w:rsidRPr="00781112">
              <w:rPr>
                <w:rFonts w:cs="Arial"/>
                <w:color w:val="000000" w:themeColor="text1"/>
                <w:szCs w:val="16"/>
              </w:rPr>
              <w:t>Slippage</w:t>
            </w:r>
          </w:p>
        </w:tc>
      </w:tr>
    </w:tbl>
    <w:p w14:paraId="6E881701" w14:textId="244CA8FB" w:rsidR="001F2870" w:rsidRPr="00781112" w:rsidRDefault="00326C0B" w:rsidP="001F2870">
      <w:pPr>
        <w:rPr>
          <w:rFonts w:cs="Arial"/>
          <w:b/>
          <w:color w:val="000000" w:themeColor="text1"/>
          <w:szCs w:val="16"/>
        </w:rPr>
      </w:pPr>
      <w:r w:rsidRPr="00781112">
        <w:rPr>
          <w:rFonts w:cs="Arial"/>
          <w:b/>
          <w:color w:val="000000" w:themeColor="text1"/>
          <w:szCs w:val="16"/>
        </w:rPr>
        <w:t>Provide reasons for slippage, if applicable</w:t>
      </w:r>
    </w:p>
    <w:p w14:paraId="534101C3" w14:textId="6012D052" w:rsidR="00326C0B" w:rsidRPr="00781112" w:rsidRDefault="002B7490" w:rsidP="007D435F">
      <w:pPr>
        <w:rPr>
          <w:rFonts w:cs="Arial"/>
          <w:color w:val="000000" w:themeColor="text1"/>
          <w:szCs w:val="16"/>
        </w:rPr>
      </w:pPr>
      <w:r w:rsidRPr="00781112">
        <w:rPr>
          <w:rFonts w:cs="Arial"/>
          <w:color w:val="000000" w:themeColor="text1"/>
          <w:szCs w:val="16"/>
        </w:rPr>
        <w:t>Louisiana experienced slippage for this indicator due to the COVID-19 pandemic. Although school systems reopened for in-person learning in FFY 2020, school systems still struggled with noncompliance for COVID-related reasons. For instance, some LEAs experienced parental delays due safety concerns, e.g., the parent did not feel comfortable bringing in the child to another environment to be assessed. Other LEAs experienced delays due to personnel, the parents, or even the child testing positive for COVID.</w:t>
      </w:r>
    </w:p>
    <w:p w14:paraId="0416C2F1" w14:textId="701A59F0" w:rsidR="00A5601C" w:rsidRPr="00781112" w:rsidRDefault="00A5601C" w:rsidP="007D435F">
      <w:pPr>
        <w:rPr>
          <w:rFonts w:cs="Arial"/>
          <w:b/>
          <w:color w:val="000000" w:themeColor="text1"/>
          <w:szCs w:val="16"/>
        </w:rPr>
      </w:pPr>
      <w:r w:rsidRPr="00781112">
        <w:rPr>
          <w:rFonts w:cs="Arial"/>
          <w:b/>
          <w:color w:val="000000" w:themeColor="text1"/>
          <w:szCs w:val="16"/>
        </w:rPr>
        <w:t>Number of children who served in Part C and referred to Part B for eligibility determination that are not included in b, c, d, e, or f</w:t>
      </w:r>
    </w:p>
    <w:p w14:paraId="621D77AD" w14:textId="2BC90681" w:rsidR="00A5601C" w:rsidRPr="00781112" w:rsidRDefault="00A5601C" w:rsidP="007D435F">
      <w:pPr>
        <w:rPr>
          <w:rFonts w:cs="Arial"/>
          <w:color w:val="000000" w:themeColor="text1"/>
          <w:szCs w:val="16"/>
        </w:rPr>
      </w:pPr>
      <w:r w:rsidRPr="00781112">
        <w:rPr>
          <w:rFonts w:cs="Arial"/>
          <w:color w:val="000000" w:themeColor="text1"/>
          <w:szCs w:val="16"/>
        </w:rPr>
        <w:t>182</w:t>
      </w:r>
    </w:p>
    <w:p w14:paraId="2DB77447" w14:textId="5C5B3699" w:rsidR="00E418E6" w:rsidRPr="00781112" w:rsidRDefault="00326C0B" w:rsidP="006A01BD">
      <w:pPr>
        <w:rPr>
          <w:b/>
          <w:color w:val="000000" w:themeColor="text1"/>
        </w:rPr>
      </w:pPr>
      <w:r w:rsidRPr="00781112">
        <w:rPr>
          <w:b/>
          <w:color w:val="000000" w:themeColor="text1"/>
        </w:rPr>
        <w:t>Account for children included in (a), but not included in b, c, d, e, or f. Indicate the range of days beyond the third birthday when eligibility was determined and the IEP developed, and the reasons for the delays.</w:t>
      </w:r>
    </w:p>
    <w:p w14:paraId="542A680D" w14:textId="2831B065" w:rsidR="00326C0B" w:rsidRPr="00781112" w:rsidRDefault="002B7490" w:rsidP="006A01BD">
      <w:pPr>
        <w:rPr>
          <w:bCs/>
          <w:color w:val="000000" w:themeColor="text1"/>
        </w:rPr>
      </w:pPr>
      <w:r w:rsidRPr="00781112">
        <w:rPr>
          <w:bCs/>
          <w:color w:val="000000" w:themeColor="text1"/>
        </w:rPr>
        <w:t>Please see attached table, Reason for Non-Compliance and Range of Days, for an account of children included in the (a), but not included in b, c, d, e, or f.</w:t>
      </w:r>
    </w:p>
    <w:p w14:paraId="4BE9E8DB" w14:textId="127EF17F" w:rsidR="00A5601C" w:rsidRPr="00781112" w:rsidRDefault="00326C0B" w:rsidP="006A01BD">
      <w:pPr>
        <w:rPr>
          <w:b/>
          <w:color w:val="000000" w:themeColor="text1"/>
        </w:rPr>
      </w:pPr>
      <w:r w:rsidRPr="00781112">
        <w:rPr>
          <w:b/>
          <w:color w:val="000000" w:themeColor="text1"/>
        </w:rPr>
        <w:t>Attach PDF table (optional)</w:t>
      </w:r>
    </w:p>
    <w:p w14:paraId="79E6A8DD" w14:textId="2B03416C" w:rsidR="00326C0B" w:rsidRPr="00781112" w:rsidRDefault="002B7490" w:rsidP="006A01BD">
      <w:pPr>
        <w:rPr>
          <w:bCs/>
          <w:color w:val="000000" w:themeColor="text1"/>
        </w:rPr>
      </w:pPr>
      <w:bookmarkStart w:id="71" w:name="_Hlk20318414"/>
      <w:r w:rsidRPr="00781112">
        <w:rPr>
          <w:bCs/>
          <w:color w:val="000000" w:themeColor="text1"/>
        </w:rPr>
        <w:t>Louisiana FFY 2020 Indicator 12 Reasons for Non-Compliance and Range of Days</w:t>
      </w:r>
      <w:bookmarkEnd w:id="71"/>
    </w:p>
    <w:p w14:paraId="5E057416" w14:textId="77777777" w:rsidR="00A5601C" w:rsidRPr="00781112" w:rsidRDefault="009447A3">
      <w:pPr>
        <w:rPr>
          <w:b/>
          <w:color w:val="000000" w:themeColor="text1"/>
        </w:rPr>
      </w:pPr>
      <w:r w:rsidRPr="00781112">
        <w:rPr>
          <w:b/>
          <w:color w:val="000000" w:themeColor="text1"/>
        </w:rPr>
        <w:t>What is the source of the data provided for this indicator?</w:t>
      </w:r>
    </w:p>
    <w:p w14:paraId="50B7435C" w14:textId="024484CA" w:rsidR="009447A3" w:rsidRPr="00781112" w:rsidRDefault="002B7490" w:rsidP="004369B2">
      <w:pPr>
        <w:rPr>
          <w:color w:val="000000" w:themeColor="text1"/>
        </w:rPr>
      </w:pPr>
      <w:r w:rsidRPr="00781112">
        <w:rPr>
          <w:color w:val="000000" w:themeColor="text1"/>
        </w:rPr>
        <w:t>State monitoring</w:t>
      </w:r>
    </w:p>
    <w:p w14:paraId="4558F99F" w14:textId="77777777" w:rsidR="009447A3" w:rsidRPr="00781112" w:rsidRDefault="009447A3"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6C2B5D1A" w14:textId="61019073" w:rsidR="00326C0B" w:rsidRPr="00781112" w:rsidRDefault="002B7490" w:rsidP="008E31C4">
      <w:pPr>
        <w:rPr>
          <w:rFonts w:cs="Arial"/>
          <w:color w:val="000000" w:themeColor="text1"/>
          <w:szCs w:val="16"/>
        </w:rPr>
      </w:pPr>
      <w:r w:rsidRPr="00781112">
        <w:rPr>
          <w:rFonts w:cs="Arial"/>
          <w:color w:val="000000" w:themeColor="text1"/>
          <w:szCs w:val="16"/>
        </w:rPr>
        <w:t>There are two components to LDOE's data collection method:</w:t>
      </w:r>
      <w:r w:rsidRPr="00781112">
        <w:rPr>
          <w:rFonts w:cs="Arial"/>
          <w:color w:val="000000" w:themeColor="text1"/>
          <w:szCs w:val="16"/>
        </w:rPr>
        <w:br/>
      </w:r>
      <w:r w:rsidRPr="00781112">
        <w:rPr>
          <w:rFonts w:cs="Arial"/>
          <w:color w:val="000000" w:themeColor="text1"/>
          <w:szCs w:val="16"/>
        </w:rPr>
        <w:br/>
        <w:t>First, LDOE engages in a monthly review of relevant data. IDEA Part C program staff, managed by Louisiana’s Department of Health, provides LDOE monthly reports and eligibility data. LDOE’s Part B staff, including the Indicator 12 manager, collaborate with LDOE’s data analytics personnel to identify children who were referred and determined to be NOT eligible, and whose eligibility was determined prior to his/her third birthday.</w:t>
      </w:r>
      <w:r w:rsidRPr="00781112">
        <w:rPr>
          <w:rFonts w:cs="Arial"/>
          <w:color w:val="000000" w:themeColor="text1"/>
          <w:szCs w:val="16"/>
        </w:rPr>
        <w:br/>
      </w:r>
      <w:r w:rsidRPr="00781112">
        <w:rPr>
          <w:rFonts w:cs="Arial"/>
          <w:color w:val="000000" w:themeColor="text1"/>
          <w:szCs w:val="16"/>
        </w:rPr>
        <w:br/>
        <w:t>Second, LDOE conducts a yearly review of these data. LDOE compiles a report from its state database, the Special Education Reporting (SER) system, that includes data for the entire reporting year. The report identifies the percentage of compliance for the last year, by quarter, for each school system. After this report is completed, the Indicator 12 manager assembles a list of LEAs that did not meet the federally-mandated 100% target. LDOE then notifies any LEA with noncompliance. LEAs must submit the completed Plan of Action within 30 days that indicates the reason for the delay, the root cause and what they will do to rectify the situation.</w:t>
      </w:r>
    </w:p>
    <w:p w14:paraId="6353DD92" w14:textId="77777777" w:rsidR="00E46206" w:rsidRPr="00781112" w:rsidRDefault="00E46206" w:rsidP="00E46206">
      <w:pPr>
        <w:rPr>
          <w:rFonts w:cs="Arial"/>
          <w:b/>
          <w:color w:val="000000" w:themeColor="text1"/>
          <w:szCs w:val="16"/>
        </w:rPr>
      </w:pPr>
      <w:r w:rsidRPr="00781112">
        <w:rPr>
          <w:rFonts w:cs="Arial"/>
          <w:b/>
          <w:color w:val="000000" w:themeColor="text1"/>
          <w:szCs w:val="16"/>
        </w:rPr>
        <w:t>Provide additional information about this indicator (optional)</w:t>
      </w:r>
    </w:p>
    <w:p w14:paraId="7201221D" w14:textId="686A034C" w:rsidR="00326C0B" w:rsidRPr="00781112" w:rsidRDefault="00326C0B" w:rsidP="007D435F">
      <w:pPr>
        <w:rPr>
          <w:rFonts w:cs="Arial"/>
          <w:color w:val="000000" w:themeColor="text1"/>
          <w:szCs w:val="16"/>
        </w:rPr>
      </w:pPr>
    </w:p>
    <w:p w14:paraId="4E94D02C" w14:textId="77777777" w:rsidR="009C5AE7" w:rsidRPr="00781112" w:rsidRDefault="009C5AE7" w:rsidP="004369B2">
      <w:pPr>
        <w:rPr>
          <w:color w:val="000000" w:themeColor="text1"/>
        </w:rPr>
      </w:pPr>
    </w:p>
    <w:p w14:paraId="7740DC21" w14:textId="3709E629"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12PFFYNCFINDINGS"/>
      </w:tblPr>
      <w:tblGrid>
        <w:gridCol w:w="2650"/>
        <w:gridCol w:w="2780"/>
        <w:gridCol w:w="2656"/>
        <w:gridCol w:w="2704"/>
      </w:tblGrid>
      <w:tr w:rsidR="005C29F8" w:rsidRPr="00781112" w14:paraId="716024C7" w14:textId="77777777" w:rsidTr="00455889">
        <w:trPr>
          <w:trHeight w:val="389"/>
          <w:tblHeader/>
        </w:trPr>
        <w:tc>
          <w:tcPr>
            <w:tcW w:w="1228" w:type="pct"/>
            <w:shd w:val="clear" w:color="auto" w:fill="auto"/>
            <w:vAlign w:val="bottom"/>
          </w:tcPr>
          <w:p w14:paraId="0E49E3D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43B565E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113F3E4"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15802D8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362EE0E" w14:textId="77777777" w:rsidTr="00455889">
        <w:tc>
          <w:tcPr>
            <w:tcW w:w="1228" w:type="pct"/>
            <w:shd w:val="clear" w:color="auto" w:fill="auto"/>
          </w:tcPr>
          <w:p w14:paraId="106FED18" w14:textId="3538FD80" w:rsidR="009A755E" w:rsidRPr="00781112" w:rsidRDefault="002B7490" w:rsidP="00A018D4">
            <w:pPr>
              <w:jc w:val="center"/>
              <w:rPr>
                <w:rFonts w:cs="Arial"/>
                <w:color w:val="000000" w:themeColor="text1"/>
                <w:szCs w:val="16"/>
              </w:rPr>
            </w:pPr>
            <w:r w:rsidRPr="00781112">
              <w:rPr>
                <w:rFonts w:cs="Arial"/>
                <w:color w:val="000000" w:themeColor="text1"/>
                <w:szCs w:val="16"/>
              </w:rPr>
              <w:t>33</w:t>
            </w:r>
          </w:p>
        </w:tc>
        <w:tc>
          <w:tcPr>
            <w:tcW w:w="1288" w:type="pct"/>
            <w:shd w:val="clear" w:color="auto" w:fill="auto"/>
          </w:tcPr>
          <w:p w14:paraId="30E75C81" w14:textId="5263D718" w:rsidR="009A755E" w:rsidRPr="00781112" w:rsidRDefault="002B7490" w:rsidP="00A018D4">
            <w:pPr>
              <w:jc w:val="center"/>
              <w:rPr>
                <w:rFonts w:cs="Arial"/>
                <w:color w:val="000000" w:themeColor="text1"/>
                <w:szCs w:val="16"/>
              </w:rPr>
            </w:pPr>
            <w:r w:rsidRPr="00781112">
              <w:rPr>
                <w:rFonts w:cs="Arial"/>
                <w:color w:val="000000" w:themeColor="text1"/>
                <w:szCs w:val="16"/>
              </w:rPr>
              <w:t>30</w:t>
            </w:r>
          </w:p>
        </w:tc>
        <w:tc>
          <w:tcPr>
            <w:tcW w:w="1231" w:type="pct"/>
            <w:shd w:val="clear" w:color="auto" w:fill="auto"/>
          </w:tcPr>
          <w:p w14:paraId="36D48FD7" w14:textId="2F6E80E6" w:rsidR="009A755E" w:rsidRPr="00781112" w:rsidRDefault="002B7490" w:rsidP="00A018D4">
            <w:pPr>
              <w:jc w:val="center"/>
              <w:rPr>
                <w:rFonts w:cs="Arial"/>
                <w:color w:val="000000" w:themeColor="text1"/>
                <w:szCs w:val="16"/>
              </w:rPr>
            </w:pPr>
            <w:r w:rsidRPr="00781112">
              <w:rPr>
                <w:rFonts w:cs="Arial"/>
                <w:color w:val="000000" w:themeColor="text1"/>
                <w:szCs w:val="16"/>
              </w:rPr>
              <w:t>3</w:t>
            </w:r>
          </w:p>
        </w:tc>
        <w:tc>
          <w:tcPr>
            <w:tcW w:w="1254" w:type="pct"/>
            <w:shd w:val="clear" w:color="auto" w:fill="auto"/>
          </w:tcPr>
          <w:p w14:paraId="139EEFD1" w14:textId="6A5591D3"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155373B8" w14:textId="11CF8D43" w:rsidR="009A755E" w:rsidRPr="00781112" w:rsidRDefault="00F6415A" w:rsidP="004369B2">
      <w:pPr>
        <w:rPr>
          <w:color w:val="000000" w:themeColor="text1"/>
        </w:rPr>
      </w:pPr>
      <w:r w:rsidRPr="00781112">
        <w:rPr>
          <w:b/>
          <w:color w:val="000000" w:themeColor="text1"/>
        </w:rPr>
        <w:t>FFY 2019 Findings of Noncompliance Verified as Corrected</w:t>
      </w:r>
    </w:p>
    <w:p w14:paraId="3D8B0B26" w14:textId="565C69B4"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669CC58" w14:textId="38E853B3" w:rsidR="00326C0B" w:rsidRPr="00781112" w:rsidRDefault="002B7490" w:rsidP="009A755E">
      <w:pPr>
        <w:rPr>
          <w:rFonts w:cs="Arial"/>
          <w:color w:val="000000" w:themeColor="text1"/>
          <w:szCs w:val="16"/>
        </w:rPr>
      </w:pPr>
      <w:r w:rsidRPr="00781112">
        <w:rPr>
          <w:rFonts w:cs="Arial"/>
          <w:color w:val="000000" w:themeColor="text1"/>
          <w:szCs w:val="16"/>
        </w:rPr>
        <w:t xml:space="preserve">Each year, the 619 Coordinator receives a Statewide Summary Report from the SER Manager that indicates LEAs meeting compliance and those that do not meet the 100% requirement. SER calculates compliance by comparing the child's date of birth with the data entered by LEA staff for IEP Implementation and date services are started. If the date of IEP Implementation and Service Start date are not on or before the child's third birthday, the system indicates that in the report, and a finding of non-compliance is generated. The report provides compliance ratings for each quarter of the year. LEAs are notified of the non-compliance and placed in a Corrective Action Plan (CAP). The CAP includes activities that target the areas of noncompliance listed on the monitoring report. For each CAP activity, the LEA must submit a deliverable according to the timeline prescribed on the CAP. Each CAP activity is reviewed and feedback is given to the LEA as to whether or not the deliverable is sufficient to address the activity on the CAP. If the deliverable is not sufficient, the LEA is notified and they are directed to resubmit with the correct information. If the information submitted is sufficient, then the LEA is notified that the activity is complete for that particular activity and timeline. Once the LEA has been found to sufficiently have </w:t>
      </w:r>
      <w:r w:rsidRPr="00781112">
        <w:rPr>
          <w:rFonts w:cs="Arial"/>
          <w:color w:val="000000" w:themeColor="text1"/>
          <w:szCs w:val="16"/>
        </w:rPr>
        <w:lastRenderedPageBreak/>
        <w:t xml:space="preserve">completed all activities on the CAP by the LDOE reviewer, the LEA is sent an email closing out the CAP. The LEA must also go through a follow-up monitoring (desk review or onsite) where new data is reviewed to see if systemic changes of compliance have occurred from prior monitoring. </w:t>
      </w:r>
    </w:p>
    <w:p w14:paraId="1F3D7853" w14:textId="324FF78E"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0E95D025" w14:textId="78E1AA95" w:rsidR="00326C0B" w:rsidRPr="00781112" w:rsidRDefault="002B7490" w:rsidP="009A755E">
      <w:pPr>
        <w:rPr>
          <w:rFonts w:cs="Arial"/>
          <w:color w:val="000000" w:themeColor="text1"/>
          <w:szCs w:val="16"/>
        </w:rPr>
      </w:pPr>
      <w:r w:rsidRPr="00781112">
        <w:rPr>
          <w:rFonts w:cs="Arial"/>
          <w:color w:val="000000" w:themeColor="text1"/>
          <w:szCs w:val="16"/>
        </w:rPr>
        <w:t>Each year, the State verifies this by a review of a SER Compliance Statewide Summary Report. The report indicates LEAs and the levels of compliance across 4 quarters of the year. A list of all LEAs in non-compliance each year is maintained by the 619 Coordinator. State staff use the previous year's report to determine which LEAs were out of compliance for that period and compare this information with the LEA status for the current year report. Any LEA with corrected non-compliance in at least one quarter was considered having corrected that non-compliance.</w:t>
      </w:r>
    </w:p>
    <w:p w14:paraId="1A909BBB" w14:textId="77777777" w:rsidR="00455889" w:rsidRPr="00781112" w:rsidRDefault="00455889" w:rsidP="004369B2">
      <w:pPr>
        <w:rPr>
          <w:color w:val="000000" w:themeColor="text1"/>
        </w:rPr>
      </w:pPr>
    </w:p>
    <w:p w14:paraId="1C75EC2F" w14:textId="3CE1BDB8"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12PPFFYNCFINDINGS"/>
      </w:tblPr>
      <w:tblGrid>
        <w:gridCol w:w="2192"/>
        <w:gridCol w:w="2935"/>
        <w:gridCol w:w="2924"/>
        <w:gridCol w:w="2739"/>
      </w:tblGrid>
      <w:tr w:rsidR="005C29F8" w:rsidRPr="00781112" w14:paraId="4192A257" w14:textId="77777777" w:rsidTr="00AB0D6A">
        <w:trPr>
          <w:tblHeader/>
        </w:trPr>
        <w:tc>
          <w:tcPr>
            <w:tcW w:w="1016" w:type="pct"/>
            <w:shd w:val="clear" w:color="auto" w:fill="auto"/>
            <w:vAlign w:val="bottom"/>
          </w:tcPr>
          <w:p w14:paraId="72F29034" w14:textId="1B3341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60" w:type="pct"/>
            <w:shd w:val="clear" w:color="auto" w:fill="auto"/>
            <w:vAlign w:val="bottom"/>
          </w:tcPr>
          <w:p w14:paraId="5E92FF85" w14:textId="3B380CB1"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355" w:type="pct"/>
            <w:shd w:val="clear" w:color="auto" w:fill="auto"/>
            <w:vAlign w:val="bottom"/>
          </w:tcPr>
          <w:p w14:paraId="4861690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5C0832D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04865EB" w14:textId="77777777" w:rsidTr="00AB0D6A">
        <w:tc>
          <w:tcPr>
            <w:tcW w:w="1016" w:type="pct"/>
            <w:shd w:val="clear" w:color="auto" w:fill="auto"/>
          </w:tcPr>
          <w:p w14:paraId="316ACDB5" w14:textId="541F250F" w:rsidR="009A755E" w:rsidRPr="00781112" w:rsidRDefault="002B7490" w:rsidP="00A018D4">
            <w:pPr>
              <w:jc w:val="center"/>
              <w:rPr>
                <w:rFonts w:cs="Arial"/>
                <w:color w:val="000000" w:themeColor="text1"/>
                <w:szCs w:val="16"/>
              </w:rPr>
            </w:pPr>
            <w:r w:rsidRPr="00781112">
              <w:rPr>
                <w:rFonts w:cs="Arial"/>
                <w:color w:val="000000" w:themeColor="text1"/>
                <w:szCs w:val="16"/>
              </w:rPr>
              <w:t>FFY 2018</w:t>
            </w:r>
          </w:p>
        </w:tc>
        <w:tc>
          <w:tcPr>
            <w:tcW w:w="1360" w:type="pct"/>
            <w:shd w:val="clear" w:color="auto" w:fill="auto"/>
          </w:tcPr>
          <w:p w14:paraId="69625405" w14:textId="789965CC" w:rsidR="009A755E" w:rsidRPr="00781112" w:rsidRDefault="002B7490">
            <w:pPr>
              <w:jc w:val="center"/>
              <w:rPr>
                <w:rFonts w:cs="Arial"/>
                <w:noProof/>
                <w:color w:val="000000" w:themeColor="text1"/>
                <w:szCs w:val="16"/>
              </w:rPr>
            </w:pPr>
            <w:r w:rsidRPr="00781112">
              <w:rPr>
                <w:rFonts w:cs="Arial"/>
                <w:color w:val="000000" w:themeColor="text1"/>
                <w:szCs w:val="16"/>
              </w:rPr>
              <w:t>2</w:t>
            </w:r>
          </w:p>
        </w:tc>
        <w:tc>
          <w:tcPr>
            <w:tcW w:w="1355" w:type="pct"/>
            <w:shd w:val="clear" w:color="auto" w:fill="auto"/>
          </w:tcPr>
          <w:p w14:paraId="7C3E37A7" w14:textId="61202FB3" w:rsidR="009A755E" w:rsidRPr="00781112" w:rsidRDefault="002B7490">
            <w:pPr>
              <w:jc w:val="center"/>
              <w:rPr>
                <w:rFonts w:cs="Arial"/>
                <w:noProof/>
                <w:color w:val="000000" w:themeColor="text1"/>
                <w:szCs w:val="16"/>
              </w:rPr>
            </w:pPr>
            <w:r w:rsidRPr="00781112">
              <w:rPr>
                <w:rFonts w:cs="Arial"/>
                <w:color w:val="000000" w:themeColor="text1"/>
                <w:szCs w:val="16"/>
              </w:rPr>
              <w:t>2</w:t>
            </w:r>
          </w:p>
        </w:tc>
        <w:tc>
          <w:tcPr>
            <w:tcW w:w="1269" w:type="pct"/>
            <w:shd w:val="clear" w:color="auto" w:fill="auto"/>
          </w:tcPr>
          <w:p w14:paraId="79E9FAD3" w14:textId="3428603A" w:rsidR="009A755E" w:rsidRPr="00781112" w:rsidRDefault="002B7490">
            <w:pPr>
              <w:jc w:val="center"/>
              <w:rPr>
                <w:rFonts w:cs="Arial"/>
                <w:noProof/>
                <w:color w:val="000000" w:themeColor="text1"/>
                <w:szCs w:val="16"/>
              </w:rPr>
            </w:pPr>
            <w:r w:rsidRPr="00781112">
              <w:rPr>
                <w:rFonts w:cs="Arial"/>
                <w:color w:val="000000" w:themeColor="text1"/>
                <w:szCs w:val="16"/>
              </w:rPr>
              <w:t>0</w:t>
            </w:r>
          </w:p>
        </w:tc>
      </w:tr>
      <w:tr w:rsidR="005C29F8" w:rsidRPr="00781112" w14:paraId="7F75F2C7" w14:textId="77777777" w:rsidTr="00AB0D6A">
        <w:tc>
          <w:tcPr>
            <w:tcW w:w="1016" w:type="pct"/>
            <w:shd w:val="clear" w:color="auto" w:fill="auto"/>
          </w:tcPr>
          <w:p w14:paraId="147AA631" w14:textId="76843337" w:rsidR="009A755E" w:rsidRPr="00781112" w:rsidRDefault="009A755E" w:rsidP="00A018D4">
            <w:pPr>
              <w:jc w:val="center"/>
              <w:rPr>
                <w:rFonts w:cs="Arial"/>
                <w:color w:val="000000" w:themeColor="text1"/>
                <w:szCs w:val="16"/>
              </w:rPr>
            </w:pPr>
          </w:p>
        </w:tc>
        <w:tc>
          <w:tcPr>
            <w:tcW w:w="1360" w:type="pct"/>
            <w:shd w:val="clear" w:color="auto" w:fill="auto"/>
          </w:tcPr>
          <w:p w14:paraId="404653A8" w14:textId="163A8B38" w:rsidR="009A755E" w:rsidRPr="00781112" w:rsidRDefault="009A755E">
            <w:pPr>
              <w:jc w:val="center"/>
              <w:rPr>
                <w:rFonts w:cs="Arial"/>
                <w:noProof/>
                <w:color w:val="000000" w:themeColor="text1"/>
                <w:szCs w:val="16"/>
              </w:rPr>
            </w:pPr>
          </w:p>
        </w:tc>
        <w:tc>
          <w:tcPr>
            <w:tcW w:w="1355" w:type="pct"/>
            <w:shd w:val="clear" w:color="auto" w:fill="auto"/>
          </w:tcPr>
          <w:p w14:paraId="6504342A" w14:textId="13575C8A" w:rsidR="009A755E" w:rsidRPr="00781112" w:rsidRDefault="009A755E">
            <w:pPr>
              <w:jc w:val="center"/>
              <w:rPr>
                <w:rFonts w:cs="Arial"/>
                <w:noProof/>
                <w:color w:val="000000" w:themeColor="text1"/>
                <w:szCs w:val="16"/>
              </w:rPr>
            </w:pPr>
          </w:p>
        </w:tc>
        <w:tc>
          <w:tcPr>
            <w:tcW w:w="1269" w:type="pct"/>
            <w:shd w:val="clear" w:color="auto" w:fill="auto"/>
          </w:tcPr>
          <w:p w14:paraId="6D520AD1" w14:textId="4947031C" w:rsidR="009A755E" w:rsidRPr="00781112" w:rsidRDefault="009A755E">
            <w:pPr>
              <w:jc w:val="center"/>
              <w:rPr>
                <w:rFonts w:cs="Arial"/>
                <w:noProof/>
                <w:color w:val="000000" w:themeColor="text1"/>
                <w:szCs w:val="16"/>
              </w:rPr>
            </w:pPr>
          </w:p>
        </w:tc>
      </w:tr>
      <w:tr w:rsidR="005C29F8" w:rsidRPr="00781112" w14:paraId="2D4810B4" w14:textId="77777777" w:rsidTr="00AB0D6A">
        <w:tc>
          <w:tcPr>
            <w:tcW w:w="1016" w:type="pct"/>
            <w:shd w:val="clear" w:color="auto" w:fill="auto"/>
          </w:tcPr>
          <w:p w14:paraId="6AEFAA10" w14:textId="16E2E3E6" w:rsidR="009A755E" w:rsidRPr="00781112" w:rsidRDefault="009A755E" w:rsidP="00A018D4">
            <w:pPr>
              <w:jc w:val="center"/>
              <w:rPr>
                <w:rFonts w:cs="Arial"/>
                <w:color w:val="000000" w:themeColor="text1"/>
                <w:szCs w:val="16"/>
              </w:rPr>
            </w:pPr>
          </w:p>
        </w:tc>
        <w:tc>
          <w:tcPr>
            <w:tcW w:w="1360" w:type="pct"/>
            <w:shd w:val="clear" w:color="auto" w:fill="auto"/>
          </w:tcPr>
          <w:p w14:paraId="075C05B4" w14:textId="1672B0AC" w:rsidR="009A755E" w:rsidRPr="00781112" w:rsidRDefault="009A755E">
            <w:pPr>
              <w:jc w:val="center"/>
              <w:rPr>
                <w:rFonts w:cs="Arial"/>
                <w:noProof/>
                <w:color w:val="000000" w:themeColor="text1"/>
                <w:szCs w:val="16"/>
              </w:rPr>
            </w:pPr>
          </w:p>
        </w:tc>
        <w:tc>
          <w:tcPr>
            <w:tcW w:w="1355" w:type="pct"/>
            <w:shd w:val="clear" w:color="auto" w:fill="auto"/>
          </w:tcPr>
          <w:p w14:paraId="70536E6E" w14:textId="5BE8198D" w:rsidR="009A755E" w:rsidRPr="00781112" w:rsidRDefault="009A755E">
            <w:pPr>
              <w:jc w:val="center"/>
              <w:rPr>
                <w:rFonts w:cs="Arial"/>
                <w:noProof/>
                <w:color w:val="000000" w:themeColor="text1"/>
                <w:szCs w:val="16"/>
              </w:rPr>
            </w:pPr>
          </w:p>
        </w:tc>
        <w:tc>
          <w:tcPr>
            <w:tcW w:w="1269" w:type="pct"/>
            <w:shd w:val="clear" w:color="auto" w:fill="auto"/>
          </w:tcPr>
          <w:p w14:paraId="4BC059F6" w14:textId="5DCA531E" w:rsidR="009A755E" w:rsidRPr="00781112" w:rsidRDefault="009A755E">
            <w:pPr>
              <w:jc w:val="center"/>
              <w:rPr>
                <w:rFonts w:cs="Arial"/>
                <w:noProof/>
                <w:color w:val="000000" w:themeColor="text1"/>
                <w:szCs w:val="16"/>
              </w:rPr>
            </w:pPr>
          </w:p>
        </w:tc>
      </w:tr>
    </w:tbl>
    <w:p w14:paraId="4143DCC4" w14:textId="38B3123A" w:rsidR="009A221D" w:rsidRPr="00781112" w:rsidRDefault="009A221D" w:rsidP="004369B2">
      <w:pPr>
        <w:rPr>
          <w:rFonts w:cs="Arial"/>
          <w:b/>
          <w:bCs/>
          <w:color w:val="000000" w:themeColor="text1"/>
          <w:szCs w:val="16"/>
        </w:rPr>
      </w:pPr>
      <w:r w:rsidRPr="00781112">
        <w:rPr>
          <w:rFonts w:cs="Arial"/>
          <w:b/>
          <w:bCs/>
          <w:color w:val="000000" w:themeColor="text1"/>
          <w:szCs w:val="16"/>
        </w:rPr>
        <w:t>FFY 2018</w:t>
      </w:r>
    </w:p>
    <w:p w14:paraId="40B5972B" w14:textId="35E39518" w:rsidR="009A755E" w:rsidRPr="00781112" w:rsidRDefault="009A755E" w:rsidP="004369B2">
      <w:pPr>
        <w:rPr>
          <w:color w:val="000000" w:themeColor="text1"/>
        </w:rPr>
      </w:pPr>
      <w:r w:rsidRPr="00781112">
        <w:rPr>
          <w:b/>
          <w:color w:val="000000" w:themeColor="text1"/>
        </w:rPr>
        <w:t>Findings of Noncompliance Verified as Corrected</w:t>
      </w:r>
    </w:p>
    <w:p w14:paraId="117514EE" w14:textId="5B6D492E"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01FFA1B" w14:textId="76DB8279" w:rsidR="00326C0B" w:rsidRPr="00781112" w:rsidRDefault="002B7490" w:rsidP="009A755E">
      <w:pPr>
        <w:rPr>
          <w:rFonts w:cs="Arial"/>
          <w:color w:val="000000" w:themeColor="text1"/>
          <w:szCs w:val="16"/>
        </w:rPr>
      </w:pPr>
      <w:r w:rsidRPr="00781112">
        <w:rPr>
          <w:rFonts w:cs="Arial"/>
          <w:color w:val="000000" w:themeColor="text1"/>
          <w:szCs w:val="16"/>
        </w:rPr>
        <w:t>Each year, the 619 Coordinator receives a Statewide Summary Report from the SER Manager that indicates LEAs meeting compliance and those that do not meet the 100% requirement. SER calculates compliance by comparing the child's date of birth with the data entered by LEA staff for IEP Implementation and date services are started. If the date of IEP Implementation and Service Start date are not on or before the child's third birthday, the system indicates that in the report, and a finding of non-compliance is generated. The report provides compliance ratings for each quarter of the year. LEAs are notified of the non-compliance and placed in a Corrective Action Plan (CAP). The CAP includes activities that target the areas of noncompliance listed on the monitoring report. For each CAP activity, the LEA must submit a deliverable according to the timeline prescribed on the CAP. Each CAP activity is reviewed and feedback is given to the LEA as to whether or not the deliverable is sufficient to address the activity on the CAP. If the deliverable is not sufficient, the LEA is notified and they are directed to resubmit with the correct information. If the information submitted is sufficient, then the LEA is notified that the activity is complete for that particular activity and timeline. Once the LEA has been found to sufficiently have completed all activities on the CAP by the LDOE reviewer, the LEA is sent an email closing out the CAP. The LEA must also go through a follow-up monitoring (desk review or onsite) where new data is reviewed to see if systemic changes of compliance have occurred from prior monitoring.</w:t>
      </w:r>
    </w:p>
    <w:p w14:paraId="6B03DC75" w14:textId="276B365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27BA6C56" w14:textId="41FA16F5" w:rsidR="00326C0B" w:rsidRPr="00781112" w:rsidRDefault="002B7490" w:rsidP="009A755E">
      <w:pPr>
        <w:rPr>
          <w:rFonts w:cs="Arial"/>
          <w:color w:val="000000" w:themeColor="text1"/>
          <w:szCs w:val="16"/>
        </w:rPr>
      </w:pPr>
      <w:r w:rsidRPr="00781112">
        <w:rPr>
          <w:rFonts w:cs="Arial"/>
          <w:color w:val="000000" w:themeColor="text1"/>
          <w:szCs w:val="16"/>
        </w:rPr>
        <w:t>Each year, the State verifies this by a review of a SER Compliance Statewide Summary Report. The report indicates LEAs and the levels of compliance across 4 quarters of the year. A list of all LEAs in non-compliance each year is maintained by the 619 Coordinator. State staff use the previous year's report to determine which LEAs were out of compliance for that period and compare this information with the LEA status for the current year report. Any LEA with corrected non-compliance in at least one quarter was considered having corrected that non-compliance.</w:t>
      </w:r>
    </w:p>
    <w:p w14:paraId="2F3E7ED0" w14:textId="1BDCCC61" w:rsidR="004E2151" w:rsidRPr="00781112" w:rsidRDefault="00056350" w:rsidP="00123D76">
      <w:pPr>
        <w:pStyle w:val="Heading2"/>
      </w:pPr>
      <w:r w:rsidRPr="00781112">
        <w:t>12</w:t>
      </w:r>
      <w:r w:rsidR="004838A4" w:rsidRPr="00781112">
        <w:t xml:space="preserve"> </w:t>
      </w:r>
      <w:r w:rsidRPr="00781112">
        <w:t xml:space="preserve">- </w:t>
      </w:r>
      <w:r w:rsidR="004E2151" w:rsidRPr="00781112">
        <w:t>Prior FFY Required Actions</w:t>
      </w:r>
    </w:p>
    <w:p w14:paraId="3D03A210" w14:textId="19033EA5" w:rsidR="009F69E7" w:rsidRPr="00781112" w:rsidRDefault="002B7490" w:rsidP="004E2151">
      <w:pPr>
        <w:rPr>
          <w:rFonts w:cs="Arial"/>
          <w:color w:val="000000" w:themeColor="text1"/>
          <w:szCs w:val="16"/>
        </w:rPr>
      </w:pPr>
      <w:r w:rsidRPr="00781112">
        <w:rPr>
          <w:rFonts w:cs="Arial"/>
          <w:color w:val="000000" w:themeColor="text1"/>
          <w:szCs w:val="16"/>
        </w:rPr>
        <w:t xml:space="preserve">Because the State reported less than 100% compliance for FFY 2019, the State must report on the status of correction of noncompliance identified in FFY 2019 for this indicator. In addition, the State must demonstrate, in the FFY 2020 SPP/APR, that the remaining two uncorrected findings of noncompliance identified in FFY 2018 were corrected. When reporting on the correction of noncompliance, the State must report, in the FFY 2020 SPP/APR, that it has verified that each LEA with findings of noncompliance identified in FFY 2019 and each LEA with remaining noncompliance identified in FFY 2018: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2020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br/>
        <w:t>If the State did not identify any findings of noncompliance in FFY 2019, although its FFY 2019 data reflect less than 100% compliance, provide an explanation of why the State did not identify any findings of noncompliance in FFY 2019.</w:t>
      </w:r>
    </w:p>
    <w:p w14:paraId="3F84A4E0" w14:textId="704BBBC3" w:rsidR="004E2151" w:rsidRPr="00781112" w:rsidRDefault="004E2151" w:rsidP="004369B2">
      <w:pPr>
        <w:rPr>
          <w:b/>
          <w:color w:val="000000" w:themeColor="text1"/>
        </w:rPr>
      </w:pPr>
      <w:r w:rsidRPr="00781112">
        <w:rPr>
          <w:b/>
          <w:color w:val="000000" w:themeColor="text1"/>
        </w:rPr>
        <w:t>Response to actions required in FFY 2019 SPP/APR</w:t>
      </w:r>
    </w:p>
    <w:p w14:paraId="5EB5FDCA" w14:textId="5CB823AF" w:rsidR="004E2151" w:rsidRPr="00781112" w:rsidRDefault="004E2151" w:rsidP="004E2151">
      <w:pPr>
        <w:rPr>
          <w:rFonts w:cs="Arial"/>
          <w:color w:val="000000" w:themeColor="text1"/>
          <w:szCs w:val="16"/>
        </w:rPr>
      </w:pPr>
    </w:p>
    <w:p w14:paraId="29993C29" w14:textId="00995379" w:rsidR="007F5071" w:rsidRPr="00781112" w:rsidRDefault="00056350" w:rsidP="00123D76">
      <w:pPr>
        <w:pStyle w:val="Heading2"/>
      </w:pPr>
      <w:r w:rsidRPr="00781112">
        <w:t>12 - OSEP Response</w:t>
      </w:r>
    </w:p>
    <w:p w14:paraId="25E9178D" w14:textId="14A4C34F" w:rsidR="00326C0B" w:rsidRPr="00781112" w:rsidRDefault="002B7490" w:rsidP="00212954">
      <w:pPr>
        <w:rPr>
          <w:rFonts w:cs="Arial"/>
          <w:color w:val="000000" w:themeColor="text1"/>
          <w:szCs w:val="16"/>
        </w:rPr>
      </w:pPr>
      <w:r w:rsidRPr="00781112">
        <w:rPr>
          <w:rFonts w:cs="Arial"/>
          <w:color w:val="000000" w:themeColor="text1"/>
          <w:szCs w:val="16"/>
        </w:rPr>
        <w:t xml:space="preserve">The State did not demonstrate that the LEA corrected the findings of noncompliance identified in FFY 2019 and FFY 2018 because it did not report that it verified correction of those findings, consistent with OSEP Memo 09-02. Specifically, the State did not report that that it verified that each LEA with noncompliance identified in FFY 2019 and FFY 2018: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w:t>
      </w:r>
    </w:p>
    <w:p w14:paraId="06759F0A" w14:textId="1523FF35" w:rsidR="007F5071" w:rsidRPr="00781112" w:rsidRDefault="00056350" w:rsidP="00123D76">
      <w:pPr>
        <w:pStyle w:val="Heading2"/>
      </w:pPr>
      <w:r w:rsidRPr="00781112">
        <w:t>12 - Required Actions</w:t>
      </w:r>
    </w:p>
    <w:p w14:paraId="57889B20" w14:textId="73162143" w:rsidR="00326C0B" w:rsidRPr="00781112" w:rsidRDefault="002B7490" w:rsidP="00212954">
      <w:pPr>
        <w:rPr>
          <w:rFonts w:cs="Arial"/>
          <w:color w:val="000000" w:themeColor="text1"/>
          <w:szCs w:val="16"/>
        </w:rPr>
      </w:pPr>
      <w:r w:rsidRPr="00781112">
        <w:rPr>
          <w:rFonts w:cs="Arial"/>
          <w:color w:val="000000" w:themeColor="text1"/>
          <w:szCs w:val="16"/>
        </w:rPr>
        <w:t xml:space="preserve">Because the State reported less than 100% compliance for FFY 2020, the State must report on the status of correction of noncompliance identified in FFY 2020 for this indicator. In addition, the State must demonstrate, in the FFY 2021 SPP/APR, that the remaining three uncorrected findings of noncompliance identified in FFY 2019 and two findings identified in 2018 were corrected.  </w:t>
      </w:r>
      <w:r w:rsidRPr="00781112">
        <w:rPr>
          <w:rFonts w:cs="Arial"/>
          <w:color w:val="000000" w:themeColor="text1"/>
          <w:szCs w:val="16"/>
        </w:rPr>
        <w:br/>
      </w:r>
      <w:r w:rsidRPr="00781112">
        <w:rPr>
          <w:rFonts w:cs="Arial"/>
          <w:color w:val="000000" w:themeColor="text1"/>
          <w:szCs w:val="16"/>
        </w:rPr>
        <w:br/>
        <w:t xml:space="preserve">When reporting on the correction of noncompliance, the State must report, in the FFY 2021 SPP/APR, that it has verified that each LEA with findings of noncompliance identified in FFY 2020 and each LEA with remaining noncompliance identified in FFY 2019 and FFY 2018: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2021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lastRenderedPageBreak/>
        <w:br/>
        <w:t>If the State did not identify any findings of noncompliance in FFY 2020, although its FFY 2020 data reflect less than 100% compliance, provide an explanation of why the State did not identify any findings of noncompliance in FFY 2020.</w:t>
      </w:r>
    </w:p>
    <w:p w14:paraId="09BE7DCF"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7517B2" w14:textId="1ECF1753" w:rsidR="00D03701" w:rsidRPr="00781112" w:rsidRDefault="00D03701" w:rsidP="000444E2">
      <w:pPr>
        <w:pStyle w:val="Heading1"/>
        <w:rPr>
          <w:color w:val="000000" w:themeColor="text1"/>
          <w:sz w:val="22"/>
        </w:rPr>
      </w:pPr>
      <w:r w:rsidRPr="00781112">
        <w:rPr>
          <w:color w:val="000000" w:themeColor="text1"/>
          <w:sz w:val="22"/>
        </w:rPr>
        <w:lastRenderedPageBreak/>
        <w:t>Indicator 13: Secondary Transition</w:t>
      </w:r>
    </w:p>
    <w:p w14:paraId="20F3CA53" w14:textId="77777777" w:rsidR="00D04044" w:rsidRPr="00781112" w:rsidRDefault="00D04044" w:rsidP="00A018D4">
      <w:pPr>
        <w:rPr>
          <w:color w:val="000000" w:themeColor="text1"/>
          <w:szCs w:val="20"/>
        </w:rPr>
      </w:pPr>
      <w:bookmarkStart w:id="72" w:name="_Toc384383363"/>
      <w:bookmarkStart w:id="73" w:name="_Toc392159331"/>
      <w:r w:rsidRPr="00781112">
        <w:rPr>
          <w:b/>
          <w:color w:val="000000" w:themeColor="text1"/>
          <w:sz w:val="20"/>
          <w:szCs w:val="20"/>
        </w:rPr>
        <w:t>Instructions and Measurement</w:t>
      </w:r>
    </w:p>
    <w:p w14:paraId="541AD2D1" w14:textId="15B7D425" w:rsidR="001F3A65" w:rsidRPr="00781112" w:rsidRDefault="001F3A65" w:rsidP="009447A3">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Effective Transition</w:t>
      </w:r>
    </w:p>
    <w:p w14:paraId="2098A995" w14:textId="07865850" w:rsidR="0096257C"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services needs. There also must be evidence that the student was invited to the IEP Team meeting where transition services are to be discussed and evidence that, if appropriate, a representative of any participating agency </w:t>
      </w:r>
      <w:r w:rsidR="00C973D4"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w:t>
      </w:r>
    </w:p>
    <w:p w14:paraId="24167CE3" w14:textId="32AC8C8C" w:rsidR="001F3A65" w:rsidRPr="00781112" w:rsidRDefault="001F3A65" w:rsidP="009447A3">
      <w:pPr>
        <w:rPr>
          <w:rFonts w:cs="Arial"/>
          <w:color w:val="000000" w:themeColor="text1"/>
          <w:szCs w:val="16"/>
        </w:rPr>
      </w:pPr>
      <w:r w:rsidRPr="00781112">
        <w:rPr>
          <w:rFonts w:cs="Arial"/>
          <w:color w:val="000000" w:themeColor="text1"/>
          <w:szCs w:val="16"/>
        </w:rPr>
        <w:t xml:space="preserve"> (20 U.S.C. 1416(a)(3)(B))</w:t>
      </w:r>
    </w:p>
    <w:p w14:paraId="1BD1BDBD" w14:textId="77777777" w:rsidR="0096257C" w:rsidRPr="00781112" w:rsidRDefault="0096257C" w:rsidP="004369B2">
      <w:pPr>
        <w:rPr>
          <w:color w:val="000000" w:themeColor="text1"/>
        </w:rPr>
      </w:pPr>
      <w:r w:rsidRPr="00781112">
        <w:rPr>
          <w:b/>
          <w:color w:val="000000" w:themeColor="text1"/>
        </w:rPr>
        <w:t>Data Source</w:t>
      </w:r>
    </w:p>
    <w:p w14:paraId="5868BA99" w14:textId="77777777" w:rsidR="0096257C" w:rsidRPr="00781112" w:rsidRDefault="0096257C"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4CB6F9A" w14:textId="71312CEA" w:rsidR="0096257C" w:rsidRPr="00781112" w:rsidRDefault="0096257C" w:rsidP="004369B2">
      <w:pPr>
        <w:rPr>
          <w:color w:val="000000" w:themeColor="text1"/>
        </w:rPr>
      </w:pPr>
      <w:r w:rsidRPr="00781112">
        <w:rPr>
          <w:b/>
          <w:color w:val="000000" w:themeColor="text1"/>
        </w:rPr>
        <w:t>Measurement</w:t>
      </w:r>
    </w:p>
    <w:p w14:paraId="780214FF" w14:textId="6A8C4134" w:rsidR="00B67038" w:rsidRPr="00781112" w:rsidRDefault="00B67038" w:rsidP="00286BDF">
      <w:pPr>
        <w:rPr>
          <w:rFonts w:cs="Arial"/>
          <w:color w:val="000000" w:themeColor="text1"/>
          <w:szCs w:val="16"/>
        </w:rPr>
      </w:pPr>
      <w:r w:rsidRPr="00781112">
        <w:rPr>
          <w:rFonts w:cs="Arial"/>
          <w:color w:val="000000" w:themeColor="text1"/>
          <w:szCs w:val="16"/>
        </w:rPr>
        <w:t xml:space="preserve">Percent = [(#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services needs. There also must be evidence that the student was invited to the IEP Team meeting where transition services are to be discussed and evidence that, if appropriate, a representative of any participating agency </w:t>
      </w:r>
      <w:r w:rsidR="006D650D"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 divided by the (# of youth with an IEP age 16 and above)] times 100.</w:t>
      </w:r>
    </w:p>
    <w:p w14:paraId="0695051F" w14:textId="0AB8CE10" w:rsidR="00B67038" w:rsidRPr="00781112" w:rsidRDefault="00B67038" w:rsidP="00286BDF">
      <w:pPr>
        <w:rPr>
          <w:rFonts w:cs="Arial"/>
          <w:color w:val="000000" w:themeColor="text1"/>
          <w:szCs w:val="16"/>
        </w:rPr>
      </w:pPr>
      <w:r w:rsidRPr="00781112">
        <w:rPr>
          <w:rFonts w:cs="Arial"/>
          <w:color w:val="000000" w:themeColor="text1"/>
          <w:szCs w:val="16"/>
        </w:rPr>
        <w:t>If a State’s policies and procedures provide that public agencies must meet these requirements at an age younger than 16, the State may, but is not required to, choose to include youth beginning at that younger age in its data for this indicator. If a State chooses to do this, it must state this clearly in its SPP/APR and ensure that its baseline data are based on youth beginning at that younger age.</w:t>
      </w:r>
    </w:p>
    <w:p w14:paraId="6D498B21" w14:textId="77777777" w:rsidR="0096257C" w:rsidRPr="00781112" w:rsidRDefault="0096257C" w:rsidP="004369B2">
      <w:pPr>
        <w:rPr>
          <w:color w:val="000000" w:themeColor="text1"/>
        </w:rPr>
      </w:pPr>
      <w:r w:rsidRPr="00781112">
        <w:rPr>
          <w:b/>
          <w:color w:val="000000" w:themeColor="text1"/>
        </w:rPr>
        <w:t>Instructions</w:t>
      </w:r>
    </w:p>
    <w:p w14:paraId="7B194027" w14:textId="77777777" w:rsidR="00B67038" w:rsidRPr="00781112" w:rsidRDefault="00B67038"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12BF2230" w14:textId="77777777" w:rsidR="00B67038" w:rsidRPr="00781112" w:rsidRDefault="00B67038"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498F5564" w14:textId="77777777" w:rsidR="00B67038" w:rsidRPr="00781112" w:rsidRDefault="00B67038" w:rsidP="00286BDF">
      <w:pPr>
        <w:rPr>
          <w:rFonts w:cs="Arial"/>
          <w:color w:val="000000" w:themeColor="text1"/>
          <w:szCs w:val="16"/>
        </w:rPr>
      </w:pPr>
      <w:r w:rsidRPr="00781112">
        <w:rPr>
          <w:rFonts w:cs="Arial"/>
          <w:color w:val="000000" w:themeColor="text1"/>
          <w:szCs w:val="16"/>
        </w:rPr>
        <w:t>Targets must be 100%.</w:t>
      </w:r>
    </w:p>
    <w:p w14:paraId="1ACBC1E2" w14:textId="77777777" w:rsidR="00B67038" w:rsidRPr="00781112" w:rsidRDefault="00B67038"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15D9CBCD" w14:textId="56ADC7C3" w:rsidR="00B67038"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43E6D66A" w14:textId="21025B37" w:rsidR="00D04044" w:rsidRPr="00781112" w:rsidRDefault="00056350" w:rsidP="00123D76">
      <w:pPr>
        <w:pStyle w:val="Heading2"/>
      </w:pPr>
      <w:bookmarkStart w:id="74" w:name="_Toc384383364"/>
      <w:bookmarkStart w:id="75" w:name="_Toc392159332"/>
      <w:bookmarkEnd w:id="72"/>
      <w:bookmarkEnd w:id="73"/>
      <w:r w:rsidRPr="00781112">
        <w:t>13</w:t>
      </w:r>
      <w:r w:rsidR="004838A4" w:rsidRPr="00781112">
        <w:t xml:space="preserve"> </w:t>
      </w:r>
      <w:r w:rsidRPr="00781112">
        <w:t xml:space="preserve">- </w:t>
      </w:r>
      <w:r w:rsidR="00D04044" w:rsidRPr="00781112">
        <w:t>Indicator Data</w:t>
      </w:r>
    </w:p>
    <w:p w14:paraId="61C4C68D" w14:textId="294F0305" w:rsidR="009447A3" w:rsidRPr="00781112" w:rsidRDefault="009447A3"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3BASELINEDATA"/>
      </w:tblPr>
      <w:tblGrid>
        <w:gridCol w:w="1797"/>
        <w:gridCol w:w="1798"/>
      </w:tblGrid>
      <w:tr w:rsidR="00694A39" w:rsidRPr="00781112" w14:paraId="03B988E1" w14:textId="77777777" w:rsidTr="00123D76">
        <w:trPr>
          <w:trHeight w:val="311"/>
          <w:tblHeader/>
        </w:trPr>
        <w:tc>
          <w:tcPr>
            <w:tcW w:w="1797" w:type="dxa"/>
          </w:tcPr>
          <w:p w14:paraId="74B6B294" w14:textId="77777777" w:rsidR="00694A39" w:rsidRPr="00781112" w:rsidRDefault="00694A39" w:rsidP="00123D76">
            <w:pPr>
              <w:jc w:val="center"/>
              <w:rPr>
                <w:b/>
                <w:color w:val="000000" w:themeColor="text1"/>
              </w:rPr>
            </w:pPr>
            <w:r w:rsidRPr="00781112">
              <w:rPr>
                <w:rFonts w:cs="Arial"/>
                <w:b/>
                <w:color w:val="000000" w:themeColor="text1"/>
                <w:szCs w:val="16"/>
              </w:rPr>
              <w:t>Baseline Year</w:t>
            </w:r>
          </w:p>
        </w:tc>
        <w:tc>
          <w:tcPr>
            <w:tcW w:w="1798" w:type="dxa"/>
          </w:tcPr>
          <w:p w14:paraId="1FEDE010" w14:textId="77777777" w:rsidR="00694A39" w:rsidRPr="00781112" w:rsidRDefault="00694A39" w:rsidP="00123D76">
            <w:pPr>
              <w:jc w:val="center"/>
              <w:rPr>
                <w:b/>
                <w:color w:val="000000" w:themeColor="text1"/>
              </w:rPr>
            </w:pPr>
            <w:r w:rsidRPr="00781112">
              <w:rPr>
                <w:b/>
                <w:color w:val="000000" w:themeColor="text1"/>
              </w:rPr>
              <w:t>Baseline Data</w:t>
            </w:r>
          </w:p>
        </w:tc>
      </w:tr>
      <w:tr w:rsidR="00694A39" w:rsidRPr="00781112" w14:paraId="6D8D944B" w14:textId="77777777" w:rsidTr="00123D76">
        <w:trPr>
          <w:trHeight w:val="311"/>
        </w:trPr>
        <w:tc>
          <w:tcPr>
            <w:tcW w:w="1797" w:type="dxa"/>
            <w:vAlign w:val="center"/>
          </w:tcPr>
          <w:p w14:paraId="7FC4C2A7" w14:textId="00CC5CF2" w:rsidR="00694A39" w:rsidRPr="00781112" w:rsidRDefault="00694A39" w:rsidP="00123D76">
            <w:pPr>
              <w:jc w:val="center"/>
              <w:rPr>
                <w:bCs/>
                <w:color w:val="000000" w:themeColor="text1"/>
              </w:rPr>
            </w:pPr>
            <w:r w:rsidRPr="00781112">
              <w:rPr>
                <w:bCs/>
                <w:color w:val="000000" w:themeColor="text1"/>
              </w:rPr>
              <w:t>2009</w:t>
            </w:r>
          </w:p>
        </w:tc>
        <w:tc>
          <w:tcPr>
            <w:tcW w:w="1798" w:type="dxa"/>
            <w:vAlign w:val="center"/>
          </w:tcPr>
          <w:p w14:paraId="3A6C733C" w14:textId="66F52DB8" w:rsidR="00694A39" w:rsidRPr="00781112" w:rsidRDefault="00694A39" w:rsidP="00123D76">
            <w:pPr>
              <w:jc w:val="center"/>
              <w:rPr>
                <w:bCs/>
                <w:color w:val="000000" w:themeColor="text1"/>
              </w:rPr>
            </w:pPr>
            <w:r w:rsidRPr="00781112">
              <w:rPr>
                <w:bCs/>
                <w:color w:val="000000" w:themeColor="text1"/>
              </w:rPr>
              <w:t>53.00%</w:t>
            </w:r>
          </w:p>
        </w:tc>
      </w:tr>
    </w:tbl>
    <w:p w14:paraId="5733AE68" w14:textId="77777777" w:rsidR="00694A39" w:rsidRPr="00781112" w:rsidRDefault="00694A39"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HISTDATA"/>
      </w:tblPr>
      <w:tblGrid>
        <w:gridCol w:w="1798"/>
        <w:gridCol w:w="1798"/>
        <w:gridCol w:w="1798"/>
        <w:gridCol w:w="1798"/>
        <w:gridCol w:w="1798"/>
        <w:gridCol w:w="1800"/>
      </w:tblGrid>
      <w:tr w:rsidR="005C29F8" w:rsidRPr="00781112" w14:paraId="687251DC" w14:textId="77777777" w:rsidTr="00943314">
        <w:trPr>
          <w:trHeight w:val="350"/>
        </w:trPr>
        <w:tc>
          <w:tcPr>
            <w:tcW w:w="833" w:type="pct"/>
            <w:tcBorders>
              <w:bottom w:val="single" w:sz="4" w:space="0" w:color="auto"/>
            </w:tcBorders>
            <w:shd w:val="clear" w:color="auto" w:fill="auto"/>
          </w:tcPr>
          <w:p w14:paraId="14E01593"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3A85907" w14:textId="1D9118C1" w:rsidR="009447A3" w:rsidRPr="00781112" w:rsidRDefault="002B7490" w:rsidP="008E31C4">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1C6C5D54" w14:textId="213C7749" w:rsidR="009447A3"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044515B1" w14:textId="14B45245"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695DE74A" w14:textId="50B444D4"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527EE05E" w14:textId="3E89E5BC"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r>
      <w:tr w:rsidR="005C29F8" w:rsidRPr="00781112" w14:paraId="0A07B33E" w14:textId="77777777" w:rsidTr="00943314">
        <w:trPr>
          <w:trHeight w:val="357"/>
        </w:trPr>
        <w:tc>
          <w:tcPr>
            <w:tcW w:w="833" w:type="pct"/>
            <w:shd w:val="clear" w:color="auto" w:fill="auto"/>
          </w:tcPr>
          <w:p w14:paraId="04BB4B5A" w14:textId="3FC3EE91" w:rsidR="009447A3" w:rsidRPr="00781112" w:rsidRDefault="009447A3" w:rsidP="008E31C4">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20467ACA" w14:textId="658A99BC"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AE1489C" w14:textId="1138B82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FAB6F79" w14:textId="47FCCD56"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EE056E4" w14:textId="485E460A"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6F722BD0" w14:textId="0624413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r>
      <w:tr w:rsidR="005C29F8" w:rsidRPr="00781112" w14:paraId="4403D1A8" w14:textId="77777777" w:rsidTr="00943314">
        <w:trPr>
          <w:trHeight w:val="85"/>
        </w:trPr>
        <w:tc>
          <w:tcPr>
            <w:tcW w:w="833" w:type="pct"/>
            <w:shd w:val="clear" w:color="auto" w:fill="auto"/>
          </w:tcPr>
          <w:p w14:paraId="6473FB8E" w14:textId="77777777" w:rsidR="009447A3" w:rsidRPr="00781112" w:rsidRDefault="009447A3"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08672F7" w14:textId="4FDD51CC" w:rsidR="009447A3" w:rsidRPr="00781112" w:rsidRDefault="002B7490" w:rsidP="004369B2">
            <w:pPr>
              <w:jc w:val="center"/>
              <w:rPr>
                <w:rFonts w:cs="Arial"/>
                <w:color w:val="000000" w:themeColor="text1"/>
                <w:szCs w:val="16"/>
              </w:rPr>
            </w:pPr>
            <w:r w:rsidRPr="00781112">
              <w:rPr>
                <w:rFonts w:cs="Arial"/>
                <w:color w:val="000000" w:themeColor="text1"/>
                <w:szCs w:val="16"/>
              </w:rPr>
              <w:t>100.00%</w:t>
            </w:r>
          </w:p>
        </w:tc>
        <w:tc>
          <w:tcPr>
            <w:tcW w:w="833" w:type="pct"/>
            <w:shd w:val="clear" w:color="auto" w:fill="auto"/>
          </w:tcPr>
          <w:p w14:paraId="50F55BA6" w14:textId="73CC9B0F" w:rsidR="009447A3" w:rsidRPr="00781112" w:rsidRDefault="002B7490" w:rsidP="004369B2">
            <w:pPr>
              <w:jc w:val="center"/>
              <w:rPr>
                <w:rFonts w:cs="Arial"/>
                <w:color w:val="000000" w:themeColor="text1"/>
                <w:szCs w:val="16"/>
              </w:rPr>
            </w:pPr>
            <w:r w:rsidRPr="00781112">
              <w:rPr>
                <w:rFonts w:cs="Arial"/>
                <w:color w:val="000000" w:themeColor="text1"/>
                <w:szCs w:val="16"/>
              </w:rPr>
              <w:t>100.00%</w:t>
            </w:r>
          </w:p>
        </w:tc>
        <w:tc>
          <w:tcPr>
            <w:tcW w:w="833" w:type="pct"/>
            <w:tcBorders>
              <w:bottom w:val="single" w:sz="4" w:space="0" w:color="auto"/>
            </w:tcBorders>
            <w:shd w:val="clear" w:color="auto" w:fill="auto"/>
            <w:vAlign w:val="center"/>
          </w:tcPr>
          <w:p w14:paraId="6FC9DB0D" w14:textId="5188F524" w:rsidR="009447A3" w:rsidRPr="00781112" w:rsidRDefault="002B7490" w:rsidP="004369B2">
            <w:pPr>
              <w:jc w:val="center"/>
              <w:rPr>
                <w:rFonts w:cs="Arial"/>
                <w:color w:val="000000" w:themeColor="text1"/>
                <w:szCs w:val="16"/>
              </w:rPr>
            </w:pPr>
            <w:r w:rsidRPr="00781112">
              <w:rPr>
                <w:rFonts w:cs="Arial"/>
                <w:color w:val="000000" w:themeColor="text1"/>
                <w:szCs w:val="16"/>
              </w:rPr>
              <w:t>100.00%</w:t>
            </w:r>
          </w:p>
        </w:tc>
        <w:tc>
          <w:tcPr>
            <w:tcW w:w="833" w:type="pct"/>
            <w:tcBorders>
              <w:bottom w:val="single" w:sz="4" w:space="0" w:color="auto"/>
            </w:tcBorders>
            <w:shd w:val="clear" w:color="auto" w:fill="auto"/>
            <w:vAlign w:val="center"/>
          </w:tcPr>
          <w:p w14:paraId="2DE56335" w14:textId="11069C36" w:rsidR="009447A3" w:rsidRPr="00781112" w:rsidRDefault="002B7490" w:rsidP="004369B2">
            <w:pPr>
              <w:jc w:val="center"/>
              <w:rPr>
                <w:rFonts w:cs="Arial"/>
                <w:color w:val="000000" w:themeColor="text1"/>
                <w:szCs w:val="16"/>
              </w:rPr>
            </w:pPr>
            <w:r w:rsidRPr="00781112">
              <w:rPr>
                <w:rFonts w:cs="Arial"/>
                <w:color w:val="000000" w:themeColor="text1"/>
                <w:szCs w:val="16"/>
              </w:rPr>
              <w:t>100.00%</w:t>
            </w:r>
          </w:p>
        </w:tc>
        <w:tc>
          <w:tcPr>
            <w:tcW w:w="834" w:type="pct"/>
            <w:tcBorders>
              <w:bottom w:val="single" w:sz="4" w:space="0" w:color="auto"/>
            </w:tcBorders>
            <w:shd w:val="clear" w:color="auto" w:fill="auto"/>
            <w:vAlign w:val="center"/>
          </w:tcPr>
          <w:p w14:paraId="541BA7DE" w14:textId="2D80E9D8" w:rsidR="009447A3" w:rsidRPr="00781112" w:rsidRDefault="002B7490" w:rsidP="004369B2">
            <w:pPr>
              <w:jc w:val="center"/>
              <w:rPr>
                <w:rFonts w:cs="Arial"/>
                <w:color w:val="000000" w:themeColor="text1"/>
                <w:szCs w:val="16"/>
              </w:rPr>
            </w:pPr>
            <w:r w:rsidRPr="00781112">
              <w:rPr>
                <w:rFonts w:cs="Arial"/>
                <w:color w:val="000000" w:themeColor="text1"/>
                <w:szCs w:val="16"/>
              </w:rPr>
              <w:t>100.00%</w:t>
            </w:r>
          </w:p>
        </w:tc>
      </w:tr>
    </w:tbl>
    <w:p w14:paraId="30C8D33B" w14:textId="77777777" w:rsidR="00AF12E4" w:rsidRPr="00781112" w:rsidRDefault="00AF12E4" w:rsidP="004369B2">
      <w:pPr>
        <w:rPr>
          <w:color w:val="000000" w:themeColor="text1"/>
        </w:rPr>
      </w:pPr>
    </w:p>
    <w:p w14:paraId="75465A8F" w14:textId="65C77B0F" w:rsidR="007A3964" w:rsidRPr="00781112" w:rsidRDefault="007A3964" w:rsidP="004369B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TARGETS"/>
      </w:tblPr>
      <w:tblGrid>
        <w:gridCol w:w="715"/>
        <w:gridCol w:w="1680"/>
        <w:gridCol w:w="1679"/>
        <w:gridCol w:w="1679"/>
        <w:gridCol w:w="1679"/>
        <w:gridCol w:w="1679"/>
        <w:gridCol w:w="1679"/>
      </w:tblGrid>
      <w:tr w:rsidR="00456FF8" w:rsidRPr="00781112" w14:paraId="75609119" w14:textId="4FD44BFE" w:rsidTr="00943314">
        <w:trPr>
          <w:trHeight w:val="281"/>
        </w:trPr>
        <w:tc>
          <w:tcPr>
            <w:tcW w:w="331" w:type="pct"/>
            <w:tcBorders>
              <w:bottom w:val="single" w:sz="4" w:space="0" w:color="auto"/>
            </w:tcBorders>
            <w:shd w:val="clear" w:color="auto" w:fill="auto"/>
          </w:tcPr>
          <w:p w14:paraId="270D1909" w14:textId="77777777" w:rsidR="00AF574F" w:rsidRPr="00781112" w:rsidRDefault="00AF574F" w:rsidP="00AF574F">
            <w:pPr>
              <w:jc w:val="center"/>
              <w:rPr>
                <w:b/>
                <w:color w:val="000000" w:themeColor="text1"/>
              </w:rPr>
            </w:pPr>
            <w:r w:rsidRPr="00781112">
              <w:rPr>
                <w:b/>
                <w:color w:val="000000" w:themeColor="text1"/>
              </w:rPr>
              <w:t>FFY</w:t>
            </w:r>
          </w:p>
        </w:tc>
        <w:tc>
          <w:tcPr>
            <w:tcW w:w="778" w:type="pct"/>
            <w:shd w:val="clear" w:color="auto" w:fill="auto"/>
            <w:vAlign w:val="center"/>
          </w:tcPr>
          <w:p w14:paraId="3C863620" w14:textId="77777777" w:rsidR="00AF574F" w:rsidRPr="00781112" w:rsidRDefault="00AF574F" w:rsidP="00AF574F">
            <w:pPr>
              <w:jc w:val="center"/>
              <w:rPr>
                <w:b/>
                <w:color w:val="000000" w:themeColor="text1"/>
              </w:rPr>
            </w:pPr>
            <w:r w:rsidRPr="00781112">
              <w:rPr>
                <w:b/>
                <w:color w:val="000000" w:themeColor="text1"/>
              </w:rPr>
              <w:t>2020</w:t>
            </w:r>
          </w:p>
        </w:tc>
        <w:tc>
          <w:tcPr>
            <w:tcW w:w="778" w:type="pct"/>
          </w:tcPr>
          <w:p w14:paraId="1E742631" w14:textId="024F7853" w:rsidR="00AF574F" w:rsidRPr="00781112" w:rsidRDefault="00AF574F" w:rsidP="00AF574F">
            <w:pPr>
              <w:jc w:val="center"/>
              <w:rPr>
                <w:b/>
                <w:color w:val="000000" w:themeColor="text1"/>
              </w:rPr>
            </w:pPr>
            <w:r w:rsidRPr="00781112">
              <w:rPr>
                <w:rFonts w:cs="Arial"/>
                <w:b/>
                <w:color w:val="000000" w:themeColor="text1"/>
                <w:szCs w:val="16"/>
              </w:rPr>
              <w:t>2021</w:t>
            </w:r>
          </w:p>
        </w:tc>
        <w:tc>
          <w:tcPr>
            <w:tcW w:w="778" w:type="pct"/>
          </w:tcPr>
          <w:p w14:paraId="68E9F440" w14:textId="3DC7BEDA" w:rsidR="00AF574F" w:rsidRPr="00781112" w:rsidRDefault="00AF574F" w:rsidP="00AF574F">
            <w:pPr>
              <w:jc w:val="center"/>
              <w:rPr>
                <w:b/>
                <w:color w:val="000000" w:themeColor="text1"/>
              </w:rPr>
            </w:pPr>
            <w:r w:rsidRPr="00781112">
              <w:rPr>
                <w:rFonts w:cs="Arial"/>
                <w:b/>
                <w:color w:val="000000" w:themeColor="text1"/>
                <w:szCs w:val="16"/>
              </w:rPr>
              <w:t>2022</w:t>
            </w:r>
          </w:p>
        </w:tc>
        <w:tc>
          <w:tcPr>
            <w:tcW w:w="778" w:type="pct"/>
          </w:tcPr>
          <w:p w14:paraId="724C1BE8" w14:textId="32F17B9A" w:rsidR="00AF574F" w:rsidRPr="00781112" w:rsidRDefault="00AF574F" w:rsidP="00AF574F">
            <w:pPr>
              <w:jc w:val="center"/>
              <w:rPr>
                <w:b/>
                <w:color w:val="000000" w:themeColor="text1"/>
              </w:rPr>
            </w:pPr>
            <w:r w:rsidRPr="00781112">
              <w:rPr>
                <w:rFonts w:cs="Arial"/>
                <w:b/>
                <w:color w:val="000000" w:themeColor="text1"/>
                <w:szCs w:val="16"/>
              </w:rPr>
              <w:t>2023</w:t>
            </w:r>
          </w:p>
        </w:tc>
        <w:tc>
          <w:tcPr>
            <w:tcW w:w="778" w:type="pct"/>
          </w:tcPr>
          <w:p w14:paraId="6CD77942" w14:textId="751F9B95" w:rsidR="00AF574F" w:rsidRPr="00781112" w:rsidRDefault="00AF574F" w:rsidP="00AF574F">
            <w:pPr>
              <w:jc w:val="center"/>
              <w:rPr>
                <w:b/>
                <w:color w:val="000000" w:themeColor="text1"/>
              </w:rPr>
            </w:pPr>
            <w:r w:rsidRPr="00781112">
              <w:rPr>
                <w:rFonts w:cs="Arial"/>
                <w:b/>
                <w:color w:val="000000" w:themeColor="text1"/>
                <w:szCs w:val="16"/>
              </w:rPr>
              <w:t>2024</w:t>
            </w:r>
          </w:p>
        </w:tc>
        <w:tc>
          <w:tcPr>
            <w:tcW w:w="778" w:type="pct"/>
          </w:tcPr>
          <w:p w14:paraId="2153BB0F" w14:textId="58A09EC2" w:rsidR="00AF574F" w:rsidRPr="00781112" w:rsidRDefault="00AF574F" w:rsidP="00AF574F">
            <w:pPr>
              <w:jc w:val="center"/>
              <w:rPr>
                <w:b/>
                <w:color w:val="000000" w:themeColor="text1"/>
              </w:rPr>
            </w:pPr>
            <w:r w:rsidRPr="00781112">
              <w:rPr>
                <w:rFonts w:cs="Arial"/>
                <w:b/>
                <w:color w:val="000000" w:themeColor="text1"/>
                <w:szCs w:val="16"/>
              </w:rPr>
              <w:t>2025</w:t>
            </w:r>
          </w:p>
        </w:tc>
      </w:tr>
      <w:tr w:rsidR="00456FF8" w:rsidRPr="00781112" w14:paraId="129EADEA" w14:textId="243BFF73" w:rsidTr="00943314">
        <w:trPr>
          <w:trHeight w:val="287"/>
        </w:trPr>
        <w:tc>
          <w:tcPr>
            <w:tcW w:w="331" w:type="pct"/>
            <w:shd w:val="clear" w:color="auto" w:fill="auto"/>
            <w:vAlign w:val="center"/>
          </w:tcPr>
          <w:p w14:paraId="14AB537C" w14:textId="77777777" w:rsidR="00AF574F" w:rsidRPr="00781112" w:rsidRDefault="00AF574F" w:rsidP="00AF574F">
            <w:pPr>
              <w:rPr>
                <w:rFonts w:cs="Arial"/>
                <w:color w:val="000000" w:themeColor="text1"/>
                <w:szCs w:val="16"/>
              </w:rPr>
            </w:pPr>
            <w:r w:rsidRPr="00781112">
              <w:rPr>
                <w:rFonts w:cs="Arial"/>
                <w:color w:val="000000" w:themeColor="text1"/>
                <w:szCs w:val="16"/>
              </w:rPr>
              <w:t xml:space="preserve">Target </w:t>
            </w:r>
          </w:p>
        </w:tc>
        <w:tc>
          <w:tcPr>
            <w:tcW w:w="778" w:type="pct"/>
            <w:shd w:val="clear" w:color="auto" w:fill="auto"/>
            <w:vAlign w:val="center"/>
          </w:tcPr>
          <w:p w14:paraId="0BAE8900" w14:textId="37E5F8C0" w:rsidR="00AF574F" w:rsidRPr="00781112" w:rsidRDefault="00AF574F" w:rsidP="00AF574F">
            <w:pPr>
              <w:jc w:val="center"/>
              <w:rPr>
                <w:rFonts w:cs="Arial"/>
                <w:color w:val="000000" w:themeColor="text1"/>
                <w:szCs w:val="16"/>
              </w:rPr>
            </w:pPr>
            <w:r w:rsidRPr="00781112">
              <w:rPr>
                <w:rFonts w:cs="Arial"/>
                <w:color w:val="000000" w:themeColor="text1"/>
                <w:szCs w:val="16"/>
              </w:rPr>
              <w:t>100%</w:t>
            </w:r>
          </w:p>
        </w:tc>
        <w:tc>
          <w:tcPr>
            <w:tcW w:w="778" w:type="pct"/>
          </w:tcPr>
          <w:p w14:paraId="2CC39FD1" w14:textId="0A351FA5"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778" w:type="pct"/>
          </w:tcPr>
          <w:p w14:paraId="67D6E1E0" w14:textId="00533F6B"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778" w:type="pct"/>
          </w:tcPr>
          <w:p w14:paraId="39A43D1F" w14:textId="716B9E54"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778" w:type="pct"/>
          </w:tcPr>
          <w:p w14:paraId="6CC99391" w14:textId="2FAEBC53"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778" w:type="pct"/>
          </w:tcPr>
          <w:p w14:paraId="0C2F228E" w14:textId="40372095" w:rsidR="00AF574F" w:rsidRPr="00781112" w:rsidRDefault="00AF574F" w:rsidP="00AF574F">
            <w:pPr>
              <w:jc w:val="center"/>
              <w:rPr>
                <w:rFonts w:cs="Arial"/>
                <w:color w:val="000000" w:themeColor="text1"/>
                <w:szCs w:val="16"/>
              </w:rPr>
            </w:pPr>
            <w:r w:rsidRPr="00781112">
              <w:rPr>
                <w:color w:val="000000" w:themeColor="text1"/>
                <w:szCs w:val="16"/>
              </w:rPr>
              <w:t>100%</w:t>
            </w:r>
          </w:p>
        </w:tc>
      </w:tr>
    </w:tbl>
    <w:p w14:paraId="2E844227" w14:textId="77777777" w:rsidR="00AF12E4" w:rsidRPr="00781112" w:rsidRDefault="00AF12E4" w:rsidP="004369B2">
      <w:pPr>
        <w:rPr>
          <w:color w:val="000000" w:themeColor="text1"/>
        </w:rPr>
      </w:pPr>
    </w:p>
    <w:p w14:paraId="596F7C13" w14:textId="63D55729" w:rsidR="00D03701" w:rsidRPr="00781112" w:rsidRDefault="00806C75" w:rsidP="004369B2">
      <w:pPr>
        <w:rPr>
          <w:color w:val="000000" w:themeColor="text1"/>
        </w:rPr>
      </w:pPr>
      <w:r w:rsidRPr="00781112">
        <w:rPr>
          <w:b/>
          <w:color w:val="000000" w:themeColor="text1"/>
        </w:rPr>
        <w:t>FFY 2020 SPP/APR Data</w:t>
      </w:r>
      <w:bookmarkEnd w:id="74"/>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3CFFYAPRDATA"/>
      </w:tblPr>
      <w:tblGrid>
        <w:gridCol w:w="1533"/>
        <w:gridCol w:w="1498"/>
        <w:gridCol w:w="1372"/>
        <w:gridCol w:w="2067"/>
        <w:gridCol w:w="1232"/>
        <w:gridCol w:w="1571"/>
        <w:gridCol w:w="1517"/>
      </w:tblGrid>
      <w:tr w:rsidR="005C29F8" w:rsidRPr="00781112" w14:paraId="22208B6A" w14:textId="2EBA1D17" w:rsidTr="00A947D9">
        <w:trPr>
          <w:trHeight w:val="354"/>
          <w:tblHeader/>
        </w:trPr>
        <w:tc>
          <w:tcPr>
            <w:tcW w:w="710" w:type="pct"/>
            <w:shd w:val="clear" w:color="auto" w:fill="auto"/>
            <w:vAlign w:val="bottom"/>
          </w:tcPr>
          <w:p w14:paraId="24F7C6E9" w14:textId="77777777" w:rsidR="00B67038" w:rsidRPr="00781112" w:rsidRDefault="00B67038" w:rsidP="00681BA6">
            <w:pPr>
              <w:jc w:val="center"/>
              <w:rPr>
                <w:rFonts w:cs="Arial"/>
                <w:b/>
                <w:color w:val="000000" w:themeColor="text1"/>
                <w:szCs w:val="16"/>
              </w:rPr>
            </w:pPr>
            <w:r w:rsidRPr="00781112">
              <w:rPr>
                <w:rFonts w:cs="Arial"/>
                <w:b/>
                <w:color w:val="000000" w:themeColor="text1"/>
                <w:szCs w:val="16"/>
              </w:rPr>
              <w:t>Number of youth aged 16 and above with IEPs that contain each of the required components for secondary transition</w:t>
            </w:r>
          </w:p>
        </w:tc>
        <w:tc>
          <w:tcPr>
            <w:tcW w:w="694" w:type="pct"/>
            <w:shd w:val="clear" w:color="auto" w:fill="auto"/>
            <w:vAlign w:val="bottom"/>
          </w:tcPr>
          <w:p w14:paraId="5096A299" w14:textId="77777777" w:rsidR="00B67038" w:rsidRPr="00781112" w:rsidRDefault="00B67038" w:rsidP="00681BA6">
            <w:pPr>
              <w:jc w:val="center"/>
              <w:rPr>
                <w:rFonts w:cs="Arial"/>
                <w:b/>
                <w:color w:val="000000" w:themeColor="text1"/>
                <w:szCs w:val="16"/>
              </w:rPr>
            </w:pPr>
            <w:r w:rsidRPr="00781112">
              <w:rPr>
                <w:rFonts w:cs="Arial"/>
                <w:b/>
                <w:color w:val="000000" w:themeColor="text1"/>
                <w:szCs w:val="16"/>
              </w:rPr>
              <w:t>Number of youth with IEPs aged 16 and above</w:t>
            </w:r>
          </w:p>
        </w:tc>
        <w:tc>
          <w:tcPr>
            <w:tcW w:w="636" w:type="pct"/>
            <w:shd w:val="clear" w:color="auto" w:fill="auto"/>
            <w:vAlign w:val="bottom"/>
          </w:tcPr>
          <w:p w14:paraId="77D0CB34" w14:textId="0A7D9923" w:rsidR="00B67038"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958" w:type="pct"/>
            <w:shd w:val="clear" w:color="auto" w:fill="auto"/>
            <w:vAlign w:val="bottom"/>
          </w:tcPr>
          <w:p w14:paraId="0E375E75" w14:textId="0F689402" w:rsidR="00B67038" w:rsidRPr="00781112" w:rsidRDefault="00806C75" w:rsidP="00681BA6">
            <w:pPr>
              <w:jc w:val="center"/>
              <w:rPr>
                <w:rFonts w:cs="Arial"/>
                <w:b/>
                <w:color w:val="000000" w:themeColor="text1"/>
                <w:szCs w:val="16"/>
              </w:rPr>
            </w:pPr>
            <w:r w:rsidRPr="00781112">
              <w:rPr>
                <w:rFonts w:cs="Arial"/>
                <w:b/>
                <w:color w:val="000000" w:themeColor="text1"/>
                <w:szCs w:val="16"/>
              </w:rPr>
              <w:t>FFY 2020 Target</w:t>
            </w:r>
          </w:p>
        </w:tc>
        <w:tc>
          <w:tcPr>
            <w:tcW w:w="571" w:type="pct"/>
            <w:shd w:val="clear" w:color="auto" w:fill="auto"/>
            <w:vAlign w:val="bottom"/>
          </w:tcPr>
          <w:p w14:paraId="58CCB0C1" w14:textId="3A02BE5C" w:rsidR="00B67038" w:rsidRPr="00781112" w:rsidRDefault="00806C75" w:rsidP="00681BA6">
            <w:pPr>
              <w:jc w:val="center"/>
              <w:rPr>
                <w:rFonts w:cs="Arial"/>
                <w:b/>
                <w:color w:val="000000" w:themeColor="text1"/>
                <w:szCs w:val="16"/>
              </w:rPr>
            </w:pPr>
            <w:r w:rsidRPr="00781112">
              <w:rPr>
                <w:rFonts w:cs="Arial"/>
                <w:b/>
                <w:color w:val="000000" w:themeColor="text1"/>
                <w:szCs w:val="16"/>
              </w:rPr>
              <w:t>FFY 2020 Data</w:t>
            </w:r>
          </w:p>
        </w:tc>
        <w:tc>
          <w:tcPr>
            <w:tcW w:w="728" w:type="pct"/>
            <w:shd w:val="clear" w:color="auto" w:fill="auto"/>
            <w:vAlign w:val="bottom"/>
          </w:tcPr>
          <w:p w14:paraId="3A7C3260" w14:textId="5AACBA6E" w:rsidR="00B67038" w:rsidRPr="00781112" w:rsidRDefault="00B67038" w:rsidP="00681BA6">
            <w:pPr>
              <w:jc w:val="center"/>
              <w:rPr>
                <w:rFonts w:cs="Arial"/>
                <w:b/>
                <w:color w:val="000000" w:themeColor="text1"/>
                <w:szCs w:val="16"/>
              </w:rPr>
            </w:pPr>
            <w:r w:rsidRPr="00781112">
              <w:rPr>
                <w:rFonts w:cs="Arial"/>
                <w:b/>
                <w:color w:val="000000" w:themeColor="text1"/>
                <w:szCs w:val="16"/>
              </w:rPr>
              <w:t>Status</w:t>
            </w:r>
          </w:p>
        </w:tc>
        <w:tc>
          <w:tcPr>
            <w:tcW w:w="704" w:type="pct"/>
            <w:shd w:val="clear" w:color="auto" w:fill="auto"/>
            <w:vAlign w:val="bottom"/>
          </w:tcPr>
          <w:p w14:paraId="34FABCEB" w14:textId="119B0EB2" w:rsidR="00B67038" w:rsidRPr="00781112" w:rsidRDefault="00B67038"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18CC159D" w14:textId="122E5ABE" w:rsidTr="00A947D9">
        <w:trPr>
          <w:trHeight w:val="361"/>
        </w:trPr>
        <w:tc>
          <w:tcPr>
            <w:tcW w:w="710" w:type="pct"/>
            <w:shd w:val="clear" w:color="auto" w:fill="auto"/>
            <w:vAlign w:val="center"/>
          </w:tcPr>
          <w:p w14:paraId="55912D09" w14:textId="371B119A" w:rsidR="00070D9E" w:rsidRPr="00781112" w:rsidRDefault="002B7490" w:rsidP="004369B2">
            <w:pPr>
              <w:jc w:val="center"/>
              <w:rPr>
                <w:rFonts w:cs="Arial"/>
                <w:color w:val="000000" w:themeColor="text1"/>
                <w:szCs w:val="16"/>
              </w:rPr>
            </w:pPr>
            <w:r w:rsidRPr="00781112">
              <w:rPr>
                <w:rFonts w:cs="Arial"/>
                <w:color w:val="000000" w:themeColor="text1"/>
                <w:szCs w:val="16"/>
              </w:rPr>
              <w:t>135</w:t>
            </w:r>
          </w:p>
        </w:tc>
        <w:tc>
          <w:tcPr>
            <w:tcW w:w="694" w:type="pct"/>
            <w:shd w:val="clear" w:color="auto" w:fill="auto"/>
            <w:vAlign w:val="center"/>
          </w:tcPr>
          <w:p w14:paraId="3D798FB5" w14:textId="3B2AC314" w:rsidR="00070D9E" w:rsidRPr="00781112" w:rsidRDefault="002B7490" w:rsidP="004369B2">
            <w:pPr>
              <w:jc w:val="center"/>
              <w:rPr>
                <w:rFonts w:cs="Arial"/>
                <w:color w:val="000000" w:themeColor="text1"/>
                <w:szCs w:val="16"/>
              </w:rPr>
            </w:pPr>
            <w:r w:rsidRPr="00781112">
              <w:rPr>
                <w:rFonts w:cs="Arial"/>
                <w:color w:val="000000" w:themeColor="text1"/>
                <w:szCs w:val="16"/>
              </w:rPr>
              <w:t>135</w:t>
            </w:r>
          </w:p>
        </w:tc>
        <w:tc>
          <w:tcPr>
            <w:tcW w:w="636" w:type="pct"/>
            <w:shd w:val="clear" w:color="auto" w:fill="auto"/>
            <w:vAlign w:val="center"/>
          </w:tcPr>
          <w:p w14:paraId="36E1BD35" w14:textId="4F5BD8EB" w:rsidR="00070D9E" w:rsidRPr="00781112" w:rsidRDefault="002B7490" w:rsidP="004369B2">
            <w:pPr>
              <w:jc w:val="center"/>
              <w:rPr>
                <w:rFonts w:cs="Arial"/>
                <w:color w:val="000000" w:themeColor="text1"/>
                <w:szCs w:val="16"/>
              </w:rPr>
            </w:pPr>
            <w:r w:rsidRPr="00781112">
              <w:rPr>
                <w:rFonts w:cs="Arial"/>
                <w:color w:val="000000" w:themeColor="text1"/>
                <w:szCs w:val="16"/>
              </w:rPr>
              <w:t>100.00%</w:t>
            </w:r>
          </w:p>
        </w:tc>
        <w:tc>
          <w:tcPr>
            <w:tcW w:w="958" w:type="pct"/>
            <w:shd w:val="clear" w:color="auto" w:fill="auto"/>
            <w:vAlign w:val="center"/>
          </w:tcPr>
          <w:p w14:paraId="20E5284B" w14:textId="1FE0CF32" w:rsidR="00070D9E"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71" w:type="pct"/>
            <w:shd w:val="clear" w:color="auto" w:fill="auto"/>
            <w:vAlign w:val="center"/>
          </w:tcPr>
          <w:p w14:paraId="55A387E5" w14:textId="6321743C" w:rsidR="00070D9E" w:rsidRPr="00781112" w:rsidRDefault="002B7490" w:rsidP="004369B2">
            <w:pPr>
              <w:jc w:val="center"/>
              <w:rPr>
                <w:rFonts w:cs="Arial"/>
                <w:color w:val="000000" w:themeColor="text1"/>
                <w:szCs w:val="16"/>
              </w:rPr>
            </w:pPr>
            <w:r w:rsidRPr="00781112">
              <w:rPr>
                <w:rFonts w:cs="Arial"/>
                <w:color w:val="000000" w:themeColor="text1"/>
                <w:szCs w:val="16"/>
              </w:rPr>
              <w:t>100.00%</w:t>
            </w:r>
          </w:p>
        </w:tc>
        <w:tc>
          <w:tcPr>
            <w:tcW w:w="728" w:type="pct"/>
            <w:shd w:val="clear" w:color="auto" w:fill="auto"/>
            <w:vAlign w:val="center"/>
          </w:tcPr>
          <w:p w14:paraId="66968C5A" w14:textId="493EB054" w:rsidR="00070D9E" w:rsidRPr="00781112" w:rsidRDefault="002B7490" w:rsidP="004369B2">
            <w:pPr>
              <w:jc w:val="center"/>
              <w:rPr>
                <w:rFonts w:cs="Arial"/>
                <w:color w:val="000000" w:themeColor="text1"/>
                <w:szCs w:val="16"/>
              </w:rPr>
            </w:pPr>
            <w:r w:rsidRPr="00781112">
              <w:rPr>
                <w:rFonts w:cs="Arial"/>
                <w:color w:val="000000" w:themeColor="text1"/>
                <w:szCs w:val="16"/>
              </w:rPr>
              <w:t>Met target</w:t>
            </w:r>
          </w:p>
        </w:tc>
        <w:tc>
          <w:tcPr>
            <w:tcW w:w="704" w:type="pct"/>
            <w:shd w:val="clear" w:color="auto" w:fill="auto"/>
            <w:vAlign w:val="center"/>
          </w:tcPr>
          <w:p w14:paraId="175BD68F" w14:textId="534B9E4D" w:rsidR="00070D9E"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1C32496" w14:textId="77777777" w:rsidR="00A5601C" w:rsidRPr="00781112" w:rsidRDefault="00070D9E">
      <w:pPr>
        <w:rPr>
          <w:b/>
          <w:color w:val="000000" w:themeColor="text1"/>
        </w:rPr>
      </w:pPr>
      <w:r w:rsidRPr="00781112">
        <w:rPr>
          <w:b/>
          <w:color w:val="000000" w:themeColor="text1"/>
        </w:rPr>
        <w:t xml:space="preserve">What is the source of the data provided for this indicator? </w:t>
      </w:r>
    </w:p>
    <w:p w14:paraId="2BFF05E7" w14:textId="7BFBE390" w:rsidR="00070D9E" w:rsidRPr="00781112" w:rsidRDefault="002B7490" w:rsidP="004369B2">
      <w:pPr>
        <w:rPr>
          <w:iCs/>
          <w:color w:val="000000" w:themeColor="text1"/>
        </w:rPr>
      </w:pPr>
      <w:r w:rsidRPr="00781112">
        <w:rPr>
          <w:iCs/>
          <w:color w:val="000000" w:themeColor="text1"/>
        </w:rPr>
        <w:lastRenderedPageBreak/>
        <w:t>State monitoring</w:t>
      </w:r>
    </w:p>
    <w:p w14:paraId="68493AF0" w14:textId="77777777" w:rsidR="00070D9E" w:rsidRPr="00781112" w:rsidRDefault="00070D9E"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22E8774A" w14:textId="46B4955A" w:rsidR="00326C0B" w:rsidRPr="00781112" w:rsidRDefault="002B7490" w:rsidP="008E31C4">
      <w:pPr>
        <w:rPr>
          <w:rFonts w:cs="Arial"/>
          <w:color w:val="000000" w:themeColor="text1"/>
          <w:szCs w:val="16"/>
        </w:rPr>
      </w:pPr>
      <w:r w:rsidRPr="00781112">
        <w:rPr>
          <w:rFonts w:cs="Arial"/>
          <w:color w:val="000000" w:themeColor="text1"/>
          <w:szCs w:val="16"/>
        </w:rPr>
        <w:t>For this indicator, Louisiana obtained monitoring results through desk audits and self-assessments. The State initially targeted specific schools for an on-site monitoring event if they scored at Quartile 1 (the highest risk) of a risk analysis rubric. The rubric considered year to year changes in ELA and Math proficiency on statewide assessments, graduation rate, drop-out rate, and Special Education LEA Determinations. However, due to the COVID-19 Pandemic, on-site monitoring events were changed to desk reviews.</w:t>
      </w:r>
      <w:r w:rsidRPr="00781112">
        <w:rPr>
          <w:rFonts w:cs="Arial"/>
          <w:color w:val="000000" w:themeColor="text1"/>
          <w:szCs w:val="16"/>
        </w:rPr>
        <w:br/>
      </w:r>
      <w:r w:rsidRPr="00781112">
        <w:rPr>
          <w:rFonts w:cs="Arial"/>
          <w:color w:val="000000" w:themeColor="text1"/>
          <w:szCs w:val="16"/>
        </w:rPr>
        <w:br/>
        <w:t>The State focused monitoring on the effective general supervision of IDEA Part B and an effective transition process. The State reviewed records to determine the percent of youth aged 16 and above with an IEP that included: 1) appropriate measurable postsecondary goals that are updated annually and upon an age appropriate transition assessment, transition services, including courses of study, that will reasonably enable the student to meet postsecondary goals, and 2) annual IEP goals related to the student’s transition service needs. Further, the State reviewed records for evidence that the student was invited to the IEP team meeting where transition services were to be discussed and evidence that, if appropriate, a representative of any participating agency was invited to the IEP team meeting with the prior consent of the parent or student who has reached the age of majority.</w:t>
      </w:r>
      <w:r w:rsidRPr="00781112">
        <w:rPr>
          <w:rFonts w:cs="Arial"/>
          <w:color w:val="000000" w:themeColor="text1"/>
          <w:szCs w:val="16"/>
        </w:rPr>
        <w:br/>
      </w:r>
      <w:r w:rsidRPr="00781112">
        <w:rPr>
          <w:rFonts w:cs="Arial"/>
          <w:color w:val="000000" w:themeColor="text1"/>
          <w:szCs w:val="16"/>
        </w:rPr>
        <w:br/>
        <w:t>The State also required selected LEAs to complete a self-assessment tool to determine if student transition records were compliant with the following established criteria. LEAs use a state-mandated process to identify records to review. LEAs follow a state-developed protocol to determine if the selected transition plan in the current IEP meets required components, including 1) measurable postsecondary goals that cover education/training, employment, and as needed, independent living; 2) annual IEP goal(s) that will reasonably enable students to meet their postsecondary goal(s); 3) evidence that representatives of external agencies were invited to IEP meetings; and 4) courses of study that focus on improving the academic and functional achievement of students to facilitate their movement from school to post-school.</w:t>
      </w:r>
      <w:r w:rsidRPr="00781112">
        <w:rPr>
          <w:rFonts w:cs="Arial"/>
          <w:color w:val="000000" w:themeColor="text1"/>
          <w:szCs w:val="16"/>
        </w:rPr>
        <w:br/>
      </w:r>
      <w:r w:rsidRPr="00781112">
        <w:rPr>
          <w:rFonts w:cs="Arial"/>
          <w:color w:val="000000" w:themeColor="text1"/>
          <w:szCs w:val="16"/>
        </w:rPr>
        <w:br/>
        <w:t>LDOE reviewed 72 records and LEAs completed self-assessments on an additional 63 records, for a total of 135 records of youth aged 16 and above reviewed for compliance.</w:t>
      </w:r>
    </w:p>
    <w:tbl>
      <w:tblPr>
        <w:tblStyle w:val="TableGrid"/>
        <w:tblW w:w="5000" w:type="pct"/>
        <w:tblLook w:val="04A0" w:firstRow="1" w:lastRow="0" w:firstColumn="1" w:lastColumn="0" w:noHBand="0" w:noVBand="1"/>
        <w:tblCaption w:val="B13CFFYCOLLECT"/>
      </w:tblPr>
      <w:tblGrid>
        <w:gridCol w:w="8503"/>
        <w:gridCol w:w="2287"/>
      </w:tblGrid>
      <w:tr w:rsidR="005C29F8" w:rsidRPr="00781112" w14:paraId="366D2592" w14:textId="77777777" w:rsidTr="0033429D">
        <w:trPr>
          <w:tblHeader/>
        </w:trPr>
        <w:tc>
          <w:tcPr>
            <w:tcW w:w="3940" w:type="pct"/>
          </w:tcPr>
          <w:p w14:paraId="49221B81" w14:textId="4811C153" w:rsidR="006B4D98" w:rsidRPr="00781112" w:rsidRDefault="00694A39" w:rsidP="005F442C">
            <w:pPr>
              <w:rPr>
                <w:rFonts w:cs="Arial"/>
                <w:b/>
                <w:bCs/>
                <w:color w:val="000000" w:themeColor="text1"/>
                <w:szCs w:val="16"/>
              </w:rPr>
            </w:pPr>
            <w:r w:rsidRPr="00781112">
              <w:rPr>
                <w:rFonts w:cs="Arial"/>
                <w:b/>
                <w:bCs/>
                <w:color w:val="000000" w:themeColor="text1"/>
                <w:szCs w:val="16"/>
              </w:rPr>
              <w:t>Question</w:t>
            </w:r>
          </w:p>
        </w:tc>
        <w:tc>
          <w:tcPr>
            <w:tcW w:w="1060" w:type="pct"/>
          </w:tcPr>
          <w:p w14:paraId="3C85F11D" w14:textId="67F200AD" w:rsidR="006B4D98" w:rsidRPr="00781112" w:rsidRDefault="006B4D98"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3EAB126" w14:textId="25879D68" w:rsidTr="00A947D9">
        <w:tc>
          <w:tcPr>
            <w:tcW w:w="3940" w:type="pct"/>
          </w:tcPr>
          <w:p w14:paraId="48B431E3" w14:textId="55B03061" w:rsidR="006B4D98" w:rsidRPr="00781112" w:rsidRDefault="006B4D98" w:rsidP="005F442C">
            <w:pPr>
              <w:rPr>
                <w:rFonts w:cs="Arial"/>
                <w:color w:val="000000" w:themeColor="text1"/>
                <w:szCs w:val="16"/>
              </w:rPr>
            </w:pPr>
            <w:r w:rsidRPr="00781112">
              <w:rPr>
                <w:rFonts w:cs="Arial"/>
                <w:color w:val="000000" w:themeColor="text1"/>
                <w:szCs w:val="16"/>
              </w:rPr>
              <w:t xml:space="preserve">Do the State’s policies and procedures provide that public agencies must meet these requirements at an age younger than 16? </w:t>
            </w:r>
          </w:p>
        </w:tc>
        <w:tc>
          <w:tcPr>
            <w:tcW w:w="1060" w:type="pct"/>
          </w:tcPr>
          <w:p w14:paraId="15F6D513" w14:textId="633CDBEB" w:rsidR="006B4D98"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735DB55A" w14:textId="18C77FF1" w:rsidR="00644AC8" w:rsidRPr="00781112" w:rsidRDefault="00644AC8" w:rsidP="005F442C">
      <w:pPr>
        <w:rPr>
          <w:rFonts w:cs="Arial"/>
          <w:b/>
          <w:color w:val="000000" w:themeColor="text1"/>
          <w:szCs w:val="16"/>
        </w:rPr>
      </w:pPr>
      <w:bookmarkStart w:id="76" w:name="_Toc392159335"/>
      <w:r w:rsidRPr="00781112">
        <w:rPr>
          <w:rFonts w:cs="Arial"/>
          <w:b/>
          <w:color w:val="000000" w:themeColor="text1"/>
          <w:szCs w:val="16"/>
        </w:rPr>
        <w:t>Provide additional information about this indicator (optional)</w:t>
      </w:r>
    </w:p>
    <w:p w14:paraId="2F22AC76" w14:textId="5FF8D00A" w:rsidR="00326C0B" w:rsidRPr="00781112" w:rsidRDefault="00326C0B" w:rsidP="007D435F">
      <w:pPr>
        <w:rPr>
          <w:rFonts w:cs="Arial"/>
          <w:color w:val="000000" w:themeColor="text1"/>
          <w:szCs w:val="16"/>
        </w:rPr>
      </w:pPr>
    </w:p>
    <w:p w14:paraId="1F3D4141" w14:textId="77777777" w:rsidR="00AF12E4" w:rsidRPr="00781112" w:rsidRDefault="00AF12E4" w:rsidP="004369B2">
      <w:pPr>
        <w:rPr>
          <w:color w:val="000000" w:themeColor="text1"/>
        </w:rPr>
      </w:pPr>
    </w:p>
    <w:p w14:paraId="37C34CDA" w14:textId="164D9AA7"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13PFFYNCFINDINGS"/>
      </w:tblPr>
      <w:tblGrid>
        <w:gridCol w:w="2650"/>
        <w:gridCol w:w="2780"/>
        <w:gridCol w:w="2656"/>
        <w:gridCol w:w="2704"/>
      </w:tblGrid>
      <w:tr w:rsidR="005C29F8" w:rsidRPr="00781112" w14:paraId="6C308319" w14:textId="77777777" w:rsidTr="00A947D9">
        <w:trPr>
          <w:trHeight w:val="389"/>
          <w:tblHeader/>
        </w:trPr>
        <w:tc>
          <w:tcPr>
            <w:tcW w:w="1228" w:type="pct"/>
            <w:shd w:val="clear" w:color="auto" w:fill="auto"/>
            <w:vAlign w:val="bottom"/>
          </w:tcPr>
          <w:p w14:paraId="5A6805D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63B4B6E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6D8FBA2"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6D3A2F2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582DC7" w14:textId="77777777" w:rsidTr="00A947D9">
        <w:tc>
          <w:tcPr>
            <w:tcW w:w="1228" w:type="pct"/>
            <w:shd w:val="clear" w:color="auto" w:fill="auto"/>
          </w:tcPr>
          <w:p w14:paraId="1C22474D" w14:textId="5ECD77A3"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6A161A21" w14:textId="698D820A"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6CF556ED" w14:textId="6BD64A21"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B14B45E" w14:textId="6409289E"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09CD9C74" w14:textId="77777777" w:rsidR="00A947D9" w:rsidRPr="00781112" w:rsidRDefault="00A947D9" w:rsidP="004369B2">
      <w:pPr>
        <w:rPr>
          <w:color w:val="000000" w:themeColor="text1"/>
        </w:rPr>
      </w:pPr>
    </w:p>
    <w:p w14:paraId="59FD8363" w14:textId="1505CA5F"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13PPFFYNCFINDINGS"/>
      </w:tblPr>
      <w:tblGrid>
        <w:gridCol w:w="2132"/>
        <w:gridCol w:w="3153"/>
        <w:gridCol w:w="2842"/>
        <w:gridCol w:w="2663"/>
      </w:tblGrid>
      <w:tr w:rsidR="005C29F8" w:rsidRPr="00781112" w14:paraId="1C8DDFE9" w14:textId="77777777" w:rsidTr="00A947D9">
        <w:trPr>
          <w:tblHeader/>
        </w:trPr>
        <w:tc>
          <w:tcPr>
            <w:tcW w:w="988" w:type="pct"/>
            <w:shd w:val="clear" w:color="auto" w:fill="auto"/>
            <w:vAlign w:val="bottom"/>
          </w:tcPr>
          <w:p w14:paraId="6DA65F9A" w14:textId="186CEF1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22AE93B4" w14:textId="1A316672"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317" w:type="pct"/>
            <w:shd w:val="clear" w:color="auto" w:fill="auto"/>
            <w:vAlign w:val="bottom"/>
          </w:tcPr>
          <w:p w14:paraId="1E65248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2936209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1DF4458C" w14:textId="77777777" w:rsidTr="00A947D9">
        <w:tc>
          <w:tcPr>
            <w:tcW w:w="988" w:type="pct"/>
            <w:shd w:val="clear" w:color="auto" w:fill="auto"/>
          </w:tcPr>
          <w:p w14:paraId="09D39BF4" w14:textId="12080EC7" w:rsidR="009A755E" w:rsidRPr="00781112" w:rsidRDefault="009A755E" w:rsidP="00A018D4">
            <w:pPr>
              <w:jc w:val="center"/>
              <w:rPr>
                <w:rFonts w:cs="Arial"/>
                <w:color w:val="000000" w:themeColor="text1"/>
                <w:szCs w:val="16"/>
              </w:rPr>
            </w:pPr>
          </w:p>
        </w:tc>
        <w:tc>
          <w:tcPr>
            <w:tcW w:w="1461" w:type="pct"/>
            <w:shd w:val="clear" w:color="auto" w:fill="auto"/>
          </w:tcPr>
          <w:p w14:paraId="16129CDC" w14:textId="4ECB3EAC" w:rsidR="009A755E" w:rsidRPr="00781112" w:rsidRDefault="009A755E">
            <w:pPr>
              <w:jc w:val="center"/>
              <w:rPr>
                <w:rFonts w:cs="Arial"/>
                <w:noProof/>
                <w:color w:val="000000" w:themeColor="text1"/>
                <w:szCs w:val="16"/>
              </w:rPr>
            </w:pPr>
          </w:p>
        </w:tc>
        <w:tc>
          <w:tcPr>
            <w:tcW w:w="1317" w:type="pct"/>
            <w:shd w:val="clear" w:color="auto" w:fill="auto"/>
          </w:tcPr>
          <w:p w14:paraId="631866C2" w14:textId="7A733589" w:rsidR="009A755E" w:rsidRPr="00781112" w:rsidRDefault="009A755E">
            <w:pPr>
              <w:jc w:val="center"/>
              <w:rPr>
                <w:rFonts w:cs="Arial"/>
                <w:noProof/>
                <w:color w:val="000000" w:themeColor="text1"/>
                <w:szCs w:val="16"/>
              </w:rPr>
            </w:pPr>
          </w:p>
        </w:tc>
        <w:tc>
          <w:tcPr>
            <w:tcW w:w="1234" w:type="pct"/>
            <w:shd w:val="clear" w:color="auto" w:fill="auto"/>
          </w:tcPr>
          <w:p w14:paraId="3A2AFB37" w14:textId="4D254CD3" w:rsidR="009A755E" w:rsidRPr="00781112" w:rsidRDefault="009A755E">
            <w:pPr>
              <w:jc w:val="center"/>
              <w:rPr>
                <w:rFonts w:cs="Arial"/>
                <w:noProof/>
                <w:color w:val="000000" w:themeColor="text1"/>
                <w:szCs w:val="16"/>
              </w:rPr>
            </w:pPr>
          </w:p>
        </w:tc>
      </w:tr>
      <w:tr w:rsidR="005C29F8" w:rsidRPr="00781112" w14:paraId="22754C03" w14:textId="77777777" w:rsidTr="00A947D9">
        <w:tc>
          <w:tcPr>
            <w:tcW w:w="988" w:type="pct"/>
            <w:shd w:val="clear" w:color="auto" w:fill="auto"/>
          </w:tcPr>
          <w:p w14:paraId="3F1CDA29" w14:textId="16C6A591" w:rsidR="009A755E" w:rsidRPr="00781112" w:rsidRDefault="009A755E" w:rsidP="00A018D4">
            <w:pPr>
              <w:jc w:val="center"/>
              <w:rPr>
                <w:rFonts w:cs="Arial"/>
                <w:color w:val="000000" w:themeColor="text1"/>
                <w:szCs w:val="16"/>
              </w:rPr>
            </w:pPr>
          </w:p>
        </w:tc>
        <w:tc>
          <w:tcPr>
            <w:tcW w:w="1461" w:type="pct"/>
            <w:shd w:val="clear" w:color="auto" w:fill="auto"/>
          </w:tcPr>
          <w:p w14:paraId="50EA299D" w14:textId="70FCF876" w:rsidR="009A755E" w:rsidRPr="00781112" w:rsidRDefault="009A755E">
            <w:pPr>
              <w:jc w:val="center"/>
              <w:rPr>
                <w:rFonts w:cs="Arial"/>
                <w:noProof/>
                <w:color w:val="000000" w:themeColor="text1"/>
                <w:szCs w:val="16"/>
              </w:rPr>
            </w:pPr>
          </w:p>
        </w:tc>
        <w:tc>
          <w:tcPr>
            <w:tcW w:w="1317" w:type="pct"/>
            <w:shd w:val="clear" w:color="auto" w:fill="auto"/>
          </w:tcPr>
          <w:p w14:paraId="424B5A41" w14:textId="57F0D24B" w:rsidR="009A755E" w:rsidRPr="00781112" w:rsidRDefault="009A755E">
            <w:pPr>
              <w:jc w:val="center"/>
              <w:rPr>
                <w:rFonts w:cs="Arial"/>
                <w:noProof/>
                <w:color w:val="000000" w:themeColor="text1"/>
                <w:szCs w:val="16"/>
              </w:rPr>
            </w:pPr>
          </w:p>
        </w:tc>
        <w:tc>
          <w:tcPr>
            <w:tcW w:w="1234" w:type="pct"/>
            <w:shd w:val="clear" w:color="auto" w:fill="auto"/>
          </w:tcPr>
          <w:p w14:paraId="5FD250DE" w14:textId="1F07D8E0" w:rsidR="009A755E" w:rsidRPr="00781112" w:rsidRDefault="009A755E">
            <w:pPr>
              <w:jc w:val="center"/>
              <w:rPr>
                <w:rFonts w:cs="Arial"/>
                <w:noProof/>
                <w:color w:val="000000" w:themeColor="text1"/>
                <w:szCs w:val="16"/>
              </w:rPr>
            </w:pPr>
          </w:p>
        </w:tc>
      </w:tr>
      <w:tr w:rsidR="005C29F8" w:rsidRPr="00781112" w14:paraId="1554C3DE" w14:textId="77777777" w:rsidTr="00A947D9">
        <w:tc>
          <w:tcPr>
            <w:tcW w:w="988" w:type="pct"/>
            <w:shd w:val="clear" w:color="auto" w:fill="auto"/>
          </w:tcPr>
          <w:p w14:paraId="08F1D022" w14:textId="2DEB05AF" w:rsidR="009A755E" w:rsidRPr="00781112" w:rsidRDefault="009A755E" w:rsidP="00A018D4">
            <w:pPr>
              <w:jc w:val="center"/>
              <w:rPr>
                <w:rFonts w:cs="Arial"/>
                <w:color w:val="000000" w:themeColor="text1"/>
                <w:szCs w:val="16"/>
              </w:rPr>
            </w:pPr>
          </w:p>
        </w:tc>
        <w:tc>
          <w:tcPr>
            <w:tcW w:w="1461" w:type="pct"/>
            <w:shd w:val="clear" w:color="auto" w:fill="auto"/>
          </w:tcPr>
          <w:p w14:paraId="3FCA4EF1" w14:textId="25DC21F7" w:rsidR="009A755E" w:rsidRPr="00781112" w:rsidRDefault="009A755E">
            <w:pPr>
              <w:jc w:val="center"/>
              <w:rPr>
                <w:rFonts w:cs="Arial"/>
                <w:noProof/>
                <w:color w:val="000000" w:themeColor="text1"/>
                <w:szCs w:val="16"/>
              </w:rPr>
            </w:pPr>
          </w:p>
        </w:tc>
        <w:tc>
          <w:tcPr>
            <w:tcW w:w="1317" w:type="pct"/>
            <w:shd w:val="clear" w:color="auto" w:fill="auto"/>
          </w:tcPr>
          <w:p w14:paraId="4F433BEE" w14:textId="401E2469" w:rsidR="009A755E" w:rsidRPr="00781112" w:rsidRDefault="009A755E">
            <w:pPr>
              <w:jc w:val="center"/>
              <w:rPr>
                <w:rFonts w:cs="Arial"/>
                <w:noProof/>
                <w:color w:val="000000" w:themeColor="text1"/>
                <w:szCs w:val="16"/>
              </w:rPr>
            </w:pPr>
          </w:p>
        </w:tc>
        <w:tc>
          <w:tcPr>
            <w:tcW w:w="1234" w:type="pct"/>
            <w:shd w:val="clear" w:color="auto" w:fill="auto"/>
          </w:tcPr>
          <w:p w14:paraId="615F0522" w14:textId="27A5AF36" w:rsidR="009A755E" w:rsidRPr="00781112" w:rsidRDefault="009A755E">
            <w:pPr>
              <w:jc w:val="center"/>
              <w:rPr>
                <w:rFonts w:cs="Arial"/>
                <w:noProof/>
                <w:color w:val="000000" w:themeColor="text1"/>
                <w:szCs w:val="16"/>
              </w:rPr>
            </w:pPr>
          </w:p>
        </w:tc>
      </w:tr>
    </w:tbl>
    <w:p w14:paraId="0764B6D1" w14:textId="7BF666C6" w:rsidR="004E2151" w:rsidRPr="00781112" w:rsidRDefault="00056350" w:rsidP="00123D76">
      <w:pPr>
        <w:pStyle w:val="Heading2"/>
      </w:pPr>
      <w:r w:rsidRPr="00781112">
        <w:t>13</w:t>
      </w:r>
      <w:r w:rsidR="001D508D" w:rsidRPr="00781112">
        <w:t xml:space="preserve"> </w:t>
      </w:r>
      <w:r w:rsidRPr="00781112">
        <w:t xml:space="preserve">- </w:t>
      </w:r>
      <w:r w:rsidR="004E2151" w:rsidRPr="00781112">
        <w:t>Prior FFY Required Actions</w:t>
      </w:r>
    </w:p>
    <w:p w14:paraId="3DC62C2B" w14:textId="341FD615" w:rsidR="004E2151" w:rsidRPr="00781112" w:rsidRDefault="002B7490" w:rsidP="004E2151">
      <w:pPr>
        <w:rPr>
          <w:rFonts w:cs="Arial"/>
          <w:color w:val="000000" w:themeColor="text1"/>
          <w:szCs w:val="16"/>
        </w:rPr>
      </w:pPr>
      <w:r w:rsidRPr="00781112">
        <w:rPr>
          <w:rFonts w:cs="Arial"/>
          <w:color w:val="000000" w:themeColor="text1"/>
          <w:szCs w:val="16"/>
        </w:rPr>
        <w:t>None</w:t>
      </w:r>
    </w:p>
    <w:p w14:paraId="6FDC964C" w14:textId="7C7EE16F" w:rsidR="009F69E7" w:rsidRPr="00781112" w:rsidRDefault="009F69E7" w:rsidP="004E2151">
      <w:pPr>
        <w:rPr>
          <w:rFonts w:cs="Arial"/>
          <w:color w:val="000000" w:themeColor="text1"/>
          <w:szCs w:val="16"/>
        </w:rPr>
      </w:pPr>
    </w:p>
    <w:p w14:paraId="310A49DA" w14:textId="36D1B81C" w:rsidR="007F5071" w:rsidRPr="00781112" w:rsidRDefault="00056350" w:rsidP="00123D76">
      <w:pPr>
        <w:pStyle w:val="Heading2"/>
      </w:pPr>
      <w:r w:rsidRPr="00781112">
        <w:t>13 - OSEP Response</w:t>
      </w:r>
    </w:p>
    <w:p w14:paraId="55757593" w14:textId="79413C8B" w:rsidR="00293C7E" w:rsidRPr="00781112" w:rsidRDefault="00293C7E" w:rsidP="00212954">
      <w:pPr>
        <w:rPr>
          <w:rFonts w:cs="Arial"/>
          <w:color w:val="000000" w:themeColor="text1"/>
          <w:szCs w:val="16"/>
        </w:rPr>
      </w:pPr>
    </w:p>
    <w:p w14:paraId="139D82E4" w14:textId="2690DF84" w:rsidR="007F5071" w:rsidRPr="00781112" w:rsidRDefault="00056350" w:rsidP="00123D76">
      <w:pPr>
        <w:pStyle w:val="Heading2"/>
      </w:pPr>
      <w:r w:rsidRPr="00781112">
        <w:t>13 - Required Actions</w:t>
      </w:r>
    </w:p>
    <w:p w14:paraId="3AC05AE9" w14:textId="66211D68" w:rsidR="00293C7E" w:rsidRPr="00781112" w:rsidRDefault="00293C7E" w:rsidP="00212954">
      <w:pPr>
        <w:rPr>
          <w:rFonts w:cs="Arial"/>
          <w:color w:val="000000" w:themeColor="text1"/>
          <w:szCs w:val="16"/>
        </w:rPr>
      </w:pPr>
    </w:p>
    <w:p w14:paraId="2D88F5D3"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BE48297" w14:textId="374F3BC7" w:rsidR="00B3462E" w:rsidRPr="00781112" w:rsidRDefault="00B3462E" w:rsidP="000444E2">
      <w:pPr>
        <w:pStyle w:val="Heading1"/>
        <w:rPr>
          <w:color w:val="000000" w:themeColor="text1"/>
          <w:sz w:val="22"/>
        </w:rPr>
      </w:pPr>
      <w:r w:rsidRPr="00781112">
        <w:rPr>
          <w:color w:val="000000" w:themeColor="text1"/>
          <w:sz w:val="22"/>
        </w:rPr>
        <w:lastRenderedPageBreak/>
        <w:t>Indicator 14: Post-School Outcomes</w:t>
      </w:r>
      <w:bookmarkEnd w:id="76"/>
    </w:p>
    <w:p w14:paraId="22761492" w14:textId="77777777" w:rsidR="005C50DB" w:rsidRPr="00781112" w:rsidRDefault="005C50DB" w:rsidP="00A018D4">
      <w:pPr>
        <w:rPr>
          <w:szCs w:val="20"/>
        </w:rPr>
      </w:pPr>
      <w:bookmarkStart w:id="77" w:name="_Toc392159336"/>
      <w:r w:rsidRPr="00781112">
        <w:rPr>
          <w:b/>
          <w:sz w:val="20"/>
          <w:szCs w:val="20"/>
        </w:rPr>
        <w:t>Instructions and Measurement</w:t>
      </w:r>
    </w:p>
    <w:p w14:paraId="3872DE81" w14:textId="173DF04F" w:rsidR="001F3A65" w:rsidRPr="00781112" w:rsidRDefault="001F3A65" w:rsidP="005F442C">
      <w:pPr>
        <w:rPr>
          <w:rFonts w:cs="Arial"/>
          <w:szCs w:val="16"/>
        </w:rPr>
      </w:pPr>
      <w:r w:rsidRPr="00781112">
        <w:rPr>
          <w:rFonts w:cs="Arial"/>
          <w:b/>
          <w:szCs w:val="16"/>
        </w:rPr>
        <w:t>Monitoring Priority</w:t>
      </w:r>
      <w:r w:rsidRPr="00781112">
        <w:rPr>
          <w:rFonts w:cs="Arial"/>
          <w:szCs w:val="16"/>
        </w:rPr>
        <w:t>: Effective General Supervision Part B / Effective Transition</w:t>
      </w:r>
    </w:p>
    <w:p w14:paraId="29CEDA40" w14:textId="10BE3AE6" w:rsidR="001F3A65" w:rsidRPr="00781112" w:rsidRDefault="001F3A65" w:rsidP="005F442C">
      <w:pPr>
        <w:rPr>
          <w:rFonts w:cs="Arial"/>
          <w:szCs w:val="16"/>
        </w:rPr>
      </w:pPr>
      <w:r w:rsidRPr="00781112">
        <w:rPr>
          <w:rFonts w:cs="Arial"/>
          <w:b/>
          <w:szCs w:val="16"/>
        </w:rPr>
        <w:t>Results indicator:</w:t>
      </w:r>
      <w:r w:rsidR="00131842" w:rsidRPr="00781112">
        <w:rPr>
          <w:rFonts w:cs="Arial"/>
          <w:szCs w:val="16"/>
        </w:rPr>
        <w:t xml:space="preserve"> </w:t>
      </w:r>
      <w:r w:rsidRPr="00781112">
        <w:rPr>
          <w:rFonts w:cs="Arial"/>
          <w:szCs w:val="16"/>
        </w:rPr>
        <w:t>Percent of youth who are no longer in secondary school, had IEPs in effect at the time they left school, and were:</w:t>
      </w:r>
    </w:p>
    <w:p w14:paraId="7F97857D" w14:textId="783928AC" w:rsidR="001F3A65" w:rsidRPr="00781112" w:rsidRDefault="00F52ED5" w:rsidP="005F442C">
      <w:pPr>
        <w:rPr>
          <w:rFonts w:cs="Arial"/>
          <w:szCs w:val="16"/>
        </w:rPr>
      </w:pPr>
      <w:r w:rsidRPr="00781112">
        <w:rPr>
          <w:rFonts w:cs="Arial"/>
          <w:szCs w:val="16"/>
        </w:rPr>
        <w:tab/>
      </w:r>
      <w:r w:rsidRPr="00781112">
        <w:rPr>
          <w:rFonts w:cs="Arial"/>
          <w:szCs w:val="16"/>
        </w:rPr>
        <w:tab/>
        <w:t>A. Enrolled in higher education within one year of leaving high school.</w:t>
      </w:r>
    </w:p>
    <w:p w14:paraId="72E90E1C" w14:textId="0FC21DC4" w:rsidR="001F3A65" w:rsidRPr="00781112" w:rsidRDefault="00F52ED5" w:rsidP="005F442C">
      <w:pPr>
        <w:rPr>
          <w:rFonts w:cs="Arial"/>
          <w:szCs w:val="16"/>
        </w:rPr>
      </w:pPr>
      <w:r w:rsidRPr="00781112">
        <w:rPr>
          <w:rFonts w:cs="Arial"/>
          <w:szCs w:val="16"/>
        </w:rPr>
        <w:tab/>
      </w:r>
      <w:r w:rsidRPr="00781112">
        <w:rPr>
          <w:rFonts w:cs="Arial"/>
          <w:szCs w:val="16"/>
        </w:rPr>
        <w:tab/>
        <w:t>B. Enrolled in higher education or competitively employed within one year of leaving high school.</w:t>
      </w:r>
    </w:p>
    <w:p w14:paraId="71CF3231" w14:textId="0CA0669B" w:rsidR="001F3A65" w:rsidRPr="00781112" w:rsidRDefault="00F52ED5" w:rsidP="00856B0E">
      <w:pPr>
        <w:tabs>
          <w:tab w:val="left" w:pos="1440"/>
        </w:tabs>
        <w:ind w:left="1440"/>
        <w:rPr>
          <w:rFonts w:cs="Arial"/>
          <w:szCs w:val="16"/>
        </w:rPr>
      </w:pPr>
      <w:r w:rsidRPr="00781112">
        <w:rPr>
          <w:rFonts w:cs="Arial"/>
          <w:szCs w:val="16"/>
        </w:rPr>
        <w:t>C. Enrolled in higher education or in some other postsecondary education or training program; or competitively employed or in some other employment within one year of leaving high school.</w:t>
      </w:r>
    </w:p>
    <w:p w14:paraId="34C582E7" w14:textId="77777777" w:rsidR="001F3A65" w:rsidRPr="00781112" w:rsidRDefault="001F3A65" w:rsidP="005F442C">
      <w:pPr>
        <w:rPr>
          <w:rFonts w:cs="Arial"/>
          <w:szCs w:val="16"/>
        </w:rPr>
      </w:pPr>
      <w:r w:rsidRPr="00781112">
        <w:rPr>
          <w:rFonts w:cs="Arial"/>
          <w:szCs w:val="16"/>
        </w:rPr>
        <w:t>(20 U.S.C. 1416(a)(3)(B))</w:t>
      </w:r>
    </w:p>
    <w:p w14:paraId="48D4CA91" w14:textId="77777777" w:rsidR="00B67038" w:rsidRPr="00781112" w:rsidRDefault="00B67038" w:rsidP="004369B2">
      <w:r w:rsidRPr="00781112">
        <w:rPr>
          <w:b/>
        </w:rPr>
        <w:t>Data Source</w:t>
      </w:r>
    </w:p>
    <w:p w14:paraId="266BF2FF" w14:textId="7EC5F0A3" w:rsidR="00B67038" w:rsidRPr="00781112" w:rsidRDefault="00B67038" w:rsidP="005F442C">
      <w:pPr>
        <w:rPr>
          <w:rFonts w:cs="Arial"/>
          <w:szCs w:val="16"/>
        </w:rPr>
      </w:pPr>
      <w:r w:rsidRPr="00781112">
        <w:rPr>
          <w:rFonts w:cs="Arial"/>
          <w:szCs w:val="16"/>
        </w:rPr>
        <w:t>State selected data source.</w:t>
      </w:r>
    </w:p>
    <w:p w14:paraId="1655DDB5" w14:textId="4F072B5B" w:rsidR="00B67038" w:rsidRPr="00781112" w:rsidRDefault="00B67038" w:rsidP="004369B2">
      <w:r w:rsidRPr="00781112">
        <w:rPr>
          <w:b/>
        </w:rPr>
        <w:t>Measurement</w:t>
      </w:r>
    </w:p>
    <w:p w14:paraId="0B074DD3" w14:textId="77777777" w:rsidR="00B67038" w:rsidRPr="00781112" w:rsidRDefault="009B2B72" w:rsidP="006A01BD">
      <w:pPr>
        <w:pStyle w:val="Numbering"/>
        <w:ind w:left="360"/>
        <w:rPr>
          <w:color w:val="auto"/>
        </w:rPr>
      </w:pPr>
      <w:r w:rsidRPr="00781112">
        <w:rPr>
          <w:color w:val="auto"/>
        </w:rPr>
        <w:t>A. Percent enrolled in higher education = [(# of youth who are no longer in secondary school, had IEPs in effect at the time they left school and were enrolled in higher education within one year of leaving high school) divided by the (# of respondent youth who are no longer in secondary school and had IEPs in effect at the time they left school)] times 100.</w:t>
      </w:r>
    </w:p>
    <w:p w14:paraId="32414D87" w14:textId="01962ED5" w:rsidR="00B67038" w:rsidRPr="00781112" w:rsidRDefault="009B2B72" w:rsidP="006A01BD">
      <w:pPr>
        <w:pStyle w:val="Numbering"/>
        <w:ind w:left="360"/>
        <w:rPr>
          <w:color w:val="auto"/>
        </w:rPr>
      </w:pPr>
      <w:r w:rsidRPr="00781112">
        <w:rPr>
          <w:color w:val="auto"/>
        </w:rPr>
        <w:t>B. Percent enrolled in higher education or competitively employed within one year of leaving high school = [(# of youth who are no longer in secondary school, had IEPs in effect at the time they left school and were enrolled in higher education or competitively employed within one year of leaving high school) divided by the (# of respondent youth who are no longer in secondary school and had IEPs in effect at the time they left school)] times 100.</w:t>
      </w:r>
    </w:p>
    <w:p w14:paraId="0E47FE86" w14:textId="3EAC7580" w:rsidR="00B67038" w:rsidRPr="00781112" w:rsidRDefault="009B2B72" w:rsidP="006A01BD">
      <w:pPr>
        <w:pStyle w:val="Numbering"/>
        <w:ind w:left="360"/>
        <w:rPr>
          <w:color w:val="auto"/>
        </w:rPr>
      </w:pPr>
      <w:r w:rsidRPr="00781112">
        <w:rPr>
          <w:color w:val="auto"/>
        </w:rPr>
        <w:t>C. Percent enrolled in higher education, or in some other postsecondary education or training program; or competitively employed or in some other employment = [(# of youth who are no longer in secondary school, had IEPs in effect at the time they left school and were enrolled in higher education, or in some other postsecondary education or training program; or competitively employed or in some other employment) divided by the (# of respondent youth who are no longer in secondary school and had IEPs in effect at the time they left school)] times 100.</w:t>
      </w:r>
    </w:p>
    <w:p w14:paraId="20442BDD" w14:textId="77777777" w:rsidR="00B67038" w:rsidRPr="00781112" w:rsidRDefault="00B67038" w:rsidP="004369B2">
      <w:r w:rsidRPr="00781112">
        <w:rPr>
          <w:b/>
        </w:rPr>
        <w:t>Instructions</w:t>
      </w:r>
    </w:p>
    <w:p w14:paraId="4987E862" w14:textId="77777777" w:rsidR="00B67038" w:rsidRPr="00781112" w:rsidRDefault="00B67038" w:rsidP="003A4027">
      <w:pPr>
        <w:spacing w:before="0" w:after="210"/>
        <w:rPr>
          <w:rFonts w:eastAsia="Times New Roman" w:cs="Arial"/>
          <w:i/>
          <w:iCs/>
          <w:szCs w:val="16"/>
        </w:rPr>
      </w:pPr>
      <w:r w:rsidRPr="00781112">
        <w:rPr>
          <w:rFonts w:eastAsia="Times New Roman" w:cs="Arial"/>
          <w:i/>
          <w:iCs/>
          <w:szCs w:val="16"/>
        </w:rPr>
        <w:t>Sampling </w:t>
      </w:r>
      <w:r w:rsidRPr="00781112">
        <w:rPr>
          <w:rFonts w:eastAsia="Times New Roman" w:cs="Arial"/>
          <w:b/>
          <w:bCs/>
          <w:i/>
          <w:iCs/>
          <w:szCs w:val="16"/>
        </w:rPr>
        <w:t>of youth who had IEPs and are no longer in secondary school</w:t>
      </w:r>
      <w:r w:rsidRPr="00781112">
        <w:rPr>
          <w:rFonts w:eastAsia="Times New Roman" w:cs="Arial"/>
          <w:i/>
          <w:iCs/>
          <w:szCs w:val="16"/>
        </w:rPr>
        <w:t> is allowed. When sampling is used, submit a description of the sampling methodology outlining how the design will yield valid and reliable estimates of the target population. (See </w:t>
      </w:r>
      <w:r w:rsidRPr="00781112">
        <w:rPr>
          <w:rFonts w:eastAsia="Times New Roman" w:cs="Arial"/>
          <w:i/>
          <w:iCs/>
          <w:szCs w:val="16"/>
          <w:u w:val="single"/>
        </w:rPr>
        <w:t>General Instructions</w:t>
      </w:r>
      <w:r w:rsidRPr="00781112">
        <w:rPr>
          <w:rFonts w:eastAsia="Times New Roman" w:cs="Arial"/>
          <w:i/>
          <w:iCs/>
          <w:szCs w:val="16"/>
        </w:rPr>
        <w:t> on page 2 for additional instructions on sampling.)</w:t>
      </w:r>
    </w:p>
    <w:p w14:paraId="7DEAD51C" w14:textId="58CA5721" w:rsidR="00B67038" w:rsidRPr="00781112" w:rsidRDefault="003A4027" w:rsidP="003A4027">
      <w:pPr>
        <w:spacing w:before="0" w:after="210"/>
        <w:rPr>
          <w:rFonts w:eastAsia="Times New Roman" w:cs="Arial"/>
          <w:szCs w:val="16"/>
        </w:rPr>
      </w:pPr>
      <w:r w:rsidRPr="00781112">
        <w:rPr>
          <w:rFonts w:eastAsia="Times New Roman" w:cs="Arial"/>
          <w:szCs w:val="16"/>
        </w:rPr>
        <w:t>Collect data by September 2021 on students who left school during 2019-2020, timing the data collection so that at least one year has passed since the students left school. Include students who dropped out during 2019-2020 or who were expected to return but did not return for the current school year. This includes all youth who had an IEP in effect at the time they left school, including those who graduated with a regular diploma or some other credential, dropped out, or aged out.</w:t>
      </w:r>
    </w:p>
    <w:p w14:paraId="34FE8763"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 </w:t>
      </w:r>
      <w:r w:rsidRPr="00781112">
        <w:rPr>
          <w:rFonts w:eastAsia="Times New Roman" w:cs="Arial"/>
          <w:b/>
          <w:bCs/>
          <w:i/>
          <w:iCs/>
          <w:szCs w:val="16"/>
        </w:rPr>
        <w:t>Definitions</w:t>
      </w:r>
    </w:p>
    <w:p w14:paraId="239CB051" w14:textId="357D0921"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higher education</w:t>
      </w:r>
      <w:r w:rsidRPr="00781112">
        <w:rPr>
          <w:rFonts w:eastAsia="Times New Roman" w:cs="Arial"/>
          <w:szCs w:val="16"/>
        </w:rPr>
        <w:t> as used in measures A, B, and C means youth have been enrolled on a full- or part-time basis in a community college (</w:t>
      </w:r>
      <w:r w:rsidR="00DB1150" w:rsidRPr="00781112">
        <w:rPr>
          <w:rFonts w:eastAsia="Times New Roman" w:cs="Arial"/>
          <w:szCs w:val="16"/>
        </w:rPr>
        <w:t>two-year</w:t>
      </w:r>
      <w:r w:rsidRPr="00781112">
        <w:rPr>
          <w:rFonts w:eastAsia="Times New Roman" w:cs="Arial"/>
          <w:szCs w:val="16"/>
        </w:rPr>
        <w:t xml:space="preserve"> program) or college/university (four or more year program) for at least one complete term, at any time in the year since leaving high school.</w:t>
      </w:r>
    </w:p>
    <w:p w14:paraId="4D24D49D" w14:textId="70217398" w:rsidR="00B67038" w:rsidRPr="00781112" w:rsidRDefault="003A4027" w:rsidP="003A4027">
      <w:pPr>
        <w:spacing w:before="0" w:after="210"/>
        <w:rPr>
          <w:rFonts w:eastAsia="Times New Roman" w:cs="Arial"/>
          <w:szCs w:val="16"/>
        </w:rPr>
      </w:pPr>
      <w:r w:rsidRPr="00781112">
        <w:rPr>
          <w:rFonts w:eastAsia="Times New Roman" w:cs="Arial"/>
          <w:i/>
          <w:iCs/>
          <w:szCs w:val="16"/>
        </w:rPr>
        <w:t xml:space="preserve">Competitive employment </w:t>
      </w:r>
      <w:r w:rsidRPr="00781112">
        <w:rPr>
          <w:rFonts w:eastAsia="Times New Roman" w:cs="Arial"/>
          <w:iCs/>
          <w:szCs w:val="16"/>
        </w:rPr>
        <w:t>as used in measures B and C: States have two options to report data under “competitive employment”:</w:t>
      </w:r>
    </w:p>
    <w:p w14:paraId="18FD65ED" w14:textId="77777777" w:rsidR="00B67038" w:rsidRPr="00781112" w:rsidRDefault="00B67038" w:rsidP="002D597B">
      <w:pPr>
        <w:spacing w:before="0" w:after="210"/>
        <w:rPr>
          <w:rFonts w:eastAsia="Times New Roman" w:cs="Arial"/>
          <w:szCs w:val="16"/>
        </w:rPr>
      </w:pPr>
      <w:r w:rsidRPr="00781112">
        <w:rPr>
          <w:rFonts w:eastAsia="Times New Roman" w:cs="Arial"/>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4C3BF53C" w14:textId="4E5C90D1" w:rsidR="00B67038" w:rsidRPr="00781112" w:rsidRDefault="00B67038" w:rsidP="002D597B">
      <w:pPr>
        <w:spacing w:before="0"/>
        <w:rPr>
          <w:rFonts w:eastAsia="Times New Roman" w:cs="Arial"/>
          <w:szCs w:val="16"/>
        </w:rPr>
      </w:pPr>
      <w:r w:rsidRPr="00781112">
        <w:rPr>
          <w:rFonts w:eastAsia="Times New Roman" w:cs="Arial"/>
          <w:szCs w:val="16"/>
        </w:rPr>
        <w:t>Option 2: States report in alignment with the term “competitive integrated employment” and its definition, in section 7(5) of the Rehabilitation Act of 1973, as amended by Workforce Innovation and Opportunity Act (WIOA). For the purpose of defining the rate of compensation for students working on a “part-time basis” under this category, OSEP maintains the standard of 20 hours a week for at least 90 days at any time in the year since leaving high school. This definition applies to military employment.</w:t>
      </w:r>
    </w:p>
    <w:p w14:paraId="333BEB38" w14:textId="039F8C06" w:rsidR="00B67038" w:rsidRPr="00781112" w:rsidRDefault="00B67038" w:rsidP="003A4027">
      <w:pPr>
        <w:spacing w:before="0" w:after="0"/>
        <w:rPr>
          <w:rFonts w:eastAsia="Times New Roman" w:cs="Arial"/>
          <w:b/>
          <w:bCs/>
          <w:szCs w:val="16"/>
        </w:rPr>
      </w:pPr>
    </w:p>
    <w:p w14:paraId="1CBB96D1" w14:textId="18D4158D"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other postsecondary education or training</w:t>
      </w:r>
      <w:r w:rsidRPr="00781112">
        <w:rPr>
          <w:rFonts w:eastAsia="Times New Roman" w:cs="Arial"/>
          <w:szCs w:val="16"/>
        </w:rPr>
        <w:t xml:space="preserve"> as used in measure C, means youth have been enrolled on a full- or part-time basis for at least 1 complete term at any time in the year since leaving high school in an education or training program (e.g., Job Corps, adult education, workforce development program, vocational technical school which is less than a </w:t>
      </w:r>
      <w:r w:rsidR="00DB1150" w:rsidRPr="00781112">
        <w:rPr>
          <w:rFonts w:eastAsia="Times New Roman" w:cs="Arial"/>
          <w:szCs w:val="16"/>
        </w:rPr>
        <w:t>two-year</w:t>
      </w:r>
      <w:r w:rsidRPr="00781112">
        <w:rPr>
          <w:rFonts w:eastAsia="Times New Roman" w:cs="Arial"/>
          <w:szCs w:val="16"/>
        </w:rPr>
        <w:t xml:space="preserve"> program).</w:t>
      </w:r>
    </w:p>
    <w:p w14:paraId="639590BD" w14:textId="0A54B9D3" w:rsidR="00B67038" w:rsidRPr="00781112" w:rsidRDefault="00B67038" w:rsidP="003A4027">
      <w:pPr>
        <w:spacing w:before="0"/>
        <w:rPr>
          <w:rFonts w:eastAsia="Times New Roman" w:cs="Arial"/>
          <w:szCs w:val="16"/>
        </w:rPr>
      </w:pPr>
      <w:r w:rsidRPr="00781112">
        <w:rPr>
          <w:rFonts w:eastAsia="Times New Roman" w:cs="Arial"/>
          <w:i/>
          <w:iCs/>
          <w:szCs w:val="16"/>
        </w:rPr>
        <w:t>Some other employment</w:t>
      </w:r>
      <w:r w:rsidRPr="00781112">
        <w:rPr>
          <w:rFonts w:eastAsia="Times New Roman" w:cs="Arial"/>
          <w:szCs w:val="16"/>
        </w:rPr>
        <w:t> as used in measure C means youth have worked for pay or been self-employed for a period of at least 90 days at any time in the year since leaving high school. This includes working in a family business (e.g., farm, store, fishing, ranching, catering services, etc.).</w:t>
      </w:r>
    </w:p>
    <w:p w14:paraId="6F699AAF" w14:textId="77777777" w:rsidR="00A45E9F" w:rsidRPr="00781112" w:rsidRDefault="00A45E9F" w:rsidP="003A4027">
      <w:pPr>
        <w:spacing w:before="0"/>
        <w:rPr>
          <w:rFonts w:eastAsia="Times New Roman" w:cs="Arial"/>
          <w:szCs w:val="16"/>
        </w:rPr>
      </w:pPr>
    </w:p>
    <w:p w14:paraId="7BDE8111"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II. </w:t>
      </w:r>
      <w:r w:rsidRPr="00781112">
        <w:rPr>
          <w:rFonts w:eastAsia="Times New Roman" w:cs="Arial"/>
          <w:b/>
          <w:bCs/>
          <w:i/>
          <w:iCs/>
          <w:szCs w:val="16"/>
        </w:rPr>
        <w:t>Data Reporting</w:t>
      </w:r>
    </w:p>
    <w:p w14:paraId="46BA4A98" w14:textId="77777777" w:rsidR="003B692F" w:rsidRPr="00781112" w:rsidRDefault="003B692F" w:rsidP="003B692F">
      <w:pPr>
        <w:spacing w:before="0" w:after="0"/>
        <w:rPr>
          <w:rFonts w:eastAsia="Times New Roman" w:cs="Arial"/>
          <w:szCs w:val="16"/>
        </w:rPr>
      </w:pPr>
      <w:r w:rsidRPr="00781112">
        <w:rPr>
          <w:rFonts w:eastAsia="Times New Roman" w:cs="Arial"/>
          <w:szCs w:val="16"/>
        </w:rPr>
        <w:t>States must describe the metric used to determine representativeness (e.g., +/- 3% discrepancy in the proportion of responders compared to target group).</w:t>
      </w:r>
    </w:p>
    <w:p w14:paraId="73CC7B43" w14:textId="77777777" w:rsidR="003B692F" w:rsidRPr="00781112" w:rsidRDefault="003B692F" w:rsidP="003B692F">
      <w:pPr>
        <w:spacing w:before="0" w:after="0"/>
        <w:rPr>
          <w:rFonts w:eastAsia="Times New Roman" w:cs="Arial"/>
          <w:szCs w:val="16"/>
        </w:rPr>
      </w:pPr>
      <w:r w:rsidRPr="00781112">
        <w:rPr>
          <w:rFonts w:eastAsia="Times New Roman" w:cs="Arial"/>
          <w:szCs w:val="16"/>
        </w:rPr>
        <w:t>Provide the total number of targeted youth in the sample or census.</w:t>
      </w:r>
    </w:p>
    <w:p w14:paraId="220A6449" w14:textId="50017A86" w:rsidR="00B67038" w:rsidRPr="00781112" w:rsidRDefault="00B67038" w:rsidP="003A4027">
      <w:pPr>
        <w:spacing w:before="0" w:after="210"/>
        <w:rPr>
          <w:rFonts w:eastAsia="Times New Roman" w:cs="Arial"/>
          <w:szCs w:val="16"/>
        </w:rPr>
      </w:pPr>
      <w:r w:rsidRPr="00781112">
        <w:rPr>
          <w:rFonts w:eastAsia="Times New Roman" w:cs="Arial"/>
          <w:szCs w:val="16"/>
        </w:rPr>
        <w:t>Provide the actual numbers for each of the following mutually exclusive categories. The actual number of “leavers” who are:</w:t>
      </w:r>
    </w:p>
    <w:p w14:paraId="03B608C9" w14:textId="51223E67" w:rsidR="00B67038" w:rsidRPr="00781112" w:rsidRDefault="006C58FD" w:rsidP="006A01BD">
      <w:pPr>
        <w:spacing w:before="0" w:after="0"/>
        <w:ind w:left="432"/>
        <w:rPr>
          <w:rFonts w:eastAsia="Times New Roman" w:cs="Arial"/>
          <w:szCs w:val="16"/>
        </w:rPr>
      </w:pPr>
      <w:r w:rsidRPr="00781112">
        <w:rPr>
          <w:rFonts w:eastAsia="Times New Roman" w:cs="Arial"/>
          <w:szCs w:val="16"/>
        </w:rPr>
        <w:tab/>
        <w:t>1. Enrolled in higher education within one year of leaving high school;</w:t>
      </w:r>
    </w:p>
    <w:p w14:paraId="797BA656" w14:textId="599F8145" w:rsidR="00B67038" w:rsidRPr="00781112" w:rsidRDefault="006C58FD" w:rsidP="006A01BD">
      <w:pPr>
        <w:spacing w:before="0" w:after="0"/>
        <w:ind w:left="432"/>
        <w:rPr>
          <w:rFonts w:eastAsia="Times New Roman" w:cs="Arial"/>
          <w:szCs w:val="16"/>
        </w:rPr>
      </w:pPr>
      <w:r w:rsidRPr="00781112">
        <w:rPr>
          <w:rFonts w:eastAsia="Times New Roman" w:cs="Arial"/>
          <w:szCs w:val="16"/>
        </w:rPr>
        <w:tab/>
        <w:t>2. Competitively employed within one year of leaving high school (but not enrolled in higher education);</w:t>
      </w:r>
    </w:p>
    <w:p w14:paraId="17A92E9A" w14:textId="38C95AA9" w:rsidR="00B67038" w:rsidRPr="00781112" w:rsidRDefault="006C58FD" w:rsidP="00856B0E">
      <w:pPr>
        <w:spacing w:before="0" w:after="0"/>
        <w:ind w:left="720"/>
        <w:rPr>
          <w:rFonts w:eastAsia="Times New Roman" w:cs="Arial"/>
          <w:szCs w:val="16"/>
        </w:rPr>
      </w:pPr>
      <w:r w:rsidRPr="00781112">
        <w:rPr>
          <w:rFonts w:eastAsia="Times New Roman" w:cs="Arial"/>
          <w:szCs w:val="16"/>
        </w:rPr>
        <w:t>3. Enrolled in some other postsecondary education or training program within one year of leaving high school (but not enrolled in higher education or competitively employed);</w:t>
      </w:r>
    </w:p>
    <w:p w14:paraId="506D7913" w14:textId="6D55FB4B" w:rsidR="00B67038" w:rsidRPr="00781112" w:rsidRDefault="006C58FD" w:rsidP="00856B0E">
      <w:pPr>
        <w:spacing w:before="0" w:after="0"/>
        <w:ind w:left="720"/>
        <w:rPr>
          <w:rFonts w:eastAsia="Times New Roman" w:cs="Arial"/>
          <w:szCs w:val="16"/>
        </w:rPr>
      </w:pPr>
      <w:r w:rsidRPr="00781112">
        <w:rPr>
          <w:rFonts w:eastAsia="Times New Roman" w:cs="Arial"/>
          <w:szCs w:val="16"/>
        </w:rPr>
        <w:t>4. In some other employment within one year of leaving high school (but not enrolled in higher education, some other postsecondary education or training program, or competitively employed).</w:t>
      </w:r>
    </w:p>
    <w:p w14:paraId="32C672D4" w14:textId="77777777" w:rsidR="006C58FD" w:rsidRPr="00781112" w:rsidRDefault="006C58FD" w:rsidP="00B67038">
      <w:pPr>
        <w:spacing w:before="0"/>
        <w:ind w:left="432"/>
        <w:rPr>
          <w:rFonts w:eastAsia="Times New Roman" w:cs="Arial"/>
          <w:szCs w:val="16"/>
        </w:rPr>
      </w:pPr>
    </w:p>
    <w:p w14:paraId="12CAB169" w14:textId="34F2A4F0" w:rsidR="00B67038" w:rsidRPr="00781112" w:rsidRDefault="00B67038" w:rsidP="00B67038">
      <w:pPr>
        <w:spacing w:before="0"/>
        <w:ind w:left="432"/>
        <w:rPr>
          <w:rFonts w:eastAsia="Times New Roman" w:cs="Arial"/>
          <w:color w:val="000000" w:themeColor="text1"/>
          <w:szCs w:val="16"/>
        </w:rPr>
      </w:pPr>
      <w:r w:rsidRPr="00781112">
        <w:rPr>
          <w:rFonts w:eastAsia="Times New Roman" w:cs="Arial"/>
          <w:szCs w:val="16"/>
        </w:rPr>
        <w:t xml:space="preserve">“Leavers” should only be counted in one of the above categories, and the categories are organized hierarchically. So, for example, “leavers” who are enrolled in full- or part-time higher education within one year of leaving high school should only be reported in category 1, even if they also </w:t>
      </w:r>
      <w:r w:rsidRPr="00781112">
        <w:rPr>
          <w:rFonts w:eastAsia="Times New Roman" w:cs="Arial"/>
          <w:szCs w:val="16"/>
        </w:rPr>
        <w:lastRenderedPageBreak/>
        <w:t>happen to be employed. Likewise, “leavers” who are not enrolled in either part- or full-time higher education</w:t>
      </w:r>
      <w:r w:rsidRPr="00781112">
        <w:rPr>
          <w:rFonts w:eastAsia="Times New Roman" w:cs="Arial"/>
          <w:color w:val="000000" w:themeColor="text1"/>
          <w:szCs w:val="16"/>
        </w:rPr>
        <w:t>, but who are competitively employed, should only be reported under category 2, even if they happen to be enrolled in some other postsecondary education or training program.</w:t>
      </w:r>
    </w:p>
    <w:p w14:paraId="4A3EA80C" w14:textId="77777777" w:rsidR="00A45E9F" w:rsidRPr="00781112" w:rsidRDefault="00A45E9F" w:rsidP="00A45E9F">
      <w:pPr>
        <w:spacing w:before="0"/>
        <w:rPr>
          <w:rFonts w:eastAsia="Times New Roman" w:cs="Arial"/>
          <w:szCs w:val="16"/>
        </w:rPr>
      </w:pPr>
      <w:r w:rsidRPr="00781112">
        <w:rPr>
          <w:rFonts w:eastAsia="Times New Roman" w:cs="Arial"/>
          <w:szCs w:val="16"/>
        </w:rPr>
        <w:t>States must compare the response rate for the reporting year to the response rate for the previous year (e.g., in the FFY 2020 SPP/APR, compare the FFY 2020 response rate to the FFY 2019 response rate), and describe strategies that will be implemented which are expected to increase the response rate year over year, particularly for those groups that are underrepresented.</w:t>
      </w:r>
    </w:p>
    <w:p w14:paraId="5BAE56A4" w14:textId="0E46D158" w:rsidR="00A45E9F" w:rsidRPr="00781112" w:rsidRDefault="00A45E9F" w:rsidP="00A45E9F">
      <w:pPr>
        <w:spacing w:before="0"/>
        <w:rPr>
          <w:rFonts w:eastAsia="Times New Roman" w:cs="Arial"/>
          <w:szCs w:val="16"/>
        </w:rPr>
      </w:pPr>
      <w:r w:rsidRPr="00781112">
        <w:rPr>
          <w:rFonts w:eastAsia="Times New Roman" w:cs="Arial"/>
          <w:szCs w:val="16"/>
        </w:rPr>
        <w:t>The State must also analyze the response rate to identify potential nonresponse bias and take steps to reduce any identified bias and promote response from a broad cross section of youth who are no longer in secondary school and had IEPs in effect at the time they left school.</w:t>
      </w:r>
    </w:p>
    <w:p w14:paraId="1B5E439E" w14:textId="77777777" w:rsidR="00A45E9F" w:rsidRPr="00781112" w:rsidRDefault="00A45E9F" w:rsidP="00360DD6">
      <w:pPr>
        <w:spacing w:before="0"/>
        <w:rPr>
          <w:rFonts w:eastAsia="Times New Roman" w:cs="Arial"/>
          <w:szCs w:val="16"/>
        </w:rPr>
      </w:pPr>
    </w:p>
    <w:p w14:paraId="0504C504" w14:textId="1B4B7E8B" w:rsidR="00B67038" w:rsidRPr="00781112" w:rsidRDefault="00B67038" w:rsidP="003A4027">
      <w:pPr>
        <w:spacing w:before="0" w:after="0"/>
        <w:rPr>
          <w:rFonts w:eastAsia="Times New Roman" w:cs="Arial"/>
          <w:b/>
          <w:bCs/>
          <w:color w:val="000000" w:themeColor="text1"/>
          <w:szCs w:val="16"/>
        </w:rPr>
      </w:pPr>
      <w:r w:rsidRPr="00781112">
        <w:rPr>
          <w:rFonts w:eastAsia="Times New Roman" w:cs="Arial"/>
          <w:b/>
          <w:bCs/>
          <w:color w:val="000000" w:themeColor="text1"/>
          <w:szCs w:val="16"/>
        </w:rPr>
        <w:t>III. </w:t>
      </w:r>
      <w:r w:rsidRPr="00781112">
        <w:rPr>
          <w:rFonts w:eastAsia="Times New Roman" w:cs="Arial"/>
          <w:b/>
          <w:bCs/>
          <w:i/>
          <w:iCs/>
          <w:color w:val="000000" w:themeColor="text1"/>
          <w:szCs w:val="16"/>
        </w:rPr>
        <w:t xml:space="preserve">Reporting </w:t>
      </w:r>
      <w:r w:rsidR="00DB1150" w:rsidRPr="00781112">
        <w:rPr>
          <w:rFonts w:eastAsia="Times New Roman" w:cs="Arial"/>
          <w:b/>
          <w:bCs/>
          <w:i/>
          <w:iCs/>
          <w:color w:val="000000" w:themeColor="text1"/>
          <w:szCs w:val="16"/>
        </w:rPr>
        <w:t>on</w:t>
      </w:r>
      <w:r w:rsidRPr="00781112">
        <w:rPr>
          <w:rFonts w:eastAsia="Times New Roman" w:cs="Arial"/>
          <w:b/>
          <w:bCs/>
          <w:i/>
          <w:iCs/>
          <w:color w:val="000000" w:themeColor="text1"/>
          <w:szCs w:val="16"/>
        </w:rPr>
        <w:t xml:space="preserve"> the Measures/Indicators</w:t>
      </w:r>
    </w:p>
    <w:p w14:paraId="2306E2F3"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Targets must be established for measures A, B, and C.</w:t>
      </w:r>
    </w:p>
    <w:p w14:paraId="5A3D5C77"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A: For purposes of reporting on the measures/indicators, please note that any youth enrolled in an institution of higher education (that meets any definition of this term in the Higher Education Act (HEA)) within one year of leaving high school must be reported under measure A. This could include youth who also happen to be competitively employed, or in some other training program; however, the key outcome we are interested in here is enrollment in higher education.</w:t>
      </w:r>
    </w:p>
    <w:p w14:paraId="7F113969"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B: All youth reported under measure A should also be reported under measure B, in addition to all youth that obtain competitive employment within one year of leaving high school.</w:t>
      </w:r>
    </w:p>
    <w:p w14:paraId="52D47ED5"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C: All youth reported under measures A and B should also be reported under measure C, in addition to youth that are enrolled in some other postsecondary education or training program, or in some other employment.</w:t>
      </w:r>
    </w:p>
    <w:p w14:paraId="3D129DCD" w14:textId="726F1AB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Include the State’s analyses of the extent to which the response data are representative of the demographics of youth who are no longer in secondary school and had IEPs in effect at the time they left school. States should consider categories such as race/ethnicity, disability category, and geographic location in the State.</w:t>
      </w:r>
    </w:p>
    <w:p w14:paraId="0E3C94F2" w14:textId="24E7A97D" w:rsidR="00B67038" w:rsidRPr="00781112" w:rsidRDefault="00B67038" w:rsidP="003A4027">
      <w:pPr>
        <w:spacing w:before="0"/>
        <w:rPr>
          <w:rFonts w:eastAsia="Times New Roman" w:cs="Arial"/>
          <w:color w:val="000000" w:themeColor="text1"/>
          <w:szCs w:val="16"/>
        </w:rPr>
      </w:pPr>
      <w:r w:rsidRPr="00781112">
        <w:rPr>
          <w:rFonts w:eastAsia="Times New Roman" w:cs="Arial"/>
          <w:color w:val="000000" w:themeColor="text1"/>
          <w:szCs w:val="16"/>
        </w:rPr>
        <w:t>If the analysis shows that the response data are not representative of the demographics of youth who are no longer in secondary school and had IEPs in effect at the time they left school, describe the strategies that the State will use to ensure that in the future the response data are representative of those demographics. In identifying such strategies, the State should consider factors such as how the State collected the data.</w:t>
      </w:r>
    </w:p>
    <w:p w14:paraId="3A820706" w14:textId="590A380B" w:rsidR="00B1488E" w:rsidRPr="00781112" w:rsidRDefault="00B1488E" w:rsidP="00B1488E">
      <w:pPr>
        <w:spacing w:before="0"/>
        <w:rPr>
          <w:rFonts w:eastAsia="Times New Roman" w:cs="Arial"/>
          <w:szCs w:val="16"/>
        </w:rPr>
      </w:pPr>
      <w:r w:rsidRPr="00781112">
        <w:rPr>
          <w:rFonts w:eastAsia="Times New Roman" w:cs="Arial"/>
          <w:b/>
          <w:szCs w:val="16"/>
        </w:rPr>
        <w:t xml:space="preserve">Beginning with the FFY 2021 SPP/APR, due Feb. 1, 2023, </w:t>
      </w:r>
      <w:r w:rsidRPr="00781112">
        <w:rPr>
          <w:rFonts w:eastAsia="Times New Roman" w:cs="Arial"/>
          <w:szCs w:val="16"/>
        </w:rPr>
        <w:t>when reporting the extent to which the demographics of respondents are representative of the demographics of youth who are no longer in secondary school and had IEPs in effect at the time they left school, States must include race</w:t>
      </w:r>
      <w:r w:rsidR="009F2D7B" w:rsidRPr="00781112">
        <w:rPr>
          <w:rFonts w:eastAsia="Times New Roman" w:cs="Arial"/>
          <w:szCs w:val="16"/>
        </w:rPr>
        <w:t>/</w:t>
      </w:r>
      <w:r w:rsidRPr="00781112">
        <w:rPr>
          <w:rFonts w:eastAsia="Times New Roman" w:cs="Arial"/>
          <w:szCs w:val="16"/>
        </w:rPr>
        <w:t>ethnicity in its analysis. In addition, the State’s analysis must include at least one of the following demographics: disability category, gender, geographic location, and/or another demographic category approved through the stakeholder input process.</w:t>
      </w:r>
    </w:p>
    <w:p w14:paraId="3FE9961A" w14:textId="1EDBA086" w:rsidR="000301BA" w:rsidRPr="00781112" w:rsidRDefault="00172058" w:rsidP="00123D76">
      <w:pPr>
        <w:pStyle w:val="Heading2"/>
      </w:pPr>
      <w:r w:rsidRPr="00781112">
        <w:t>14 - Indicator Data</w:t>
      </w:r>
    </w:p>
    <w:bookmarkEnd w:id="77"/>
    <w:p w14:paraId="373EDCC8" w14:textId="77777777" w:rsidR="005F442C" w:rsidRPr="00781112" w:rsidRDefault="005F442C"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14HISTDATA"/>
      </w:tblPr>
      <w:tblGrid>
        <w:gridCol w:w="866"/>
        <w:gridCol w:w="1693"/>
        <w:gridCol w:w="833"/>
        <w:gridCol w:w="1480"/>
        <w:gridCol w:w="1480"/>
        <w:gridCol w:w="1480"/>
        <w:gridCol w:w="1480"/>
        <w:gridCol w:w="1478"/>
      </w:tblGrid>
      <w:tr w:rsidR="005C29F8" w:rsidRPr="00781112" w14:paraId="23017209" w14:textId="77777777" w:rsidTr="00C37CAE">
        <w:trPr>
          <w:trHeight w:val="350"/>
        </w:trPr>
        <w:tc>
          <w:tcPr>
            <w:tcW w:w="190" w:type="pct"/>
            <w:tcBorders>
              <w:top w:val="single" w:sz="4" w:space="0" w:color="auto"/>
              <w:left w:val="single" w:sz="4" w:space="0" w:color="auto"/>
              <w:bottom w:val="single" w:sz="4" w:space="0" w:color="auto"/>
              <w:right w:val="single" w:sz="4" w:space="0" w:color="auto"/>
            </w:tcBorders>
            <w:shd w:val="clear" w:color="auto" w:fill="auto"/>
          </w:tcPr>
          <w:p w14:paraId="01A8BBA7" w14:textId="09A1D650" w:rsidR="005F442C" w:rsidRPr="00781112" w:rsidRDefault="004E1996" w:rsidP="008E31C4">
            <w:pPr>
              <w:spacing w:line="276" w:lineRule="auto"/>
              <w:jc w:val="center"/>
              <w:rPr>
                <w:rFonts w:cs="Arial"/>
                <w:b/>
                <w:color w:val="000000" w:themeColor="text1"/>
                <w:szCs w:val="16"/>
              </w:rPr>
            </w:pPr>
            <w:r w:rsidRPr="00781112">
              <w:rPr>
                <w:rFonts w:cs="Arial"/>
                <w:b/>
                <w:color w:val="000000" w:themeColor="text1"/>
                <w:szCs w:val="16"/>
              </w:rPr>
              <w:t>Measure</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133A4B9" w14:textId="6C60B813"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4329BE" w14:textId="77777777"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FFY</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2CA54FD7" w14:textId="7E2CC703"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2015</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5CF4C1A5" w14:textId="184560DA"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2016</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4B5CF47" w14:textId="3E5885FF"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2017</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3DDDA5B1" w14:textId="0E359AEC"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2018</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7B2A5B67" w14:textId="00166B91"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2019</w:t>
            </w:r>
          </w:p>
        </w:tc>
      </w:tr>
      <w:tr w:rsidR="005C29F8" w:rsidRPr="00781112" w14:paraId="083B463F" w14:textId="77777777" w:rsidTr="00C37CAE">
        <w:trPr>
          <w:trHeight w:val="70"/>
        </w:trPr>
        <w:tc>
          <w:tcPr>
            <w:tcW w:w="190" w:type="pct"/>
            <w:tcBorders>
              <w:top w:val="single" w:sz="4" w:space="0" w:color="auto"/>
              <w:left w:val="single" w:sz="4" w:space="0" w:color="auto"/>
              <w:right w:val="single" w:sz="4" w:space="0" w:color="auto"/>
            </w:tcBorders>
            <w:shd w:val="clear" w:color="auto" w:fill="auto"/>
            <w:vAlign w:val="center"/>
          </w:tcPr>
          <w:p w14:paraId="0980813D"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top w:val="single" w:sz="4" w:space="0" w:color="auto"/>
              <w:left w:val="single" w:sz="4" w:space="0" w:color="auto"/>
              <w:right w:val="single" w:sz="4" w:space="0" w:color="auto"/>
            </w:tcBorders>
            <w:shd w:val="clear" w:color="auto" w:fill="auto"/>
          </w:tcPr>
          <w:p w14:paraId="21EABCF5" w14:textId="1AD6B491" w:rsidR="005F442C" w:rsidRPr="00781112" w:rsidRDefault="002B7490" w:rsidP="00A018D4">
            <w:pPr>
              <w:jc w:val="center"/>
              <w:rPr>
                <w:rFonts w:cs="Arial"/>
                <w:color w:val="000000" w:themeColor="text1"/>
                <w:szCs w:val="16"/>
              </w:rPr>
            </w:pPr>
            <w:r w:rsidRPr="00781112">
              <w:rPr>
                <w:rFonts w:cs="Arial"/>
                <w:color w:val="000000" w:themeColor="text1"/>
                <w:szCs w:val="16"/>
              </w:rPr>
              <w:t>2009</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FB488" w14:textId="55829AC6"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039DA1B9" w14:textId="441A6795" w:rsidR="005F442C" w:rsidRPr="00781112" w:rsidRDefault="002B7490" w:rsidP="00A018D4">
            <w:pPr>
              <w:jc w:val="center"/>
              <w:rPr>
                <w:rFonts w:cs="Arial"/>
                <w:color w:val="000000" w:themeColor="text1"/>
                <w:szCs w:val="16"/>
              </w:rPr>
            </w:pPr>
            <w:r w:rsidRPr="00781112">
              <w:rPr>
                <w:rFonts w:cs="Arial"/>
                <w:color w:val="000000" w:themeColor="text1"/>
                <w:szCs w:val="16"/>
              </w:rPr>
              <w:t>33.00%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151E14A" w14:textId="4DA0C6F7" w:rsidR="005F442C" w:rsidRPr="00781112" w:rsidRDefault="002B7490" w:rsidP="00A018D4">
            <w:pPr>
              <w:jc w:val="center"/>
              <w:rPr>
                <w:rFonts w:cs="Arial"/>
                <w:color w:val="000000" w:themeColor="text1"/>
                <w:szCs w:val="16"/>
              </w:rPr>
            </w:pPr>
            <w:r w:rsidRPr="00781112">
              <w:rPr>
                <w:rFonts w:cs="Arial"/>
                <w:color w:val="000000" w:themeColor="text1"/>
                <w:szCs w:val="16"/>
              </w:rPr>
              <w:t>35.00%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D3CBEBB" w14:textId="1729C879" w:rsidR="005F442C" w:rsidRPr="00781112" w:rsidRDefault="002B7490" w:rsidP="00A018D4">
            <w:pPr>
              <w:jc w:val="center"/>
              <w:rPr>
                <w:rFonts w:cs="Arial"/>
                <w:color w:val="000000" w:themeColor="text1"/>
                <w:szCs w:val="16"/>
              </w:rPr>
            </w:pPr>
            <w:r w:rsidRPr="00781112">
              <w:rPr>
                <w:rFonts w:cs="Arial"/>
                <w:color w:val="000000" w:themeColor="text1"/>
                <w:szCs w:val="16"/>
              </w:rPr>
              <w:t>37.00%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6DE686" w14:textId="15B31522" w:rsidR="005F442C" w:rsidRPr="00781112" w:rsidRDefault="002B7490" w:rsidP="00A018D4">
            <w:pPr>
              <w:jc w:val="center"/>
              <w:rPr>
                <w:rFonts w:cs="Arial"/>
                <w:color w:val="000000" w:themeColor="text1"/>
                <w:szCs w:val="16"/>
              </w:rPr>
            </w:pPr>
            <w:r w:rsidRPr="00781112">
              <w:rPr>
                <w:rFonts w:cs="Arial"/>
                <w:color w:val="000000" w:themeColor="text1"/>
                <w:szCs w:val="16"/>
              </w:rPr>
              <w:t>39.00%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9316D4F" w14:textId="0095C778" w:rsidR="005F442C" w:rsidRPr="00781112" w:rsidRDefault="002B7490" w:rsidP="00A018D4">
            <w:pPr>
              <w:jc w:val="center"/>
              <w:rPr>
                <w:rFonts w:cs="Arial"/>
                <w:color w:val="000000" w:themeColor="text1"/>
                <w:szCs w:val="16"/>
              </w:rPr>
            </w:pPr>
            <w:r w:rsidRPr="00781112">
              <w:rPr>
                <w:rFonts w:cs="Arial"/>
                <w:color w:val="000000" w:themeColor="text1"/>
                <w:szCs w:val="16"/>
              </w:rPr>
              <w:t>39.00%</w:t>
            </w:r>
          </w:p>
        </w:tc>
      </w:tr>
      <w:tr w:rsidR="005C29F8" w:rsidRPr="00781112" w14:paraId="4DFAA88C" w14:textId="77777777" w:rsidTr="00C37CAE">
        <w:trPr>
          <w:trHeight w:val="85"/>
        </w:trPr>
        <w:tc>
          <w:tcPr>
            <w:tcW w:w="190" w:type="pct"/>
            <w:tcBorders>
              <w:left w:val="single" w:sz="4" w:space="0" w:color="auto"/>
              <w:right w:val="single" w:sz="4" w:space="0" w:color="auto"/>
            </w:tcBorders>
            <w:shd w:val="clear" w:color="auto" w:fill="auto"/>
          </w:tcPr>
          <w:p w14:paraId="65028A7E" w14:textId="6CD117ED"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left w:val="single" w:sz="4" w:space="0" w:color="auto"/>
              <w:right w:val="single" w:sz="4" w:space="0" w:color="auto"/>
            </w:tcBorders>
            <w:shd w:val="clear" w:color="auto" w:fill="auto"/>
          </w:tcPr>
          <w:p w14:paraId="2D87F90A" w14:textId="5AE78B73" w:rsidR="005F442C" w:rsidRPr="00781112" w:rsidRDefault="002B7490" w:rsidP="00A018D4">
            <w:pPr>
              <w:jc w:val="center"/>
              <w:rPr>
                <w:rFonts w:cs="Arial"/>
                <w:color w:val="000000" w:themeColor="text1"/>
                <w:szCs w:val="16"/>
              </w:rPr>
            </w:pPr>
            <w:r w:rsidRPr="00781112">
              <w:rPr>
                <w:rFonts w:cs="Arial"/>
                <w:color w:val="000000" w:themeColor="text1"/>
                <w:szCs w:val="16"/>
              </w:rPr>
              <w:t>25.30%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9B25F" w14:textId="7777777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ECDA20" w14:textId="748C8CB2" w:rsidR="005F442C" w:rsidRPr="00781112" w:rsidRDefault="002B7490" w:rsidP="00A018D4">
            <w:pPr>
              <w:jc w:val="center"/>
              <w:rPr>
                <w:rFonts w:cs="Arial"/>
                <w:color w:val="000000" w:themeColor="text1"/>
                <w:szCs w:val="16"/>
              </w:rPr>
            </w:pPr>
            <w:r w:rsidRPr="00781112">
              <w:rPr>
                <w:rFonts w:cs="Arial"/>
                <w:color w:val="000000" w:themeColor="text1"/>
                <w:szCs w:val="16"/>
              </w:rPr>
              <w:t>36.68%</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1A78E1E2" w14:textId="126BA5B7" w:rsidR="005F442C" w:rsidRPr="00781112" w:rsidRDefault="002B7490" w:rsidP="00A018D4">
            <w:pPr>
              <w:jc w:val="center"/>
              <w:rPr>
                <w:rFonts w:cs="Arial"/>
                <w:color w:val="000000" w:themeColor="text1"/>
                <w:szCs w:val="16"/>
              </w:rPr>
            </w:pPr>
            <w:r w:rsidRPr="00781112">
              <w:rPr>
                <w:rFonts w:cs="Arial"/>
                <w:color w:val="000000" w:themeColor="text1"/>
                <w:szCs w:val="16"/>
              </w:rPr>
              <w:t>39.48%</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A7E5014" w14:textId="76B4842F" w:rsidR="005F442C" w:rsidRPr="00781112" w:rsidRDefault="002B7490" w:rsidP="00A018D4">
            <w:pPr>
              <w:jc w:val="center"/>
              <w:rPr>
                <w:rFonts w:cs="Arial"/>
                <w:color w:val="000000" w:themeColor="text1"/>
                <w:szCs w:val="16"/>
              </w:rPr>
            </w:pPr>
            <w:r w:rsidRPr="00781112">
              <w:rPr>
                <w:rFonts w:cs="Arial"/>
                <w:color w:val="000000" w:themeColor="text1"/>
                <w:szCs w:val="16"/>
              </w:rPr>
              <w:t>39.33%</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AD2D2DA" w14:textId="5D991656" w:rsidR="005F442C" w:rsidRPr="00781112" w:rsidRDefault="002B7490" w:rsidP="00A018D4">
            <w:pPr>
              <w:jc w:val="center"/>
              <w:rPr>
                <w:rFonts w:cs="Arial"/>
                <w:color w:val="000000" w:themeColor="text1"/>
                <w:szCs w:val="16"/>
              </w:rPr>
            </w:pPr>
            <w:r w:rsidRPr="00781112">
              <w:rPr>
                <w:rFonts w:cs="Arial"/>
                <w:color w:val="000000" w:themeColor="text1"/>
                <w:szCs w:val="16"/>
              </w:rPr>
              <w:t>39.68%</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4EFC8E5" w14:textId="36855126" w:rsidR="005F442C" w:rsidRPr="00781112" w:rsidRDefault="002B7490" w:rsidP="00A018D4">
            <w:pPr>
              <w:jc w:val="center"/>
              <w:rPr>
                <w:rFonts w:cs="Arial"/>
                <w:color w:val="000000" w:themeColor="text1"/>
                <w:szCs w:val="16"/>
              </w:rPr>
            </w:pPr>
            <w:r w:rsidRPr="00781112">
              <w:rPr>
                <w:rFonts w:cs="Arial"/>
                <w:color w:val="000000" w:themeColor="text1"/>
                <w:szCs w:val="16"/>
              </w:rPr>
              <w:t>34.79%</w:t>
            </w:r>
          </w:p>
        </w:tc>
      </w:tr>
      <w:tr w:rsidR="005C29F8" w:rsidRPr="00781112" w14:paraId="626D1DE5"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2420D4E8"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top w:val="single" w:sz="4" w:space="0" w:color="auto"/>
              <w:left w:val="single" w:sz="4" w:space="0" w:color="auto"/>
              <w:right w:val="single" w:sz="4" w:space="0" w:color="auto"/>
            </w:tcBorders>
            <w:shd w:val="clear" w:color="auto" w:fill="auto"/>
          </w:tcPr>
          <w:p w14:paraId="1A949E27" w14:textId="6BA6427F" w:rsidR="005F442C" w:rsidRPr="00781112" w:rsidRDefault="002B7490" w:rsidP="00A018D4">
            <w:pPr>
              <w:jc w:val="center"/>
              <w:rPr>
                <w:rFonts w:cs="Arial"/>
                <w:color w:val="000000" w:themeColor="text1"/>
                <w:szCs w:val="16"/>
              </w:rPr>
            </w:pPr>
            <w:r w:rsidRPr="00781112">
              <w:rPr>
                <w:rFonts w:cs="Arial"/>
                <w:color w:val="000000" w:themeColor="text1"/>
                <w:szCs w:val="16"/>
              </w:rPr>
              <w:t>2009</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3F7C9" w14:textId="0A3252A0"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2BC5CE03" w14:textId="44707AE5" w:rsidR="005F442C" w:rsidRPr="00781112" w:rsidRDefault="002B7490" w:rsidP="00A018D4">
            <w:pPr>
              <w:jc w:val="center"/>
              <w:rPr>
                <w:rFonts w:cs="Arial"/>
                <w:color w:val="000000" w:themeColor="text1"/>
                <w:szCs w:val="16"/>
              </w:rPr>
            </w:pPr>
            <w:r w:rsidRPr="00781112">
              <w:rPr>
                <w:rFonts w:cs="Arial"/>
                <w:color w:val="000000" w:themeColor="text1"/>
                <w:szCs w:val="16"/>
              </w:rPr>
              <w:t>76.00%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E7D0375" w14:textId="72BE41AE" w:rsidR="005F442C" w:rsidRPr="00781112" w:rsidRDefault="002B7490" w:rsidP="00A018D4">
            <w:pPr>
              <w:jc w:val="center"/>
              <w:rPr>
                <w:rFonts w:cs="Arial"/>
                <w:color w:val="000000" w:themeColor="text1"/>
                <w:szCs w:val="16"/>
              </w:rPr>
            </w:pPr>
            <w:r w:rsidRPr="00781112">
              <w:rPr>
                <w:rFonts w:cs="Arial"/>
                <w:color w:val="000000" w:themeColor="text1"/>
                <w:szCs w:val="16"/>
              </w:rPr>
              <w:t>79.00%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FA8C72" w14:textId="1DBA7AD5" w:rsidR="005F442C" w:rsidRPr="00781112" w:rsidRDefault="002B7490" w:rsidP="00A018D4">
            <w:pPr>
              <w:jc w:val="center"/>
              <w:rPr>
                <w:rFonts w:cs="Arial"/>
                <w:color w:val="000000" w:themeColor="text1"/>
                <w:szCs w:val="16"/>
              </w:rPr>
            </w:pPr>
            <w:r w:rsidRPr="00781112">
              <w:rPr>
                <w:rFonts w:cs="Arial"/>
                <w:color w:val="000000" w:themeColor="text1"/>
                <w:szCs w:val="16"/>
              </w:rPr>
              <w:t>82.00%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2EAF5AA" w14:textId="0EED287F" w:rsidR="005F442C" w:rsidRPr="00781112" w:rsidRDefault="002B7490" w:rsidP="00A018D4">
            <w:pPr>
              <w:jc w:val="center"/>
              <w:rPr>
                <w:rFonts w:cs="Arial"/>
                <w:color w:val="000000" w:themeColor="text1"/>
                <w:szCs w:val="16"/>
              </w:rPr>
            </w:pPr>
            <w:r w:rsidRPr="00781112">
              <w:rPr>
                <w:rFonts w:cs="Arial"/>
                <w:color w:val="000000" w:themeColor="text1"/>
                <w:szCs w:val="16"/>
              </w:rPr>
              <w:t>84.00%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ADF4529" w14:textId="5459CD21" w:rsidR="005F442C" w:rsidRPr="00781112" w:rsidRDefault="002B7490" w:rsidP="00A018D4">
            <w:pPr>
              <w:jc w:val="center"/>
              <w:rPr>
                <w:rFonts w:cs="Arial"/>
                <w:color w:val="000000" w:themeColor="text1"/>
                <w:szCs w:val="16"/>
              </w:rPr>
            </w:pPr>
            <w:r w:rsidRPr="00781112">
              <w:rPr>
                <w:rFonts w:cs="Arial"/>
                <w:color w:val="000000" w:themeColor="text1"/>
                <w:szCs w:val="16"/>
              </w:rPr>
              <w:t>84.00%</w:t>
            </w:r>
          </w:p>
        </w:tc>
      </w:tr>
      <w:tr w:rsidR="005C29F8" w:rsidRPr="00781112" w14:paraId="04BD4647" w14:textId="77777777" w:rsidTr="00C37CAE">
        <w:trPr>
          <w:trHeight w:val="85"/>
        </w:trPr>
        <w:tc>
          <w:tcPr>
            <w:tcW w:w="190" w:type="pct"/>
            <w:tcBorders>
              <w:left w:val="single" w:sz="4" w:space="0" w:color="auto"/>
              <w:right w:val="single" w:sz="4" w:space="0" w:color="auto"/>
            </w:tcBorders>
            <w:shd w:val="clear" w:color="auto" w:fill="auto"/>
          </w:tcPr>
          <w:p w14:paraId="0F20B888" w14:textId="46217DEF"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left w:val="single" w:sz="4" w:space="0" w:color="auto"/>
              <w:right w:val="single" w:sz="4" w:space="0" w:color="auto"/>
            </w:tcBorders>
            <w:shd w:val="clear" w:color="auto" w:fill="auto"/>
          </w:tcPr>
          <w:p w14:paraId="7553E0D1" w14:textId="50261931" w:rsidR="005F442C" w:rsidRPr="00781112" w:rsidRDefault="002B7490" w:rsidP="00A018D4">
            <w:pPr>
              <w:jc w:val="center"/>
              <w:rPr>
                <w:rFonts w:cs="Arial"/>
                <w:color w:val="000000" w:themeColor="text1"/>
                <w:szCs w:val="16"/>
              </w:rPr>
            </w:pPr>
            <w:r w:rsidRPr="00781112">
              <w:rPr>
                <w:rFonts w:cs="Arial"/>
                <w:color w:val="000000" w:themeColor="text1"/>
                <w:szCs w:val="16"/>
              </w:rPr>
              <w:t>55.30%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4A099" w14:textId="7777777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6F1CC00" w14:textId="27BDC0A1" w:rsidR="005F442C" w:rsidRPr="00781112" w:rsidRDefault="002B7490" w:rsidP="00A018D4">
            <w:pPr>
              <w:jc w:val="center"/>
              <w:rPr>
                <w:rFonts w:cs="Arial"/>
                <w:color w:val="000000" w:themeColor="text1"/>
                <w:szCs w:val="16"/>
              </w:rPr>
            </w:pPr>
            <w:r w:rsidRPr="00781112">
              <w:rPr>
                <w:rFonts w:cs="Arial"/>
                <w:color w:val="000000" w:themeColor="text1"/>
                <w:szCs w:val="16"/>
              </w:rPr>
              <w:t>72.30%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2BDB3D" w14:textId="7C9CDA00" w:rsidR="005F442C" w:rsidRPr="00781112" w:rsidRDefault="002B7490" w:rsidP="00A018D4">
            <w:pPr>
              <w:jc w:val="center"/>
              <w:rPr>
                <w:rFonts w:cs="Arial"/>
                <w:color w:val="000000" w:themeColor="text1"/>
                <w:szCs w:val="16"/>
              </w:rPr>
            </w:pPr>
            <w:r w:rsidRPr="00781112">
              <w:rPr>
                <w:rFonts w:cs="Arial"/>
                <w:color w:val="000000" w:themeColor="text1"/>
                <w:szCs w:val="16"/>
              </w:rPr>
              <w:t>74.98%</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8698B0" w14:textId="23886D70" w:rsidR="005F442C" w:rsidRPr="00781112" w:rsidRDefault="002B7490" w:rsidP="00A018D4">
            <w:pPr>
              <w:jc w:val="center"/>
              <w:rPr>
                <w:rFonts w:cs="Arial"/>
                <w:color w:val="000000" w:themeColor="text1"/>
                <w:szCs w:val="16"/>
              </w:rPr>
            </w:pPr>
            <w:r w:rsidRPr="00781112">
              <w:rPr>
                <w:rFonts w:cs="Arial"/>
                <w:color w:val="000000" w:themeColor="text1"/>
                <w:szCs w:val="16"/>
              </w:rPr>
              <w:t>76.93%</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9C7692" w14:textId="490F43AD" w:rsidR="005F442C" w:rsidRPr="00781112" w:rsidRDefault="002B7490" w:rsidP="00A018D4">
            <w:pPr>
              <w:jc w:val="center"/>
              <w:rPr>
                <w:rFonts w:cs="Arial"/>
                <w:color w:val="000000" w:themeColor="text1"/>
                <w:szCs w:val="16"/>
              </w:rPr>
            </w:pPr>
            <w:r w:rsidRPr="00781112">
              <w:rPr>
                <w:rFonts w:cs="Arial"/>
                <w:color w:val="000000" w:themeColor="text1"/>
                <w:szCs w:val="16"/>
              </w:rPr>
              <w:t>79.32%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97DA8B1" w14:textId="591F0E95" w:rsidR="005F442C" w:rsidRPr="00781112" w:rsidRDefault="002B7490" w:rsidP="00A018D4">
            <w:pPr>
              <w:jc w:val="center"/>
              <w:rPr>
                <w:rFonts w:cs="Arial"/>
                <w:color w:val="000000" w:themeColor="text1"/>
                <w:szCs w:val="16"/>
              </w:rPr>
            </w:pPr>
            <w:r w:rsidRPr="00781112">
              <w:rPr>
                <w:rFonts w:cs="Arial"/>
                <w:color w:val="000000" w:themeColor="text1"/>
                <w:szCs w:val="16"/>
              </w:rPr>
              <w:t>65.93%</w:t>
            </w:r>
          </w:p>
        </w:tc>
      </w:tr>
      <w:tr w:rsidR="005C29F8" w:rsidRPr="00781112" w14:paraId="3B4797BA"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6C3DB934"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top w:val="single" w:sz="4" w:space="0" w:color="auto"/>
              <w:left w:val="single" w:sz="4" w:space="0" w:color="auto"/>
              <w:right w:val="single" w:sz="4" w:space="0" w:color="auto"/>
            </w:tcBorders>
            <w:shd w:val="clear" w:color="auto" w:fill="auto"/>
          </w:tcPr>
          <w:p w14:paraId="16F6EE90" w14:textId="5DB098B3" w:rsidR="005F442C" w:rsidRPr="00781112" w:rsidRDefault="002B7490" w:rsidP="00A018D4">
            <w:pPr>
              <w:jc w:val="center"/>
              <w:rPr>
                <w:rFonts w:cs="Arial"/>
                <w:color w:val="000000" w:themeColor="text1"/>
                <w:szCs w:val="16"/>
              </w:rPr>
            </w:pPr>
            <w:r w:rsidRPr="00781112">
              <w:rPr>
                <w:rFonts w:cs="Arial"/>
                <w:color w:val="000000" w:themeColor="text1"/>
                <w:szCs w:val="16"/>
              </w:rPr>
              <w:t>2009</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AC8BB" w14:textId="575B1EC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6636D2C" w14:textId="048A2FD1" w:rsidR="005F442C" w:rsidRPr="00781112" w:rsidRDefault="002B7490" w:rsidP="00A018D4">
            <w:pPr>
              <w:jc w:val="center"/>
              <w:rPr>
                <w:rFonts w:cs="Arial"/>
                <w:color w:val="000000" w:themeColor="text1"/>
                <w:szCs w:val="16"/>
              </w:rPr>
            </w:pPr>
            <w:r w:rsidRPr="00781112">
              <w:rPr>
                <w:rFonts w:cs="Arial"/>
                <w:color w:val="000000" w:themeColor="text1"/>
                <w:szCs w:val="16"/>
              </w:rPr>
              <w:t>90.00%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F601683" w14:textId="08666F48" w:rsidR="005F442C" w:rsidRPr="00781112" w:rsidRDefault="002B7490" w:rsidP="00A018D4">
            <w:pPr>
              <w:jc w:val="center"/>
              <w:rPr>
                <w:rFonts w:cs="Arial"/>
                <w:color w:val="000000" w:themeColor="text1"/>
                <w:szCs w:val="16"/>
              </w:rPr>
            </w:pPr>
            <w:r w:rsidRPr="00781112">
              <w:rPr>
                <w:rFonts w:cs="Arial"/>
                <w:color w:val="000000" w:themeColor="text1"/>
                <w:szCs w:val="16"/>
              </w:rPr>
              <w:t>92.00%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44C7E3A" w14:textId="4B31ECC3" w:rsidR="005F442C" w:rsidRPr="00781112" w:rsidRDefault="002B7490" w:rsidP="00A018D4">
            <w:pPr>
              <w:jc w:val="center"/>
              <w:rPr>
                <w:rFonts w:cs="Arial"/>
                <w:color w:val="000000" w:themeColor="text1"/>
                <w:szCs w:val="16"/>
              </w:rPr>
            </w:pPr>
            <w:r w:rsidRPr="00781112">
              <w:rPr>
                <w:rFonts w:cs="Arial"/>
                <w:color w:val="000000" w:themeColor="text1"/>
                <w:szCs w:val="16"/>
              </w:rPr>
              <w:t>94.00%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5933A5C" w14:textId="2942912F" w:rsidR="005F442C" w:rsidRPr="00781112" w:rsidRDefault="002B7490" w:rsidP="00A018D4">
            <w:pPr>
              <w:jc w:val="center"/>
              <w:rPr>
                <w:rFonts w:cs="Arial"/>
                <w:color w:val="000000" w:themeColor="text1"/>
                <w:szCs w:val="16"/>
              </w:rPr>
            </w:pPr>
            <w:r w:rsidRPr="00781112">
              <w:rPr>
                <w:rFonts w:cs="Arial"/>
                <w:color w:val="000000" w:themeColor="text1"/>
                <w:szCs w:val="16"/>
              </w:rPr>
              <w:t>96.00%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C32933D" w14:textId="5E0B7F18" w:rsidR="005F442C" w:rsidRPr="00781112" w:rsidRDefault="002B7490" w:rsidP="00A018D4">
            <w:pPr>
              <w:jc w:val="center"/>
              <w:rPr>
                <w:rFonts w:cs="Arial"/>
                <w:color w:val="000000" w:themeColor="text1"/>
                <w:szCs w:val="16"/>
              </w:rPr>
            </w:pPr>
            <w:r w:rsidRPr="00781112">
              <w:rPr>
                <w:rFonts w:cs="Arial"/>
                <w:color w:val="000000" w:themeColor="text1"/>
                <w:szCs w:val="16"/>
              </w:rPr>
              <w:t>96.00%</w:t>
            </w:r>
          </w:p>
        </w:tc>
      </w:tr>
      <w:tr w:rsidR="005C29F8" w:rsidRPr="00781112" w14:paraId="6F394366" w14:textId="77777777" w:rsidTr="00C37CAE">
        <w:trPr>
          <w:trHeight w:val="85"/>
        </w:trPr>
        <w:tc>
          <w:tcPr>
            <w:tcW w:w="190" w:type="pct"/>
            <w:tcBorders>
              <w:left w:val="single" w:sz="4" w:space="0" w:color="auto"/>
              <w:right w:val="single" w:sz="4" w:space="0" w:color="auto"/>
            </w:tcBorders>
            <w:shd w:val="clear" w:color="auto" w:fill="auto"/>
          </w:tcPr>
          <w:p w14:paraId="44948B1E" w14:textId="67BC5CB9"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left w:val="single" w:sz="4" w:space="0" w:color="auto"/>
              <w:right w:val="single" w:sz="4" w:space="0" w:color="auto"/>
            </w:tcBorders>
            <w:shd w:val="clear" w:color="auto" w:fill="auto"/>
          </w:tcPr>
          <w:p w14:paraId="11A9E1DB" w14:textId="6AB2315D" w:rsidR="005F442C" w:rsidRPr="00781112" w:rsidRDefault="002B7490" w:rsidP="00A018D4">
            <w:pPr>
              <w:jc w:val="center"/>
              <w:rPr>
                <w:rFonts w:cs="Arial"/>
                <w:color w:val="000000" w:themeColor="text1"/>
                <w:szCs w:val="16"/>
              </w:rPr>
            </w:pPr>
            <w:r w:rsidRPr="00781112">
              <w:rPr>
                <w:rFonts w:cs="Arial"/>
                <w:color w:val="000000" w:themeColor="text1"/>
                <w:szCs w:val="16"/>
              </w:rPr>
              <w:t>73.60%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A4DE0" w14:textId="7777777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669A5081" w14:textId="5506F90A" w:rsidR="005F442C" w:rsidRPr="00781112" w:rsidRDefault="002B7490" w:rsidP="00A018D4">
            <w:pPr>
              <w:jc w:val="center"/>
              <w:rPr>
                <w:rFonts w:cs="Arial"/>
                <w:color w:val="000000" w:themeColor="text1"/>
                <w:szCs w:val="16"/>
              </w:rPr>
            </w:pPr>
            <w:r w:rsidRPr="00781112">
              <w:rPr>
                <w:rFonts w:cs="Arial"/>
                <w:color w:val="000000" w:themeColor="text1"/>
                <w:szCs w:val="16"/>
              </w:rPr>
              <w:t>87.26%</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490F65AA" w14:textId="42AB492B" w:rsidR="005F442C" w:rsidRPr="00781112" w:rsidRDefault="002B7490" w:rsidP="00A018D4">
            <w:pPr>
              <w:jc w:val="center"/>
              <w:rPr>
                <w:rFonts w:cs="Arial"/>
                <w:color w:val="000000" w:themeColor="text1"/>
                <w:szCs w:val="16"/>
              </w:rPr>
            </w:pPr>
            <w:r w:rsidRPr="00781112">
              <w:rPr>
                <w:rFonts w:cs="Arial"/>
                <w:color w:val="000000" w:themeColor="text1"/>
                <w:szCs w:val="16"/>
              </w:rPr>
              <w:t>87.16%</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EBC0DCF" w14:textId="12C96EDC" w:rsidR="005F442C" w:rsidRPr="00781112" w:rsidRDefault="002B7490" w:rsidP="00A018D4">
            <w:pPr>
              <w:jc w:val="center"/>
              <w:rPr>
                <w:rFonts w:cs="Arial"/>
                <w:color w:val="000000" w:themeColor="text1"/>
                <w:szCs w:val="16"/>
              </w:rPr>
            </w:pPr>
            <w:r w:rsidRPr="00781112">
              <w:rPr>
                <w:rFonts w:cs="Arial"/>
                <w:color w:val="000000" w:themeColor="text1"/>
                <w:szCs w:val="16"/>
              </w:rPr>
              <w:t>88.30%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F6AC359" w14:textId="4DD9908A" w:rsidR="005F442C" w:rsidRPr="00781112" w:rsidRDefault="002B7490" w:rsidP="00A018D4">
            <w:pPr>
              <w:jc w:val="center"/>
              <w:rPr>
                <w:rFonts w:cs="Arial"/>
                <w:color w:val="000000" w:themeColor="text1"/>
                <w:szCs w:val="16"/>
              </w:rPr>
            </w:pPr>
            <w:r w:rsidRPr="00781112">
              <w:rPr>
                <w:rFonts w:cs="Arial"/>
                <w:color w:val="000000" w:themeColor="text1"/>
                <w:szCs w:val="16"/>
              </w:rPr>
              <w:t>89.78%</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DD4FEA0" w14:textId="22130008" w:rsidR="005F442C" w:rsidRPr="00781112" w:rsidRDefault="002B7490" w:rsidP="00A018D4">
            <w:pPr>
              <w:jc w:val="center"/>
              <w:rPr>
                <w:rFonts w:cs="Arial"/>
                <w:color w:val="000000" w:themeColor="text1"/>
                <w:szCs w:val="16"/>
              </w:rPr>
            </w:pPr>
            <w:r w:rsidRPr="00781112">
              <w:rPr>
                <w:rFonts w:cs="Arial"/>
                <w:color w:val="000000" w:themeColor="text1"/>
                <w:szCs w:val="16"/>
              </w:rPr>
              <w:t>88.82%</w:t>
            </w:r>
          </w:p>
        </w:tc>
      </w:tr>
    </w:tbl>
    <w:p w14:paraId="7084612B" w14:textId="77777777" w:rsidR="00E448E9" w:rsidRPr="00781112" w:rsidRDefault="00E448E9" w:rsidP="004369B2">
      <w:pPr>
        <w:rPr>
          <w:color w:val="000000" w:themeColor="text1"/>
        </w:rPr>
      </w:pPr>
    </w:p>
    <w:p w14:paraId="02DB82E4" w14:textId="43A8E2E5" w:rsidR="005F442C" w:rsidRPr="00781112" w:rsidRDefault="00806C75" w:rsidP="004369B2">
      <w:pPr>
        <w:rPr>
          <w:color w:val="000000" w:themeColor="text1"/>
        </w:rPr>
      </w:pPr>
      <w:r w:rsidRPr="00781112">
        <w:rPr>
          <w:b/>
          <w:color w:val="000000" w:themeColor="text1"/>
        </w:rPr>
        <w:t>FFY 2020 Targets</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TARGETS"/>
      </w:tblPr>
      <w:tblGrid>
        <w:gridCol w:w="820"/>
        <w:gridCol w:w="1663"/>
        <w:gridCol w:w="1664"/>
        <w:gridCol w:w="1664"/>
        <w:gridCol w:w="1664"/>
        <w:gridCol w:w="1664"/>
        <w:gridCol w:w="1664"/>
      </w:tblGrid>
      <w:tr w:rsidR="00AF574F" w:rsidRPr="00781112" w14:paraId="0D5EED67" w14:textId="79D43F28" w:rsidTr="00C37CAE">
        <w:trPr>
          <w:trHeight w:val="388"/>
        </w:trPr>
        <w:tc>
          <w:tcPr>
            <w:tcW w:w="380" w:type="pct"/>
            <w:tcBorders>
              <w:bottom w:val="single" w:sz="4" w:space="0" w:color="auto"/>
            </w:tcBorders>
            <w:shd w:val="clear" w:color="auto" w:fill="auto"/>
          </w:tcPr>
          <w:p w14:paraId="3A39086B" w14:textId="77777777" w:rsidR="00AF574F" w:rsidRPr="00781112" w:rsidRDefault="00AF574F" w:rsidP="00AF574F">
            <w:pPr>
              <w:jc w:val="center"/>
              <w:rPr>
                <w:b/>
                <w:color w:val="000000" w:themeColor="text1"/>
              </w:rPr>
            </w:pPr>
            <w:r w:rsidRPr="00781112">
              <w:rPr>
                <w:b/>
                <w:color w:val="000000" w:themeColor="text1"/>
              </w:rPr>
              <w:t>FFY</w:t>
            </w:r>
          </w:p>
        </w:tc>
        <w:tc>
          <w:tcPr>
            <w:tcW w:w="770" w:type="pct"/>
            <w:shd w:val="clear" w:color="auto" w:fill="auto"/>
          </w:tcPr>
          <w:p w14:paraId="3904D56E" w14:textId="5A40B787" w:rsidR="00AF574F" w:rsidRPr="00781112" w:rsidRDefault="00AF574F" w:rsidP="00AF574F">
            <w:pPr>
              <w:jc w:val="center"/>
              <w:rPr>
                <w:b/>
                <w:color w:val="000000" w:themeColor="text1"/>
              </w:rPr>
            </w:pPr>
            <w:r w:rsidRPr="00781112">
              <w:rPr>
                <w:b/>
                <w:color w:val="000000" w:themeColor="text1"/>
              </w:rPr>
              <w:t>2020</w:t>
            </w:r>
          </w:p>
        </w:tc>
        <w:tc>
          <w:tcPr>
            <w:tcW w:w="770" w:type="pct"/>
          </w:tcPr>
          <w:p w14:paraId="5E87DEBC" w14:textId="3C58C740" w:rsidR="00AF574F" w:rsidRPr="00781112" w:rsidRDefault="00AF574F" w:rsidP="00AF574F">
            <w:pPr>
              <w:jc w:val="center"/>
              <w:rPr>
                <w:b/>
                <w:color w:val="000000" w:themeColor="text1"/>
              </w:rPr>
            </w:pPr>
            <w:r w:rsidRPr="00781112">
              <w:rPr>
                <w:rFonts w:cs="Arial"/>
                <w:b/>
                <w:color w:val="000000" w:themeColor="text1"/>
                <w:szCs w:val="16"/>
              </w:rPr>
              <w:t>2021</w:t>
            </w:r>
          </w:p>
        </w:tc>
        <w:tc>
          <w:tcPr>
            <w:tcW w:w="770" w:type="pct"/>
          </w:tcPr>
          <w:p w14:paraId="1D78C038" w14:textId="34E0A4B6" w:rsidR="00AF574F" w:rsidRPr="00781112" w:rsidRDefault="00AF574F" w:rsidP="00AF574F">
            <w:pPr>
              <w:jc w:val="center"/>
              <w:rPr>
                <w:b/>
                <w:color w:val="000000" w:themeColor="text1"/>
              </w:rPr>
            </w:pPr>
            <w:r w:rsidRPr="00781112">
              <w:rPr>
                <w:rFonts w:cs="Arial"/>
                <w:b/>
                <w:color w:val="000000" w:themeColor="text1"/>
                <w:szCs w:val="16"/>
              </w:rPr>
              <w:t>2022</w:t>
            </w:r>
          </w:p>
        </w:tc>
        <w:tc>
          <w:tcPr>
            <w:tcW w:w="770" w:type="pct"/>
          </w:tcPr>
          <w:p w14:paraId="3C72E9BA" w14:textId="291BB861" w:rsidR="00AF574F" w:rsidRPr="00781112" w:rsidRDefault="00AF574F" w:rsidP="00AF574F">
            <w:pPr>
              <w:jc w:val="center"/>
              <w:rPr>
                <w:b/>
                <w:color w:val="000000" w:themeColor="text1"/>
              </w:rPr>
            </w:pPr>
            <w:r w:rsidRPr="00781112">
              <w:rPr>
                <w:rFonts w:cs="Arial"/>
                <w:b/>
                <w:color w:val="000000" w:themeColor="text1"/>
                <w:szCs w:val="16"/>
              </w:rPr>
              <w:t>2023</w:t>
            </w:r>
          </w:p>
        </w:tc>
        <w:tc>
          <w:tcPr>
            <w:tcW w:w="770" w:type="pct"/>
          </w:tcPr>
          <w:p w14:paraId="1F7D660E" w14:textId="277D280C" w:rsidR="00AF574F" w:rsidRPr="00781112" w:rsidRDefault="00AF574F" w:rsidP="00AF574F">
            <w:pPr>
              <w:jc w:val="center"/>
              <w:rPr>
                <w:b/>
                <w:color w:val="000000" w:themeColor="text1"/>
              </w:rPr>
            </w:pPr>
            <w:r w:rsidRPr="00781112">
              <w:rPr>
                <w:rFonts w:cs="Arial"/>
                <w:b/>
                <w:color w:val="000000" w:themeColor="text1"/>
                <w:szCs w:val="16"/>
              </w:rPr>
              <w:t>2024</w:t>
            </w:r>
          </w:p>
        </w:tc>
        <w:tc>
          <w:tcPr>
            <w:tcW w:w="770" w:type="pct"/>
          </w:tcPr>
          <w:p w14:paraId="28C0E6A0" w14:textId="077620CA" w:rsidR="00AF574F" w:rsidRPr="00781112" w:rsidRDefault="00AF574F" w:rsidP="00AF574F">
            <w:pPr>
              <w:jc w:val="center"/>
              <w:rPr>
                <w:b/>
                <w:color w:val="000000" w:themeColor="text1"/>
              </w:rPr>
            </w:pPr>
            <w:r w:rsidRPr="00781112">
              <w:rPr>
                <w:rFonts w:cs="Arial"/>
                <w:b/>
                <w:color w:val="000000" w:themeColor="text1"/>
                <w:szCs w:val="16"/>
              </w:rPr>
              <w:t>2025</w:t>
            </w:r>
          </w:p>
        </w:tc>
      </w:tr>
      <w:tr w:rsidR="00AF574F" w:rsidRPr="00781112" w14:paraId="7E2B073B" w14:textId="0B5C632B" w:rsidTr="00C37CAE">
        <w:trPr>
          <w:trHeight w:val="396"/>
        </w:trPr>
        <w:tc>
          <w:tcPr>
            <w:tcW w:w="380" w:type="pct"/>
            <w:shd w:val="clear" w:color="auto" w:fill="auto"/>
          </w:tcPr>
          <w:p w14:paraId="0DC64663" w14:textId="2175F0A9" w:rsidR="00AF574F" w:rsidRPr="00781112" w:rsidRDefault="00AF574F" w:rsidP="00AF574F">
            <w:pPr>
              <w:rPr>
                <w:rFonts w:cs="Arial"/>
                <w:color w:val="000000" w:themeColor="text1"/>
                <w:szCs w:val="16"/>
              </w:rPr>
            </w:pPr>
            <w:r w:rsidRPr="00781112">
              <w:rPr>
                <w:rFonts w:cs="Arial"/>
                <w:color w:val="000000" w:themeColor="text1"/>
                <w:szCs w:val="16"/>
              </w:rPr>
              <w:t>Target A &gt;=</w:t>
            </w:r>
          </w:p>
        </w:tc>
        <w:tc>
          <w:tcPr>
            <w:tcW w:w="770" w:type="pct"/>
            <w:shd w:val="clear" w:color="auto" w:fill="auto"/>
            <w:vAlign w:val="center"/>
          </w:tcPr>
          <w:p w14:paraId="0A86FFC3" w14:textId="4AE9585E" w:rsidR="00AF574F" w:rsidRPr="00781112" w:rsidRDefault="00AF574F" w:rsidP="00AF574F">
            <w:pPr>
              <w:jc w:val="center"/>
              <w:rPr>
                <w:rFonts w:cs="Arial"/>
                <w:color w:val="000000" w:themeColor="text1"/>
                <w:szCs w:val="16"/>
              </w:rPr>
            </w:pPr>
            <w:r w:rsidRPr="00781112">
              <w:rPr>
                <w:rFonts w:cs="Arial"/>
                <w:color w:val="000000" w:themeColor="text1"/>
                <w:szCs w:val="16"/>
              </w:rPr>
              <w:t>34.00%</w:t>
            </w:r>
          </w:p>
        </w:tc>
        <w:tc>
          <w:tcPr>
            <w:tcW w:w="770" w:type="pct"/>
          </w:tcPr>
          <w:p w14:paraId="72551055" w14:textId="7A9EF926" w:rsidR="00AF574F" w:rsidRPr="00781112" w:rsidRDefault="00AF574F" w:rsidP="00AF574F">
            <w:pPr>
              <w:jc w:val="center"/>
              <w:rPr>
                <w:rFonts w:cs="Arial"/>
                <w:color w:val="000000" w:themeColor="text1"/>
                <w:szCs w:val="16"/>
              </w:rPr>
            </w:pPr>
            <w:r w:rsidRPr="00781112">
              <w:rPr>
                <w:color w:val="000000" w:themeColor="text1"/>
                <w:szCs w:val="16"/>
              </w:rPr>
              <w:t>35.00%</w:t>
            </w:r>
          </w:p>
        </w:tc>
        <w:tc>
          <w:tcPr>
            <w:tcW w:w="770" w:type="pct"/>
          </w:tcPr>
          <w:p w14:paraId="4460710F" w14:textId="653162EA" w:rsidR="00AF574F" w:rsidRPr="00781112" w:rsidRDefault="00AF574F" w:rsidP="00AF574F">
            <w:pPr>
              <w:jc w:val="center"/>
              <w:rPr>
                <w:rFonts w:cs="Arial"/>
                <w:color w:val="000000" w:themeColor="text1"/>
                <w:szCs w:val="16"/>
              </w:rPr>
            </w:pPr>
            <w:r w:rsidRPr="00781112">
              <w:rPr>
                <w:color w:val="000000" w:themeColor="text1"/>
                <w:szCs w:val="16"/>
              </w:rPr>
              <w:t>36.00%</w:t>
            </w:r>
          </w:p>
        </w:tc>
        <w:tc>
          <w:tcPr>
            <w:tcW w:w="770" w:type="pct"/>
          </w:tcPr>
          <w:p w14:paraId="42DE20BE" w14:textId="660F0A38" w:rsidR="00AF574F" w:rsidRPr="00781112" w:rsidRDefault="00AF574F" w:rsidP="00AF574F">
            <w:pPr>
              <w:jc w:val="center"/>
              <w:rPr>
                <w:rFonts w:cs="Arial"/>
                <w:color w:val="000000" w:themeColor="text1"/>
                <w:szCs w:val="16"/>
              </w:rPr>
            </w:pPr>
            <w:r w:rsidRPr="00781112">
              <w:rPr>
                <w:color w:val="000000" w:themeColor="text1"/>
                <w:szCs w:val="16"/>
              </w:rPr>
              <w:t>37.00%</w:t>
            </w:r>
          </w:p>
        </w:tc>
        <w:tc>
          <w:tcPr>
            <w:tcW w:w="770" w:type="pct"/>
          </w:tcPr>
          <w:p w14:paraId="5E9B0020" w14:textId="74258703" w:rsidR="00AF574F" w:rsidRPr="00781112" w:rsidRDefault="00AF574F" w:rsidP="00AF574F">
            <w:pPr>
              <w:jc w:val="center"/>
              <w:rPr>
                <w:rFonts w:cs="Arial"/>
                <w:color w:val="000000" w:themeColor="text1"/>
                <w:szCs w:val="16"/>
              </w:rPr>
            </w:pPr>
            <w:r w:rsidRPr="00781112">
              <w:rPr>
                <w:color w:val="000000" w:themeColor="text1"/>
                <w:szCs w:val="16"/>
              </w:rPr>
              <w:t>38.00%</w:t>
            </w:r>
          </w:p>
        </w:tc>
        <w:tc>
          <w:tcPr>
            <w:tcW w:w="770" w:type="pct"/>
          </w:tcPr>
          <w:p w14:paraId="7B60A310" w14:textId="3F13C352" w:rsidR="00AF574F" w:rsidRPr="00781112" w:rsidRDefault="00AF574F" w:rsidP="00AF574F">
            <w:pPr>
              <w:jc w:val="center"/>
              <w:rPr>
                <w:rFonts w:cs="Arial"/>
                <w:color w:val="000000" w:themeColor="text1"/>
                <w:szCs w:val="16"/>
              </w:rPr>
            </w:pPr>
            <w:r w:rsidRPr="00781112">
              <w:rPr>
                <w:color w:val="000000" w:themeColor="text1"/>
                <w:szCs w:val="16"/>
              </w:rPr>
              <w:t>39.00%</w:t>
            </w:r>
          </w:p>
        </w:tc>
      </w:tr>
      <w:tr w:rsidR="00AF574F" w:rsidRPr="00781112" w14:paraId="0314BAE3" w14:textId="455C9C0A" w:rsidTr="00C37CAE">
        <w:trPr>
          <w:trHeight w:val="396"/>
        </w:trPr>
        <w:tc>
          <w:tcPr>
            <w:tcW w:w="380" w:type="pct"/>
            <w:shd w:val="clear" w:color="auto" w:fill="auto"/>
          </w:tcPr>
          <w:p w14:paraId="53C1536D" w14:textId="615A342B" w:rsidR="00AF574F" w:rsidRPr="00781112" w:rsidRDefault="00AF574F" w:rsidP="00AF574F">
            <w:pPr>
              <w:rPr>
                <w:rFonts w:cs="Arial"/>
                <w:color w:val="000000" w:themeColor="text1"/>
                <w:szCs w:val="16"/>
              </w:rPr>
            </w:pPr>
            <w:r w:rsidRPr="00781112">
              <w:rPr>
                <w:rFonts w:cs="Arial"/>
                <w:color w:val="000000" w:themeColor="text1"/>
                <w:szCs w:val="16"/>
              </w:rPr>
              <w:t>Target B &gt;=</w:t>
            </w:r>
          </w:p>
        </w:tc>
        <w:tc>
          <w:tcPr>
            <w:tcW w:w="770" w:type="pct"/>
            <w:shd w:val="clear" w:color="auto" w:fill="auto"/>
            <w:vAlign w:val="center"/>
          </w:tcPr>
          <w:p w14:paraId="3AAA5324" w14:textId="5539646A" w:rsidR="00AF574F" w:rsidRPr="00781112" w:rsidRDefault="00AF574F" w:rsidP="00AF574F">
            <w:pPr>
              <w:jc w:val="center"/>
              <w:rPr>
                <w:rFonts w:cs="Arial"/>
                <w:color w:val="000000" w:themeColor="text1"/>
                <w:szCs w:val="16"/>
              </w:rPr>
            </w:pPr>
            <w:r w:rsidRPr="00781112">
              <w:rPr>
                <w:rFonts w:cs="Arial"/>
                <w:color w:val="000000" w:themeColor="text1"/>
                <w:szCs w:val="16"/>
              </w:rPr>
              <w:t>74.00%</w:t>
            </w:r>
          </w:p>
        </w:tc>
        <w:tc>
          <w:tcPr>
            <w:tcW w:w="770" w:type="pct"/>
          </w:tcPr>
          <w:p w14:paraId="0CDB15F6" w14:textId="4F01BE13" w:rsidR="00AF574F" w:rsidRPr="00781112" w:rsidRDefault="00AF574F" w:rsidP="00AF574F">
            <w:pPr>
              <w:jc w:val="center"/>
              <w:rPr>
                <w:rFonts w:cs="Arial"/>
                <w:color w:val="000000" w:themeColor="text1"/>
                <w:szCs w:val="16"/>
              </w:rPr>
            </w:pPr>
            <w:r w:rsidRPr="00781112">
              <w:rPr>
                <w:color w:val="000000" w:themeColor="text1"/>
                <w:szCs w:val="16"/>
              </w:rPr>
              <w:t>74.50%</w:t>
            </w:r>
          </w:p>
        </w:tc>
        <w:tc>
          <w:tcPr>
            <w:tcW w:w="770" w:type="pct"/>
          </w:tcPr>
          <w:p w14:paraId="4BE6282D" w14:textId="241D14B5" w:rsidR="00AF574F" w:rsidRPr="00781112" w:rsidRDefault="00AF574F" w:rsidP="00AF574F">
            <w:pPr>
              <w:jc w:val="center"/>
              <w:rPr>
                <w:rFonts w:cs="Arial"/>
                <w:color w:val="000000" w:themeColor="text1"/>
                <w:szCs w:val="16"/>
              </w:rPr>
            </w:pPr>
            <w:r w:rsidRPr="00781112">
              <w:rPr>
                <w:color w:val="000000" w:themeColor="text1"/>
                <w:szCs w:val="16"/>
              </w:rPr>
              <w:t>75.00%</w:t>
            </w:r>
          </w:p>
        </w:tc>
        <w:tc>
          <w:tcPr>
            <w:tcW w:w="770" w:type="pct"/>
          </w:tcPr>
          <w:p w14:paraId="57A02DD3" w14:textId="4CEDC8B3" w:rsidR="00AF574F" w:rsidRPr="00781112" w:rsidRDefault="00AF574F" w:rsidP="00AF574F">
            <w:pPr>
              <w:jc w:val="center"/>
              <w:rPr>
                <w:rFonts w:cs="Arial"/>
                <w:color w:val="000000" w:themeColor="text1"/>
                <w:szCs w:val="16"/>
              </w:rPr>
            </w:pPr>
            <w:r w:rsidRPr="00781112">
              <w:rPr>
                <w:color w:val="000000" w:themeColor="text1"/>
                <w:szCs w:val="16"/>
              </w:rPr>
              <w:t>75.50%</w:t>
            </w:r>
          </w:p>
        </w:tc>
        <w:tc>
          <w:tcPr>
            <w:tcW w:w="770" w:type="pct"/>
          </w:tcPr>
          <w:p w14:paraId="370ACB93" w14:textId="0BC1C559" w:rsidR="00AF574F" w:rsidRPr="00781112" w:rsidRDefault="00AF574F" w:rsidP="00AF574F">
            <w:pPr>
              <w:jc w:val="center"/>
              <w:rPr>
                <w:rFonts w:cs="Arial"/>
                <w:color w:val="000000" w:themeColor="text1"/>
                <w:szCs w:val="16"/>
              </w:rPr>
            </w:pPr>
            <w:r w:rsidRPr="00781112">
              <w:rPr>
                <w:color w:val="000000" w:themeColor="text1"/>
                <w:szCs w:val="16"/>
              </w:rPr>
              <w:t>76.00%</w:t>
            </w:r>
          </w:p>
        </w:tc>
        <w:tc>
          <w:tcPr>
            <w:tcW w:w="770" w:type="pct"/>
          </w:tcPr>
          <w:p w14:paraId="34308AAA" w14:textId="48D9E553" w:rsidR="00AF574F" w:rsidRPr="00781112" w:rsidRDefault="00AF574F" w:rsidP="00AF574F">
            <w:pPr>
              <w:jc w:val="center"/>
              <w:rPr>
                <w:rFonts w:cs="Arial"/>
                <w:color w:val="000000" w:themeColor="text1"/>
                <w:szCs w:val="16"/>
              </w:rPr>
            </w:pPr>
            <w:r w:rsidRPr="00781112">
              <w:rPr>
                <w:color w:val="000000" w:themeColor="text1"/>
                <w:szCs w:val="16"/>
              </w:rPr>
              <w:t>76.50%</w:t>
            </w:r>
          </w:p>
        </w:tc>
      </w:tr>
      <w:tr w:rsidR="00AF574F" w:rsidRPr="00781112" w14:paraId="571B685C" w14:textId="45446171" w:rsidTr="00C37CAE">
        <w:trPr>
          <w:trHeight w:val="396"/>
        </w:trPr>
        <w:tc>
          <w:tcPr>
            <w:tcW w:w="380" w:type="pct"/>
            <w:shd w:val="clear" w:color="auto" w:fill="auto"/>
          </w:tcPr>
          <w:p w14:paraId="4D525255" w14:textId="5D1105EA" w:rsidR="00AF574F" w:rsidRPr="00781112" w:rsidRDefault="00AF574F" w:rsidP="00AF574F">
            <w:pPr>
              <w:rPr>
                <w:rFonts w:cs="Arial"/>
                <w:color w:val="000000" w:themeColor="text1"/>
                <w:szCs w:val="16"/>
              </w:rPr>
            </w:pPr>
            <w:r w:rsidRPr="00781112">
              <w:rPr>
                <w:rFonts w:cs="Arial"/>
                <w:color w:val="000000" w:themeColor="text1"/>
                <w:szCs w:val="16"/>
              </w:rPr>
              <w:t>Target C &gt;=</w:t>
            </w:r>
          </w:p>
        </w:tc>
        <w:tc>
          <w:tcPr>
            <w:tcW w:w="770" w:type="pct"/>
            <w:shd w:val="clear" w:color="auto" w:fill="auto"/>
            <w:vAlign w:val="center"/>
          </w:tcPr>
          <w:p w14:paraId="6A2D65BD" w14:textId="1F6D3E1F" w:rsidR="00AF574F" w:rsidRPr="00781112" w:rsidRDefault="00AF574F" w:rsidP="00AF574F">
            <w:pPr>
              <w:jc w:val="center"/>
              <w:rPr>
                <w:rFonts w:cs="Arial"/>
                <w:color w:val="000000" w:themeColor="text1"/>
                <w:szCs w:val="16"/>
              </w:rPr>
            </w:pPr>
            <w:r w:rsidRPr="00781112">
              <w:rPr>
                <w:rFonts w:cs="Arial"/>
                <w:color w:val="000000" w:themeColor="text1"/>
                <w:szCs w:val="16"/>
              </w:rPr>
              <w:t>90.00%</w:t>
            </w:r>
          </w:p>
        </w:tc>
        <w:tc>
          <w:tcPr>
            <w:tcW w:w="770" w:type="pct"/>
          </w:tcPr>
          <w:p w14:paraId="6B5B030A" w14:textId="41C6CE98" w:rsidR="00AF574F" w:rsidRPr="00781112" w:rsidRDefault="00AF574F" w:rsidP="00AF574F">
            <w:pPr>
              <w:jc w:val="center"/>
              <w:rPr>
                <w:rFonts w:cs="Arial"/>
                <w:color w:val="000000" w:themeColor="text1"/>
                <w:szCs w:val="16"/>
              </w:rPr>
            </w:pPr>
            <w:r w:rsidRPr="00781112">
              <w:rPr>
                <w:color w:val="000000" w:themeColor="text1"/>
                <w:szCs w:val="16"/>
              </w:rPr>
              <w:t>90.50%</w:t>
            </w:r>
          </w:p>
        </w:tc>
        <w:tc>
          <w:tcPr>
            <w:tcW w:w="770" w:type="pct"/>
          </w:tcPr>
          <w:p w14:paraId="1D90926B" w14:textId="034D06FC" w:rsidR="00AF574F" w:rsidRPr="00781112" w:rsidRDefault="00AF574F" w:rsidP="00AF574F">
            <w:pPr>
              <w:jc w:val="center"/>
              <w:rPr>
                <w:rFonts w:cs="Arial"/>
                <w:color w:val="000000" w:themeColor="text1"/>
                <w:szCs w:val="16"/>
              </w:rPr>
            </w:pPr>
            <w:r w:rsidRPr="00781112">
              <w:rPr>
                <w:color w:val="000000" w:themeColor="text1"/>
                <w:szCs w:val="16"/>
              </w:rPr>
              <w:t>91.00%</w:t>
            </w:r>
          </w:p>
        </w:tc>
        <w:tc>
          <w:tcPr>
            <w:tcW w:w="770" w:type="pct"/>
          </w:tcPr>
          <w:p w14:paraId="4E4DC90B" w14:textId="096AE3F3" w:rsidR="00AF574F" w:rsidRPr="00781112" w:rsidRDefault="00AF574F" w:rsidP="00AF574F">
            <w:pPr>
              <w:jc w:val="center"/>
              <w:rPr>
                <w:rFonts w:cs="Arial"/>
                <w:color w:val="000000" w:themeColor="text1"/>
                <w:szCs w:val="16"/>
              </w:rPr>
            </w:pPr>
            <w:r w:rsidRPr="00781112">
              <w:rPr>
                <w:color w:val="000000" w:themeColor="text1"/>
                <w:szCs w:val="16"/>
              </w:rPr>
              <w:t>91.50%</w:t>
            </w:r>
          </w:p>
        </w:tc>
        <w:tc>
          <w:tcPr>
            <w:tcW w:w="770" w:type="pct"/>
          </w:tcPr>
          <w:p w14:paraId="1926915A" w14:textId="136C8151" w:rsidR="00AF574F" w:rsidRPr="00781112" w:rsidRDefault="00AF574F" w:rsidP="00AF574F">
            <w:pPr>
              <w:jc w:val="center"/>
              <w:rPr>
                <w:rFonts w:cs="Arial"/>
                <w:color w:val="000000" w:themeColor="text1"/>
                <w:szCs w:val="16"/>
              </w:rPr>
            </w:pPr>
            <w:r w:rsidRPr="00781112">
              <w:rPr>
                <w:color w:val="000000" w:themeColor="text1"/>
                <w:szCs w:val="16"/>
              </w:rPr>
              <w:t>92.00%</w:t>
            </w:r>
          </w:p>
        </w:tc>
        <w:tc>
          <w:tcPr>
            <w:tcW w:w="770" w:type="pct"/>
          </w:tcPr>
          <w:p w14:paraId="77A2E1D0" w14:textId="201EF6CB" w:rsidR="00AF574F" w:rsidRPr="00781112" w:rsidRDefault="00AF574F" w:rsidP="00AF574F">
            <w:pPr>
              <w:jc w:val="center"/>
              <w:rPr>
                <w:rFonts w:cs="Arial"/>
                <w:color w:val="000000" w:themeColor="text1"/>
                <w:szCs w:val="16"/>
              </w:rPr>
            </w:pPr>
            <w:r w:rsidRPr="00781112">
              <w:rPr>
                <w:color w:val="000000" w:themeColor="text1"/>
                <w:szCs w:val="16"/>
              </w:rPr>
              <w:t>92.50%</w:t>
            </w:r>
          </w:p>
        </w:tc>
      </w:tr>
    </w:tbl>
    <w:p w14:paraId="007E6F50" w14:textId="125782E4" w:rsidR="000A2C83" w:rsidRPr="00781112" w:rsidRDefault="000A2C83" w:rsidP="004369B2">
      <w:pPr>
        <w:rPr>
          <w:b/>
          <w:color w:val="000000" w:themeColor="text1"/>
        </w:rPr>
      </w:pPr>
      <w:r w:rsidRPr="00781112">
        <w:rPr>
          <w:b/>
          <w:color w:val="000000" w:themeColor="text1"/>
        </w:rPr>
        <w:t xml:space="preserve">Targets: Description of Stakeholder Input </w:t>
      </w:r>
    </w:p>
    <w:p w14:paraId="0D80EDD0" w14:textId="285AFA3B" w:rsidR="000A2C83" w:rsidRPr="00781112" w:rsidRDefault="002B7490" w:rsidP="000A2C83">
      <w:pPr>
        <w:rPr>
          <w:rFonts w:cs="Arial"/>
          <w:color w:val="000000" w:themeColor="text1"/>
          <w:szCs w:val="16"/>
        </w:rPr>
      </w:pPr>
      <w:r w:rsidRPr="00781112">
        <w:rPr>
          <w:rFonts w:cs="Arial"/>
          <w:color w:val="000000" w:themeColor="text1"/>
          <w:szCs w:val="16"/>
        </w:rPr>
        <w:t>Louisiana has developed a comprehensive vision for the future of education in our state—Louisiana Believes. The driving force of this vision is that every one of Louisiana’s children should be on track to a college degree or a professional career. This inclusive vision and Louisiana’s values were apparent in the development of the SPP as we solicited and received broad stakeholder input to inform the target setting process for FFY 2020 - FFY 2025. The LDOE used three phases to develop the SPP targets for FFY 2020 - FFY 2025: 1) internal review, 2) external stakeholder feedback, and 3) Special Education Advisory Panel (SEAP) integration.</w:t>
      </w:r>
      <w:r w:rsidRPr="00781112">
        <w:rPr>
          <w:rFonts w:cs="Arial"/>
          <w:color w:val="000000" w:themeColor="text1"/>
          <w:szCs w:val="16"/>
        </w:rPr>
        <w:br/>
      </w:r>
      <w:r w:rsidRPr="00781112">
        <w:rPr>
          <w:rFonts w:cs="Arial"/>
          <w:color w:val="000000" w:themeColor="text1"/>
          <w:szCs w:val="16"/>
        </w:rPr>
        <w:br/>
        <w:t xml:space="preserve">Internal Review </w:t>
      </w:r>
      <w:r w:rsidRPr="00781112">
        <w:rPr>
          <w:rFonts w:cs="Arial"/>
          <w:color w:val="000000" w:themeColor="text1"/>
          <w:szCs w:val="16"/>
        </w:rPr>
        <w:br/>
      </w:r>
      <w:r w:rsidRPr="00781112">
        <w:rPr>
          <w:rFonts w:cs="Arial"/>
          <w:color w:val="000000" w:themeColor="text1"/>
          <w:szCs w:val="16"/>
        </w:rPr>
        <w:lastRenderedPageBreak/>
        <w:t xml:space="preserve">The LDOE's Division for Diverse Learners reviewed historical data and LDOE policies, procedures, and practices; and collaborated with internal teams to develop targets that were rigorous and attainable. </w:t>
      </w:r>
      <w:r w:rsidRPr="00781112">
        <w:rPr>
          <w:rFonts w:cs="Arial"/>
          <w:color w:val="000000" w:themeColor="text1"/>
          <w:szCs w:val="16"/>
        </w:rPr>
        <w:br/>
      </w:r>
      <w:r w:rsidRPr="00781112">
        <w:rPr>
          <w:rFonts w:cs="Arial"/>
          <w:color w:val="000000" w:themeColor="text1"/>
          <w:szCs w:val="16"/>
        </w:rPr>
        <w:br/>
        <w:t>External Stakeholder Feedback</w:t>
      </w:r>
      <w:r w:rsidRPr="00781112">
        <w:rPr>
          <w:rFonts w:cs="Arial"/>
          <w:color w:val="000000" w:themeColor="text1"/>
          <w:szCs w:val="16"/>
        </w:rPr>
        <w:br/>
        <w:t xml:space="preserve">The Division for Diverse Learners developed and executed an SPP/APR target setting engagement strategy to solicit broad stakeholder feedback on the FFY 2020 - FFY 2025 targets. The LDOE developed a State Performance Plan / Annual Performance Report Target Setting webpage on the Louisiana Believes website. The webpage contains an overview document with an explanation of each indicator, historical data for each indicator, and tables to clearly identify whether or not the State met targets for each indicator. After review of the overview document, a target setting survey was available for stakeholders to provide input on targets. </w:t>
      </w:r>
      <w:r w:rsidRPr="00781112">
        <w:rPr>
          <w:rFonts w:cs="Arial"/>
          <w:color w:val="000000" w:themeColor="text1"/>
          <w:szCs w:val="16"/>
        </w:rPr>
        <w:br/>
      </w:r>
      <w:r w:rsidRPr="00781112">
        <w:rPr>
          <w:rFonts w:cs="Arial"/>
          <w:color w:val="000000" w:themeColor="text1"/>
          <w:szCs w:val="16"/>
        </w:rPr>
        <w:br/>
        <w:t>SEAP Integration</w:t>
      </w:r>
      <w:r w:rsidRPr="00781112">
        <w:rPr>
          <w:rFonts w:cs="Arial"/>
          <w:color w:val="000000" w:themeColor="text1"/>
          <w:szCs w:val="16"/>
        </w:rPr>
        <w:br/>
        <w:t>The LDOE informed the SEAP on the target setting process at two separate meetings. LDOE provided an overview of each indicator along with historical data to SEAP members who provided input. SEAP's structure also allows for public comments, which were exercised at the meetings, providing external stakeholder feedback.</w:t>
      </w:r>
      <w:r w:rsidRPr="00781112">
        <w:rPr>
          <w:rFonts w:cs="Arial"/>
          <w:color w:val="000000" w:themeColor="text1"/>
          <w:szCs w:val="16"/>
        </w:rPr>
        <w:br/>
      </w:r>
      <w:r w:rsidRPr="00781112">
        <w:rPr>
          <w:rFonts w:cs="Arial"/>
          <w:color w:val="000000" w:themeColor="text1"/>
          <w:szCs w:val="16"/>
        </w:rPr>
        <w:br/>
        <w:t>The LDOE set targets based on feedback, historical data, and whether previous targets set were met. LDOE will continue to monitor data, targets, and changes to Indicator methodology, and may revise targets in the future, as necessary. Any revisions will incorporate stakeholder feedback, including, but not limited to, SEAP.</w:t>
      </w:r>
    </w:p>
    <w:p w14:paraId="262FFC50" w14:textId="3E779EE8" w:rsidR="000A2C83" w:rsidRPr="00781112" w:rsidRDefault="002B7490" w:rsidP="000A2C83">
      <w:pPr>
        <w:rPr>
          <w:rFonts w:cs="Arial"/>
          <w:color w:val="000000" w:themeColor="text1"/>
          <w:szCs w:val="16"/>
        </w:rPr>
      </w:pPr>
      <w:r w:rsidRPr="00781112">
        <w:rPr>
          <w:rFonts w:cs="Arial"/>
          <w:color w:val="000000" w:themeColor="text1"/>
          <w:szCs w:val="16"/>
        </w:rPr>
        <w:t>Target setting for this indicator was integrated into the overall stakeholder engagement strategy. Please see the "stakeholder involvement" section on the introduction page for more information.</w:t>
      </w:r>
    </w:p>
    <w:p w14:paraId="4522ADD4" w14:textId="77777777" w:rsidR="00E448E9" w:rsidRPr="00781112" w:rsidRDefault="00E448E9" w:rsidP="004369B2">
      <w:pPr>
        <w:rPr>
          <w:color w:val="000000" w:themeColor="text1"/>
        </w:rPr>
      </w:pPr>
      <w:bookmarkStart w:id="78" w:name="_Toc392159337"/>
    </w:p>
    <w:p w14:paraId="4202DC3A" w14:textId="41155391" w:rsidR="00A03EFA" w:rsidRPr="00781112" w:rsidRDefault="00806C75" w:rsidP="004369B2">
      <w:pPr>
        <w:rPr>
          <w:color w:val="000000" w:themeColor="text1"/>
        </w:rPr>
      </w:pPr>
      <w:r w:rsidRPr="00781112">
        <w:rPr>
          <w:b/>
          <w:color w:val="000000" w:themeColor="text1"/>
        </w:rPr>
        <w:t>FFY 2020 SPP/APR Data</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4CFFYAPRDATA"/>
      </w:tblPr>
      <w:tblGrid>
        <w:gridCol w:w="8395"/>
        <w:gridCol w:w="2395"/>
      </w:tblGrid>
      <w:tr w:rsidR="00090132" w:rsidRPr="00781112" w14:paraId="207EB2D1" w14:textId="77777777" w:rsidTr="00090132">
        <w:tc>
          <w:tcPr>
            <w:tcW w:w="3890" w:type="pct"/>
            <w:vAlign w:val="center"/>
          </w:tcPr>
          <w:p w14:paraId="67362B4A" w14:textId="3209EFE1" w:rsidR="00090132" w:rsidRPr="00781112" w:rsidRDefault="00090132" w:rsidP="00090132">
            <w:pPr>
              <w:keepNext/>
              <w:rPr>
                <w:rFonts w:cs="Arial"/>
                <w:color w:val="000000" w:themeColor="text1"/>
                <w:szCs w:val="16"/>
              </w:rPr>
            </w:pPr>
            <w:r>
              <w:rPr>
                <w:rFonts w:cs="Arial"/>
                <w:szCs w:val="16"/>
              </w:rPr>
              <w:t>Total</w:t>
            </w:r>
            <w:r w:rsidRPr="000B10B6">
              <w:rPr>
                <w:rFonts w:eastAsia="Times New Roman" w:cs="Arial"/>
                <w:szCs w:val="16"/>
              </w:rPr>
              <w:t xml:space="preserve"> number of targeted youth in the sample or census</w:t>
            </w:r>
          </w:p>
        </w:tc>
        <w:tc>
          <w:tcPr>
            <w:tcW w:w="1110" w:type="pct"/>
            <w:vAlign w:val="center"/>
          </w:tcPr>
          <w:p w14:paraId="2427A8AD" w14:textId="54179547" w:rsidR="00090132" w:rsidRPr="00781112" w:rsidRDefault="00090132" w:rsidP="00090132">
            <w:pPr>
              <w:jc w:val="center"/>
              <w:rPr>
                <w:rFonts w:cs="Arial"/>
                <w:color w:val="000000" w:themeColor="text1"/>
                <w:szCs w:val="16"/>
              </w:rPr>
            </w:pPr>
            <w:r>
              <w:rPr>
                <w:rFonts w:cs="Arial"/>
                <w:color w:val="000000" w:themeColor="text1"/>
                <w:szCs w:val="16"/>
              </w:rPr>
              <w:t>5,427</w:t>
            </w:r>
          </w:p>
        </w:tc>
      </w:tr>
      <w:tr w:rsidR="00090132" w:rsidRPr="00781112" w14:paraId="4BEBCF45" w14:textId="77777777" w:rsidTr="00090132">
        <w:tc>
          <w:tcPr>
            <w:tcW w:w="3890" w:type="pct"/>
            <w:vAlign w:val="center"/>
          </w:tcPr>
          <w:p w14:paraId="362898CB" w14:textId="77777777" w:rsidR="00090132" w:rsidRPr="00781112" w:rsidRDefault="00090132" w:rsidP="00090132">
            <w:pPr>
              <w:keepNext/>
              <w:rPr>
                <w:rFonts w:cs="Arial"/>
                <w:color w:val="000000" w:themeColor="text1"/>
                <w:szCs w:val="16"/>
              </w:rPr>
            </w:pPr>
            <w:r w:rsidRPr="00781112">
              <w:rPr>
                <w:rFonts w:cs="Arial"/>
                <w:color w:val="000000" w:themeColor="text1"/>
                <w:szCs w:val="16"/>
              </w:rPr>
              <w:t>Number of respondent youth who are no longer in secondary school and had IEPs in effect at the time they left school</w:t>
            </w:r>
          </w:p>
        </w:tc>
        <w:tc>
          <w:tcPr>
            <w:tcW w:w="1110" w:type="pct"/>
            <w:vAlign w:val="center"/>
          </w:tcPr>
          <w:p w14:paraId="4E7A7BCA" w14:textId="4D8CFE95" w:rsidR="00090132" w:rsidRPr="00781112" w:rsidRDefault="00090132" w:rsidP="00090132">
            <w:pPr>
              <w:jc w:val="center"/>
              <w:rPr>
                <w:rFonts w:cs="Arial"/>
                <w:color w:val="000000" w:themeColor="text1"/>
                <w:szCs w:val="16"/>
              </w:rPr>
            </w:pPr>
            <w:r w:rsidRPr="00781112">
              <w:rPr>
                <w:rFonts w:cs="Arial"/>
                <w:color w:val="000000" w:themeColor="text1"/>
                <w:szCs w:val="16"/>
              </w:rPr>
              <w:t>3,031</w:t>
            </w:r>
          </w:p>
        </w:tc>
      </w:tr>
      <w:tr w:rsidR="00090132" w:rsidRPr="00781112" w14:paraId="099154C0" w14:textId="77777777" w:rsidTr="00090132">
        <w:tc>
          <w:tcPr>
            <w:tcW w:w="3890" w:type="pct"/>
            <w:vAlign w:val="center"/>
          </w:tcPr>
          <w:p w14:paraId="5A4C399B" w14:textId="5923727A" w:rsidR="00090132" w:rsidRPr="00781112" w:rsidRDefault="00090132" w:rsidP="00090132">
            <w:pPr>
              <w:rPr>
                <w:rFonts w:cs="Arial"/>
                <w:color w:val="000000" w:themeColor="text1"/>
                <w:szCs w:val="16"/>
              </w:rPr>
            </w:pPr>
            <w:r>
              <w:rPr>
                <w:rFonts w:cs="Arial"/>
                <w:szCs w:val="16"/>
              </w:rPr>
              <w:t>Response Rate</w:t>
            </w:r>
          </w:p>
        </w:tc>
        <w:tc>
          <w:tcPr>
            <w:tcW w:w="1110" w:type="pct"/>
            <w:vAlign w:val="center"/>
          </w:tcPr>
          <w:p w14:paraId="394AE71F" w14:textId="54DFC261" w:rsidR="00090132" w:rsidRPr="00781112" w:rsidRDefault="00090132" w:rsidP="00090132">
            <w:pPr>
              <w:jc w:val="center"/>
              <w:rPr>
                <w:rFonts w:cs="Arial"/>
                <w:color w:val="000000" w:themeColor="text1"/>
                <w:szCs w:val="16"/>
              </w:rPr>
            </w:pPr>
            <w:r w:rsidRPr="00ED172B">
              <w:rPr>
                <w:rFonts w:cs="Arial"/>
                <w:color w:val="000000" w:themeColor="text1"/>
                <w:szCs w:val="16"/>
              </w:rPr>
              <w:t>55.85%</w:t>
            </w:r>
          </w:p>
        </w:tc>
      </w:tr>
      <w:tr w:rsidR="00090132" w:rsidRPr="00781112" w14:paraId="5E0C2D8D" w14:textId="77777777" w:rsidTr="00090132">
        <w:tc>
          <w:tcPr>
            <w:tcW w:w="3890" w:type="pct"/>
            <w:vAlign w:val="center"/>
          </w:tcPr>
          <w:p w14:paraId="307B7092"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1. Number of respondent youth who enrolled in higher education within one year of leaving high school </w:t>
            </w:r>
          </w:p>
        </w:tc>
        <w:tc>
          <w:tcPr>
            <w:tcW w:w="1110" w:type="pct"/>
            <w:vAlign w:val="center"/>
          </w:tcPr>
          <w:p w14:paraId="0A9A571A" w14:textId="2C7C274B" w:rsidR="00090132" w:rsidRPr="00781112" w:rsidRDefault="00090132" w:rsidP="00090132">
            <w:pPr>
              <w:jc w:val="center"/>
              <w:rPr>
                <w:rFonts w:cs="Arial"/>
                <w:color w:val="000000" w:themeColor="text1"/>
                <w:szCs w:val="16"/>
              </w:rPr>
            </w:pPr>
            <w:r w:rsidRPr="00781112">
              <w:rPr>
                <w:rFonts w:cs="Arial"/>
                <w:color w:val="000000" w:themeColor="text1"/>
                <w:szCs w:val="16"/>
              </w:rPr>
              <w:t>979</w:t>
            </w:r>
          </w:p>
        </w:tc>
      </w:tr>
      <w:tr w:rsidR="00090132" w:rsidRPr="00781112" w14:paraId="7827FDF9" w14:textId="77777777" w:rsidTr="00090132">
        <w:tc>
          <w:tcPr>
            <w:tcW w:w="3890" w:type="pct"/>
            <w:vAlign w:val="center"/>
          </w:tcPr>
          <w:p w14:paraId="143C6167"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2. Number of respondent youth who competitively employed within one year of leaving high school </w:t>
            </w:r>
          </w:p>
        </w:tc>
        <w:tc>
          <w:tcPr>
            <w:tcW w:w="1110" w:type="pct"/>
            <w:vAlign w:val="center"/>
          </w:tcPr>
          <w:p w14:paraId="6B716476" w14:textId="340D4859" w:rsidR="00090132" w:rsidRPr="00781112" w:rsidRDefault="00090132" w:rsidP="00090132">
            <w:pPr>
              <w:jc w:val="center"/>
              <w:rPr>
                <w:rFonts w:cs="Arial"/>
                <w:color w:val="000000" w:themeColor="text1"/>
                <w:szCs w:val="16"/>
              </w:rPr>
            </w:pPr>
            <w:r w:rsidRPr="00781112">
              <w:rPr>
                <w:rFonts w:cs="Arial"/>
                <w:color w:val="000000" w:themeColor="text1"/>
                <w:szCs w:val="16"/>
              </w:rPr>
              <w:t>1,023</w:t>
            </w:r>
          </w:p>
        </w:tc>
      </w:tr>
      <w:tr w:rsidR="00090132" w:rsidRPr="00781112" w14:paraId="5F3556EC" w14:textId="77777777" w:rsidTr="00090132">
        <w:tc>
          <w:tcPr>
            <w:tcW w:w="3890" w:type="pct"/>
            <w:vAlign w:val="center"/>
          </w:tcPr>
          <w:p w14:paraId="31472415" w14:textId="77777777" w:rsidR="00090132" w:rsidRPr="00781112" w:rsidRDefault="00090132" w:rsidP="00090132">
            <w:pPr>
              <w:rPr>
                <w:rFonts w:cs="Arial"/>
                <w:color w:val="000000" w:themeColor="text1"/>
                <w:szCs w:val="16"/>
              </w:rPr>
            </w:pPr>
            <w:r w:rsidRPr="00781112">
              <w:rPr>
                <w:rFonts w:cs="Arial"/>
                <w:color w:val="000000" w:themeColor="text1"/>
                <w:szCs w:val="16"/>
              </w:rPr>
              <w:t>3. Number of respondent youth enrolled in some other postsecondary education or training program within one year of leaving high school (but not enrolled in higher education or competitively employed)</w:t>
            </w:r>
          </w:p>
        </w:tc>
        <w:tc>
          <w:tcPr>
            <w:tcW w:w="1110" w:type="pct"/>
            <w:vAlign w:val="center"/>
          </w:tcPr>
          <w:p w14:paraId="113FFF64" w14:textId="3A694BE0" w:rsidR="00090132" w:rsidRPr="00781112" w:rsidRDefault="00090132" w:rsidP="00090132">
            <w:pPr>
              <w:jc w:val="center"/>
              <w:rPr>
                <w:rFonts w:cs="Arial"/>
                <w:color w:val="000000" w:themeColor="text1"/>
                <w:szCs w:val="16"/>
              </w:rPr>
            </w:pPr>
            <w:r w:rsidRPr="00781112">
              <w:rPr>
                <w:rFonts w:cs="Arial"/>
                <w:color w:val="000000" w:themeColor="text1"/>
                <w:szCs w:val="16"/>
              </w:rPr>
              <w:t>395</w:t>
            </w:r>
          </w:p>
        </w:tc>
      </w:tr>
      <w:tr w:rsidR="00090132" w:rsidRPr="00781112" w14:paraId="781804C6" w14:textId="77777777" w:rsidTr="00090132">
        <w:tc>
          <w:tcPr>
            <w:tcW w:w="3890" w:type="pct"/>
            <w:vAlign w:val="center"/>
          </w:tcPr>
          <w:p w14:paraId="1C549366" w14:textId="77777777" w:rsidR="00090132" w:rsidRPr="00781112" w:rsidRDefault="00090132" w:rsidP="00090132">
            <w:pPr>
              <w:rPr>
                <w:rFonts w:cs="Arial"/>
                <w:color w:val="000000" w:themeColor="text1"/>
                <w:szCs w:val="16"/>
              </w:rPr>
            </w:pPr>
            <w:r w:rsidRPr="00781112">
              <w:rPr>
                <w:rFonts w:cs="Arial"/>
                <w:color w:val="000000" w:themeColor="text1"/>
                <w:szCs w:val="16"/>
              </w:rPr>
              <w:t>4. Number of respondent youth who are in some other employment within one year of leaving high school (but not enrolled in higher education, some other postsecondary education or training program, or competitively employed).</w:t>
            </w:r>
          </w:p>
        </w:tc>
        <w:tc>
          <w:tcPr>
            <w:tcW w:w="1110" w:type="pct"/>
            <w:vAlign w:val="center"/>
          </w:tcPr>
          <w:p w14:paraId="73A7669A" w14:textId="69DC744F" w:rsidR="00090132" w:rsidRPr="00781112" w:rsidRDefault="00090132" w:rsidP="00090132">
            <w:pPr>
              <w:jc w:val="center"/>
              <w:rPr>
                <w:rFonts w:cs="Arial"/>
                <w:color w:val="000000" w:themeColor="text1"/>
                <w:szCs w:val="16"/>
              </w:rPr>
            </w:pPr>
            <w:r w:rsidRPr="00781112">
              <w:rPr>
                <w:rFonts w:cs="Arial"/>
                <w:color w:val="000000" w:themeColor="text1"/>
                <w:szCs w:val="16"/>
              </w:rPr>
              <w:t>266</w:t>
            </w:r>
          </w:p>
        </w:tc>
      </w:tr>
    </w:tbl>
    <w:p w14:paraId="4C7C103F"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CFFYAPRDATA1"/>
      </w:tblPr>
      <w:tblGrid>
        <w:gridCol w:w="1348"/>
        <w:gridCol w:w="1348"/>
        <w:gridCol w:w="1349"/>
        <w:gridCol w:w="1349"/>
        <w:gridCol w:w="1349"/>
        <w:gridCol w:w="1349"/>
        <w:gridCol w:w="1349"/>
        <w:gridCol w:w="1349"/>
      </w:tblGrid>
      <w:tr w:rsidR="005C29F8" w:rsidRPr="00781112" w14:paraId="5EEC1BAF" w14:textId="0A8A2949" w:rsidTr="0033429D">
        <w:trPr>
          <w:trHeight w:val="358"/>
          <w:tblHeader/>
        </w:trPr>
        <w:tc>
          <w:tcPr>
            <w:tcW w:w="625" w:type="pct"/>
            <w:shd w:val="clear" w:color="auto" w:fill="auto"/>
            <w:vAlign w:val="bottom"/>
          </w:tcPr>
          <w:p w14:paraId="4E882584" w14:textId="038C3477" w:rsidR="00B67038" w:rsidRPr="00781112" w:rsidRDefault="004E1996" w:rsidP="00B02B95">
            <w:pPr>
              <w:jc w:val="center"/>
              <w:rPr>
                <w:rFonts w:cs="Arial"/>
                <w:b/>
                <w:color w:val="000000" w:themeColor="text1"/>
                <w:szCs w:val="16"/>
              </w:rPr>
            </w:pPr>
            <w:r w:rsidRPr="00781112">
              <w:rPr>
                <w:rFonts w:cs="Arial"/>
                <w:b/>
                <w:color w:val="000000" w:themeColor="text1"/>
                <w:szCs w:val="16"/>
              </w:rPr>
              <w:t>Measure</w:t>
            </w:r>
          </w:p>
        </w:tc>
        <w:tc>
          <w:tcPr>
            <w:tcW w:w="625" w:type="pct"/>
            <w:shd w:val="clear" w:color="auto" w:fill="auto"/>
            <w:vAlign w:val="bottom"/>
          </w:tcPr>
          <w:p w14:paraId="5814109E" w14:textId="77777777" w:rsidR="00B67038" w:rsidRPr="00781112" w:rsidRDefault="00B67038" w:rsidP="00B02B95">
            <w:pPr>
              <w:jc w:val="center"/>
              <w:rPr>
                <w:rFonts w:cs="Arial"/>
                <w:b/>
                <w:color w:val="000000" w:themeColor="text1"/>
                <w:szCs w:val="16"/>
              </w:rPr>
            </w:pPr>
            <w:r w:rsidRPr="00781112">
              <w:rPr>
                <w:rFonts w:cs="Arial"/>
                <w:b/>
                <w:color w:val="000000" w:themeColor="text1"/>
                <w:szCs w:val="16"/>
              </w:rPr>
              <w:t>Number of respondent youth</w:t>
            </w:r>
          </w:p>
        </w:tc>
        <w:tc>
          <w:tcPr>
            <w:tcW w:w="625" w:type="pct"/>
            <w:shd w:val="clear" w:color="auto" w:fill="auto"/>
            <w:vAlign w:val="bottom"/>
          </w:tcPr>
          <w:p w14:paraId="14CE6B2C" w14:textId="77777777" w:rsidR="00B67038" w:rsidRPr="00781112" w:rsidRDefault="00B67038" w:rsidP="00B02B95">
            <w:pPr>
              <w:jc w:val="center"/>
              <w:rPr>
                <w:rFonts w:cs="Arial"/>
                <w:b/>
                <w:color w:val="000000" w:themeColor="text1"/>
                <w:szCs w:val="16"/>
              </w:rPr>
            </w:pPr>
            <w:r w:rsidRPr="00781112">
              <w:rPr>
                <w:rFonts w:cs="Arial"/>
                <w:b/>
                <w:color w:val="000000" w:themeColor="text1"/>
                <w:szCs w:val="16"/>
              </w:rPr>
              <w:t>Number of respondent youth who are no longer in secondary school and had IEPs in effect at the time they left school</w:t>
            </w:r>
          </w:p>
        </w:tc>
        <w:tc>
          <w:tcPr>
            <w:tcW w:w="625" w:type="pct"/>
            <w:shd w:val="clear" w:color="auto" w:fill="auto"/>
            <w:vAlign w:val="bottom"/>
          </w:tcPr>
          <w:p w14:paraId="12E02A36" w14:textId="0DAD7157" w:rsidR="00B67038" w:rsidRPr="00781112" w:rsidRDefault="00F6415A" w:rsidP="00B02B95">
            <w:pPr>
              <w:jc w:val="center"/>
              <w:rPr>
                <w:rFonts w:cs="Arial"/>
                <w:b/>
                <w:color w:val="000000" w:themeColor="text1"/>
                <w:szCs w:val="16"/>
              </w:rPr>
            </w:pPr>
            <w:r w:rsidRPr="00781112">
              <w:rPr>
                <w:rFonts w:cs="Arial"/>
                <w:b/>
                <w:color w:val="000000" w:themeColor="text1"/>
                <w:szCs w:val="16"/>
              </w:rPr>
              <w:t>FFY 2019 Data</w:t>
            </w:r>
          </w:p>
        </w:tc>
        <w:tc>
          <w:tcPr>
            <w:tcW w:w="625" w:type="pct"/>
            <w:shd w:val="clear" w:color="auto" w:fill="auto"/>
            <w:vAlign w:val="bottom"/>
          </w:tcPr>
          <w:p w14:paraId="5152926B" w14:textId="51E1C3DD" w:rsidR="00B67038" w:rsidRPr="00781112" w:rsidRDefault="00806C75" w:rsidP="00B02B95">
            <w:pPr>
              <w:jc w:val="center"/>
              <w:rPr>
                <w:rFonts w:cs="Arial"/>
                <w:b/>
                <w:color w:val="000000" w:themeColor="text1"/>
                <w:szCs w:val="16"/>
              </w:rPr>
            </w:pPr>
            <w:r w:rsidRPr="00781112">
              <w:rPr>
                <w:rFonts w:cs="Arial"/>
                <w:b/>
                <w:color w:val="000000" w:themeColor="text1"/>
                <w:szCs w:val="16"/>
              </w:rPr>
              <w:t>FFY 2020 Target</w:t>
            </w:r>
          </w:p>
        </w:tc>
        <w:tc>
          <w:tcPr>
            <w:tcW w:w="625" w:type="pct"/>
            <w:shd w:val="clear" w:color="auto" w:fill="auto"/>
            <w:vAlign w:val="bottom"/>
          </w:tcPr>
          <w:p w14:paraId="520BBB1B" w14:textId="5D23C409" w:rsidR="00B67038" w:rsidRPr="00781112" w:rsidRDefault="00806C75" w:rsidP="00B02B95">
            <w:pPr>
              <w:jc w:val="center"/>
              <w:rPr>
                <w:rFonts w:cs="Arial"/>
                <w:b/>
                <w:color w:val="000000" w:themeColor="text1"/>
                <w:szCs w:val="16"/>
              </w:rPr>
            </w:pPr>
            <w:r w:rsidRPr="00781112">
              <w:rPr>
                <w:rFonts w:cs="Arial"/>
                <w:b/>
                <w:color w:val="000000" w:themeColor="text1"/>
                <w:szCs w:val="16"/>
              </w:rPr>
              <w:t>FFY 2020 Data</w:t>
            </w:r>
          </w:p>
        </w:tc>
        <w:tc>
          <w:tcPr>
            <w:tcW w:w="625" w:type="pct"/>
            <w:shd w:val="clear" w:color="auto" w:fill="auto"/>
            <w:vAlign w:val="bottom"/>
          </w:tcPr>
          <w:p w14:paraId="4E9CD96E" w14:textId="648B12FE" w:rsidR="00B67038" w:rsidRPr="00781112" w:rsidRDefault="00B67038" w:rsidP="00B02B95">
            <w:pPr>
              <w:jc w:val="center"/>
              <w:rPr>
                <w:rFonts w:cs="Arial"/>
                <w:b/>
                <w:color w:val="000000" w:themeColor="text1"/>
                <w:szCs w:val="16"/>
              </w:rPr>
            </w:pPr>
            <w:r w:rsidRPr="00781112">
              <w:rPr>
                <w:rFonts w:cs="Arial"/>
                <w:b/>
                <w:color w:val="000000" w:themeColor="text1"/>
                <w:szCs w:val="16"/>
              </w:rPr>
              <w:t>Status</w:t>
            </w:r>
          </w:p>
        </w:tc>
        <w:tc>
          <w:tcPr>
            <w:tcW w:w="625" w:type="pct"/>
            <w:shd w:val="clear" w:color="auto" w:fill="auto"/>
            <w:vAlign w:val="bottom"/>
          </w:tcPr>
          <w:p w14:paraId="715E8BB1" w14:textId="2FE9D03B" w:rsidR="00B67038" w:rsidRPr="00781112" w:rsidRDefault="00B67038" w:rsidP="00B02B95">
            <w:pPr>
              <w:jc w:val="center"/>
              <w:rPr>
                <w:rFonts w:cs="Arial"/>
                <w:b/>
                <w:color w:val="000000" w:themeColor="text1"/>
                <w:szCs w:val="16"/>
              </w:rPr>
            </w:pPr>
            <w:r w:rsidRPr="00781112">
              <w:rPr>
                <w:rFonts w:cs="Arial"/>
                <w:b/>
                <w:color w:val="000000" w:themeColor="text1"/>
                <w:szCs w:val="16"/>
              </w:rPr>
              <w:t>Slippage</w:t>
            </w:r>
          </w:p>
        </w:tc>
      </w:tr>
      <w:tr w:rsidR="005C29F8" w:rsidRPr="00781112" w14:paraId="2526E003" w14:textId="5321EBA7" w:rsidTr="0033429D">
        <w:trPr>
          <w:trHeight w:val="365"/>
        </w:trPr>
        <w:tc>
          <w:tcPr>
            <w:tcW w:w="625" w:type="pct"/>
            <w:shd w:val="clear" w:color="auto" w:fill="auto"/>
            <w:vAlign w:val="center"/>
          </w:tcPr>
          <w:p w14:paraId="4322DAA7" w14:textId="775B971A" w:rsidR="00C66181" w:rsidRPr="00781112" w:rsidRDefault="00C66181" w:rsidP="00C66181">
            <w:pPr>
              <w:rPr>
                <w:rFonts w:cs="Arial"/>
                <w:color w:val="000000" w:themeColor="text1"/>
                <w:szCs w:val="16"/>
              </w:rPr>
            </w:pPr>
            <w:r w:rsidRPr="00781112">
              <w:rPr>
                <w:rFonts w:cs="Arial"/>
                <w:color w:val="000000" w:themeColor="text1"/>
                <w:szCs w:val="16"/>
              </w:rPr>
              <w:t>A. Enrolled in higher education (1)</w:t>
            </w:r>
          </w:p>
        </w:tc>
        <w:tc>
          <w:tcPr>
            <w:tcW w:w="625" w:type="pct"/>
            <w:shd w:val="clear" w:color="auto" w:fill="auto"/>
            <w:vAlign w:val="center"/>
          </w:tcPr>
          <w:p w14:paraId="2B2B0998" w14:textId="349D0F93" w:rsidR="00C66181" w:rsidRPr="00781112" w:rsidRDefault="002B7490" w:rsidP="00A018D4">
            <w:pPr>
              <w:jc w:val="center"/>
              <w:rPr>
                <w:rFonts w:cs="Arial"/>
                <w:color w:val="000000" w:themeColor="text1"/>
                <w:szCs w:val="16"/>
              </w:rPr>
            </w:pPr>
            <w:r w:rsidRPr="00781112">
              <w:rPr>
                <w:rFonts w:cs="Arial"/>
                <w:color w:val="000000" w:themeColor="text1"/>
                <w:szCs w:val="16"/>
              </w:rPr>
              <w:t>979</w:t>
            </w:r>
          </w:p>
        </w:tc>
        <w:tc>
          <w:tcPr>
            <w:tcW w:w="625" w:type="pct"/>
            <w:shd w:val="clear" w:color="auto" w:fill="auto"/>
            <w:vAlign w:val="center"/>
          </w:tcPr>
          <w:p w14:paraId="2D1BC64A" w14:textId="15C5A024" w:rsidR="00C66181" w:rsidRPr="00781112" w:rsidRDefault="002B7490" w:rsidP="00A018D4">
            <w:pPr>
              <w:jc w:val="center"/>
              <w:rPr>
                <w:rFonts w:cs="Arial"/>
                <w:color w:val="000000" w:themeColor="text1"/>
                <w:szCs w:val="16"/>
              </w:rPr>
            </w:pPr>
            <w:r w:rsidRPr="00781112">
              <w:rPr>
                <w:rFonts w:cs="Arial"/>
                <w:color w:val="000000" w:themeColor="text1"/>
                <w:szCs w:val="16"/>
              </w:rPr>
              <w:t>3,031</w:t>
            </w:r>
          </w:p>
        </w:tc>
        <w:tc>
          <w:tcPr>
            <w:tcW w:w="625" w:type="pct"/>
            <w:shd w:val="clear" w:color="auto" w:fill="auto"/>
            <w:vAlign w:val="center"/>
          </w:tcPr>
          <w:p w14:paraId="3243FB0B" w14:textId="028EEEBB" w:rsidR="00C66181" w:rsidRPr="00781112" w:rsidRDefault="002B7490" w:rsidP="00A018D4">
            <w:pPr>
              <w:jc w:val="center"/>
              <w:rPr>
                <w:rFonts w:cs="Arial"/>
                <w:color w:val="000000" w:themeColor="text1"/>
                <w:szCs w:val="16"/>
              </w:rPr>
            </w:pPr>
            <w:r w:rsidRPr="00781112">
              <w:rPr>
                <w:rFonts w:cs="Arial"/>
                <w:color w:val="000000" w:themeColor="text1"/>
                <w:szCs w:val="16"/>
              </w:rPr>
              <w:t>34.79%</w:t>
            </w:r>
          </w:p>
        </w:tc>
        <w:tc>
          <w:tcPr>
            <w:tcW w:w="625" w:type="pct"/>
            <w:shd w:val="clear" w:color="auto" w:fill="auto"/>
            <w:vAlign w:val="center"/>
          </w:tcPr>
          <w:p w14:paraId="7BCB140B" w14:textId="02D0AFDC" w:rsidR="00C66181" w:rsidRPr="00781112" w:rsidRDefault="002B7490" w:rsidP="00A018D4">
            <w:pPr>
              <w:jc w:val="center"/>
              <w:rPr>
                <w:rFonts w:cs="Arial"/>
                <w:color w:val="000000" w:themeColor="text1"/>
                <w:szCs w:val="16"/>
              </w:rPr>
            </w:pPr>
            <w:r w:rsidRPr="00781112">
              <w:rPr>
                <w:rFonts w:cs="Arial"/>
                <w:color w:val="000000" w:themeColor="text1"/>
                <w:szCs w:val="16"/>
              </w:rPr>
              <w:t>34.00%</w:t>
            </w:r>
          </w:p>
        </w:tc>
        <w:tc>
          <w:tcPr>
            <w:tcW w:w="625" w:type="pct"/>
            <w:shd w:val="clear" w:color="auto" w:fill="auto"/>
            <w:vAlign w:val="center"/>
          </w:tcPr>
          <w:p w14:paraId="0D6600A4" w14:textId="4E0FD8C8" w:rsidR="00C66181" w:rsidRPr="00781112" w:rsidRDefault="002B7490" w:rsidP="00A018D4">
            <w:pPr>
              <w:jc w:val="center"/>
              <w:rPr>
                <w:rFonts w:cs="Arial"/>
                <w:color w:val="000000" w:themeColor="text1"/>
                <w:szCs w:val="16"/>
              </w:rPr>
            </w:pPr>
            <w:r w:rsidRPr="00781112">
              <w:rPr>
                <w:rFonts w:cs="Arial"/>
                <w:color w:val="000000" w:themeColor="text1"/>
                <w:szCs w:val="16"/>
              </w:rPr>
              <w:t>32.30%</w:t>
            </w:r>
          </w:p>
        </w:tc>
        <w:tc>
          <w:tcPr>
            <w:tcW w:w="625" w:type="pct"/>
            <w:shd w:val="clear" w:color="auto" w:fill="auto"/>
            <w:vAlign w:val="center"/>
          </w:tcPr>
          <w:p w14:paraId="3C766484" w14:textId="7B272BC5"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575A444D" w14:textId="78F1C14C" w:rsidR="00C66181"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490D8194" w14:textId="3CFB279F" w:rsidTr="0033429D">
        <w:trPr>
          <w:trHeight w:val="365"/>
        </w:trPr>
        <w:tc>
          <w:tcPr>
            <w:tcW w:w="625" w:type="pct"/>
            <w:shd w:val="clear" w:color="auto" w:fill="auto"/>
            <w:vAlign w:val="center"/>
          </w:tcPr>
          <w:p w14:paraId="64A6757D" w14:textId="0FC0A9B9" w:rsidR="00C66181" w:rsidRPr="00781112" w:rsidRDefault="00C66181" w:rsidP="00C66181">
            <w:pPr>
              <w:rPr>
                <w:rFonts w:cs="Arial"/>
                <w:color w:val="000000" w:themeColor="text1"/>
                <w:szCs w:val="16"/>
              </w:rPr>
            </w:pPr>
            <w:r w:rsidRPr="00781112">
              <w:rPr>
                <w:rFonts w:cs="Arial"/>
                <w:color w:val="000000" w:themeColor="text1"/>
                <w:szCs w:val="16"/>
              </w:rPr>
              <w:t>B. Enrolled in higher education or competitively employed within one year of leaving high school (1 +2)</w:t>
            </w:r>
          </w:p>
        </w:tc>
        <w:tc>
          <w:tcPr>
            <w:tcW w:w="625" w:type="pct"/>
            <w:shd w:val="clear" w:color="auto" w:fill="auto"/>
            <w:vAlign w:val="center"/>
          </w:tcPr>
          <w:p w14:paraId="60F6248F" w14:textId="7EC302DD" w:rsidR="00C66181" w:rsidRPr="00781112" w:rsidRDefault="002B7490" w:rsidP="00A018D4">
            <w:pPr>
              <w:jc w:val="center"/>
              <w:rPr>
                <w:rFonts w:cs="Arial"/>
                <w:color w:val="000000" w:themeColor="text1"/>
                <w:szCs w:val="16"/>
              </w:rPr>
            </w:pPr>
            <w:r w:rsidRPr="00781112">
              <w:rPr>
                <w:rFonts w:cs="Arial"/>
                <w:color w:val="000000" w:themeColor="text1"/>
                <w:szCs w:val="16"/>
              </w:rPr>
              <w:t>2,002</w:t>
            </w:r>
          </w:p>
        </w:tc>
        <w:tc>
          <w:tcPr>
            <w:tcW w:w="625" w:type="pct"/>
            <w:shd w:val="clear" w:color="auto" w:fill="auto"/>
            <w:vAlign w:val="center"/>
          </w:tcPr>
          <w:p w14:paraId="5DE56E38" w14:textId="525AF49A" w:rsidR="00C66181" w:rsidRPr="00781112" w:rsidRDefault="002B7490" w:rsidP="00A018D4">
            <w:pPr>
              <w:jc w:val="center"/>
              <w:rPr>
                <w:rFonts w:cs="Arial"/>
                <w:color w:val="000000" w:themeColor="text1"/>
                <w:szCs w:val="16"/>
              </w:rPr>
            </w:pPr>
            <w:r w:rsidRPr="00781112">
              <w:rPr>
                <w:rFonts w:cs="Arial"/>
                <w:color w:val="000000" w:themeColor="text1"/>
                <w:szCs w:val="16"/>
              </w:rPr>
              <w:t>3,031</w:t>
            </w:r>
          </w:p>
        </w:tc>
        <w:tc>
          <w:tcPr>
            <w:tcW w:w="625" w:type="pct"/>
            <w:shd w:val="clear" w:color="auto" w:fill="auto"/>
            <w:vAlign w:val="center"/>
          </w:tcPr>
          <w:p w14:paraId="7FF1FC54" w14:textId="2A5DA1E3" w:rsidR="00C66181" w:rsidRPr="00781112" w:rsidRDefault="002B7490" w:rsidP="00A018D4">
            <w:pPr>
              <w:jc w:val="center"/>
              <w:rPr>
                <w:rFonts w:cs="Arial"/>
                <w:color w:val="000000" w:themeColor="text1"/>
                <w:szCs w:val="16"/>
              </w:rPr>
            </w:pPr>
            <w:r w:rsidRPr="00781112">
              <w:rPr>
                <w:rFonts w:cs="Arial"/>
                <w:color w:val="000000" w:themeColor="text1"/>
                <w:szCs w:val="16"/>
              </w:rPr>
              <w:t>65.93%</w:t>
            </w:r>
          </w:p>
        </w:tc>
        <w:tc>
          <w:tcPr>
            <w:tcW w:w="625" w:type="pct"/>
            <w:shd w:val="clear" w:color="auto" w:fill="auto"/>
            <w:vAlign w:val="center"/>
          </w:tcPr>
          <w:p w14:paraId="296C6AD3" w14:textId="560D60D3" w:rsidR="00C66181" w:rsidRPr="00781112" w:rsidRDefault="002B7490" w:rsidP="00A018D4">
            <w:pPr>
              <w:jc w:val="center"/>
              <w:rPr>
                <w:rFonts w:cs="Arial"/>
                <w:color w:val="000000" w:themeColor="text1"/>
                <w:szCs w:val="16"/>
              </w:rPr>
            </w:pPr>
            <w:r w:rsidRPr="00781112">
              <w:rPr>
                <w:rFonts w:cs="Arial"/>
                <w:color w:val="000000" w:themeColor="text1"/>
                <w:szCs w:val="16"/>
              </w:rPr>
              <w:t>74.00%</w:t>
            </w:r>
          </w:p>
        </w:tc>
        <w:tc>
          <w:tcPr>
            <w:tcW w:w="625" w:type="pct"/>
            <w:shd w:val="clear" w:color="auto" w:fill="auto"/>
            <w:vAlign w:val="center"/>
          </w:tcPr>
          <w:p w14:paraId="54BDC44C" w14:textId="0AE0B920" w:rsidR="00C66181" w:rsidRPr="00781112" w:rsidRDefault="002B7490" w:rsidP="00A018D4">
            <w:pPr>
              <w:jc w:val="center"/>
              <w:rPr>
                <w:rFonts w:cs="Arial"/>
                <w:color w:val="000000" w:themeColor="text1"/>
                <w:szCs w:val="16"/>
              </w:rPr>
            </w:pPr>
            <w:r w:rsidRPr="00781112">
              <w:rPr>
                <w:rFonts w:cs="Arial"/>
                <w:color w:val="000000" w:themeColor="text1"/>
                <w:szCs w:val="16"/>
              </w:rPr>
              <w:t>66.05%</w:t>
            </w:r>
          </w:p>
        </w:tc>
        <w:tc>
          <w:tcPr>
            <w:tcW w:w="625" w:type="pct"/>
            <w:shd w:val="clear" w:color="auto" w:fill="auto"/>
            <w:vAlign w:val="center"/>
          </w:tcPr>
          <w:p w14:paraId="48B49570" w14:textId="038E3826"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0A2BDCF3" w14:textId="3B0044C6" w:rsidR="00C6618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493DA09A" w14:textId="4FC8161E" w:rsidTr="0033429D">
        <w:trPr>
          <w:trHeight w:val="365"/>
        </w:trPr>
        <w:tc>
          <w:tcPr>
            <w:tcW w:w="625" w:type="pct"/>
            <w:shd w:val="clear" w:color="auto" w:fill="auto"/>
            <w:vAlign w:val="center"/>
          </w:tcPr>
          <w:p w14:paraId="3D517963" w14:textId="6D3BD99F" w:rsidR="00C66181" w:rsidRPr="00781112" w:rsidRDefault="00C66181" w:rsidP="00C66181">
            <w:pPr>
              <w:rPr>
                <w:rFonts w:cs="Arial"/>
                <w:color w:val="000000" w:themeColor="text1"/>
                <w:szCs w:val="16"/>
              </w:rPr>
            </w:pPr>
            <w:r w:rsidRPr="00781112">
              <w:rPr>
                <w:rFonts w:cs="Arial"/>
                <w:color w:val="000000" w:themeColor="text1"/>
                <w:szCs w:val="16"/>
              </w:rPr>
              <w:t>C. Enrolled in higher education, or in some other postsecondary education or training program; or competitively employed or in some other employment (1+2+3+4)</w:t>
            </w:r>
          </w:p>
        </w:tc>
        <w:tc>
          <w:tcPr>
            <w:tcW w:w="625" w:type="pct"/>
            <w:shd w:val="clear" w:color="auto" w:fill="auto"/>
            <w:vAlign w:val="center"/>
          </w:tcPr>
          <w:p w14:paraId="79AA91FE" w14:textId="0803E2EE" w:rsidR="00C66181" w:rsidRPr="00781112" w:rsidRDefault="002B7490" w:rsidP="00A018D4">
            <w:pPr>
              <w:jc w:val="center"/>
              <w:rPr>
                <w:rFonts w:cs="Arial"/>
                <w:color w:val="000000" w:themeColor="text1"/>
                <w:szCs w:val="16"/>
              </w:rPr>
            </w:pPr>
            <w:r w:rsidRPr="00781112">
              <w:rPr>
                <w:rFonts w:cs="Arial"/>
                <w:color w:val="000000" w:themeColor="text1"/>
                <w:szCs w:val="16"/>
              </w:rPr>
              <w:t>2,663</w:t>
            </w:r>
          </w:p>
        </w:tc>
        <w:tc>
          <w:tcPr>
            <w:tcW w:w="625" w:type="pct"/>
            <w:shd w:val="clear" w:color="auto" w:fill="auto"/>
            <w:vAlign w:val="center"/>
          </w:tcPr>
          <w:p w14:paraId="1FAFC4F9" w14:textId="70DE7F33" w:rsidR="00C66181" w:rsidRPr="00781112" w:rsidRDefault="002B7490" w:rsidP="00A018D4">
            <w:pPr>
              <w:jc w:val="center"/>
              <w:rPr>
                <w:rFonts w:cs="Arial"/>
                <w:color w:val="000000" w:themeColor="text1"/>
                <w:szCs w:val="16"/>
              </w:rPr>
            </w:pPr>
            <w:r w:rsidRPr="00781112">
              <w:rPr>
                <w:rFonts w:cs="Arial"/>
                <w:color w:val="000000" w:themeColor="text1"/>
                <w:szCs w:val="16"/>
              </w:rPr>
              <w:t>3,031</w:t>
            </w:r>
          </w:p>
        </w:tc>
        <w:tc>
          <w:tcPr>
            <w:tcW w:w="625" w:type="pct"/>
            <w:shd w:val="clear" w:color="auto" w:fill="auto"/>
            <w:vAlign w:val="center"/>
          </w:tcPr>
          <w:p w14:paraId="5FB73F1B" w14:textId="26275AAA" w:rsidR="00C66181" w:rsidRPr="00781112" w:rsidRDefault="002B7490" w:rsidP="00A018D4">
            <w:pPr>
              <w:jc w:val="center"/>
              <w:rPr>
                <w:rFonts w:cs="Arial"/>
                <w:color w:val="000000" w:themeColor="text1"/>
                <w:szCs w:val="16"/>
              </w:rPr>
            </w:pPr>
            <w:r w:rsidRPr="00781112">
              <w:rPr>
                <w:rFonts w:cs="Arial"/>
                <w:color w:val="000000" w:themeColor="text1"/>
                <w:szCs w:val="16"/>
              </w:rPr>
              <w:t>88.82%</w:t>
            </w:r>
          </w:p>
        </w:tc>
        <w:tc>
          <w:tcPr>
            <w:tcW w:w="625" w:type="pct"/>
            <w:shd w:val="clear" w:color="auto" w:fill="auto"/>
            <w:vAlign w:val="center"/>
          </w:tcPr>
          <w:p w14:paraId="3A75A593" w14:textId="74B21849" w:rsidR="00C66181" w:rsidRPr="00781112" w:rsidRDefault="002B7490" w:rsidP="00A018D4">
            <w:pPr>
              <w:jc w:val="center"/>
              <w:rPr>
                <w:rFonts w:cs="Arial"/>
                <w:color w:val="000000" w:themeColor="text1"/>
                <w:szCs w:val="16"/>
              </w:rPr>
            </w:pPr>
            <w:r w:rsidRPr="00781112">
              <w:rPr>
                <w:rFonts w:cs="Arial"/>
                <w:color w:val="000000" w:themeColor="text1"/>
                <w:szCs w:val="16"/>
              </w:rPr>
              <w:t>90.00%</w:t>
            </w:r>
          </w:p>
        </w:tc>
        <w:tc>
          <w:tcPr>
            <w:tcW w:w="625" w:type="pct"/>
            <w:shd w:val="clear" w:color="auto" w:fill="auto"/>
            <w:vAlign w:val="center"/>
          </w:tcPr>
          <w:p w14:paraId="6D78DA3F" w14:textId="61DB3CB1" w:rsidR="00C66181" w:rsidRPr="00781112" w:rsidRDefault="002B7490" w:rsidP="00A018D4">
            <w:pPr>
              <w:jc w:val="center"/>
              <w:rPr>
                <w:rFonts w:cs="Arial"/>
                <w:color w:val="000000" w:themeColor="text1"/>
                <w:szCs w:val="16"/>
              </w:rPr>
            </w:pPr>
            <w:r w:rsidRPr="00781112">
              <w:rPr>
                <w:rFonts w:cs="Arial"/>
                <w:color w:val="000000" w:themeColor="text1"/>
                <w:szCs w:val="16"/>
              </w:rPr>
              <w:t>87.86%</w:t>
            </w:r>
          </w:p>
        </w:tc>
        <w:tc>
          <w:tcPr>
            <w:tcW w:w="625" w:type="pct"/>
            <w:shd w:val="clear" w:color="auto" w:fill="auto"/>
            <w:vAlign w:val="center"/>
          </w:tcPr>
          <w:p w14:paraId="6E5BDC78" w14:textId="48EDE622"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4A054D72" w14:textId="19B24E43" w:rsidR="00C6618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A5381A2" w14:textId="3787227C" w:rsidR="001773E7" w:rsidRPr="00781112" w:rsidRDefault="001773E7" w:rsidP="00C66181">
      <w:pPr>
        <w:rPr>
          <w:rFonts w:cs="Arial"/>
          <w:i/>
          <w:color w:val="000000" w:themeColor="text1"/>
          <w:szCs w:val="16"/>
        </w:rPr>
      </w:pPr>
    </w:p>
    <w:tbl>
      <w:tblPr>
        <w:tblStyle w:val="TableGrid"/>
        <w:tblW w:w="10795" w:type="dxa"/>
        <w:shd w:val="clear" w:color="auto" w:fill="FBD4B4" w:themeFill="accent6" w:themeFillTint="66"/>
        <w:tblLook w:val="04A0" w:firstRow="1" w:lastRow="0" w:firstColumn="1" w:lastColumn="0" w:noHBand="0" w:noVBand="1"/>
        <w:tblCaption w:val="B14SLIPEXPLN"/>
      </w:tblPr>
      <w:tblGrid>
        <w:gridCol w:w="715"/>
        <w:gridCol w:w="10080"/>
      </w:tblGrid>
      <w:tr w:rsidR="005C29F8" w:rsidRPr="00781112" w14:paraId="049EEA4C" w14:textId="77777777" w:rsidTr="003138F9">
        <w:trPr>
          <w:tblHeader/>
        </w:trPr>
        <w:tc>
          <w:tcPr>
            <w:tcW w:w="715" w:type="dxa"/>
            <w:vAlign w:val="bottom"/>
          </w:tcPr>
          <w:p w14:paraId="2E1368A0" w14:textId="77777777" w:rsidR="001773E7" w:rsidRPr="00781112" w:rsidRDefault="001773E7" w:rsidP="004369B2">
            <w:pPr>
              <w:jc w:val="center"/>
              <w:rPr>
                <w:color w:val="000000" w:themeColor="text1"/>
              </w:rPr>
            </w:pPr>
            <w:r w:rsidRPr="00781112">
              <w:rPr>
                <w:b/>
                <w:color w:val="000000" w:themeColor="text1"/>
              </w:rPr>
              <w:lastRenderedPageBreak/>
              <w:t>Part</w:t>
            </w:r>
          </w:p>
        </w:tc>
        <w:tc>
          <w:tcPr>
            <w:tcW w:w="10080" w:type="dxa"/>
            <w:shd w:val="clear" w:color="auto" w:fill="auto"/>
          </w:tcPr>
          <w:p w14:paraId="39A18603" w14:textId="77777777" w:rsidR="001773E7" w:rsidRPr="00781112" w:rsidRDefault="001773E7" w:rsidP="004369B2">
            <w:pPr>
              <w:jc w:val="center"/>
              <w:rPr>
                <w:color w:val="000000" w:themeColor="text1"/>
              </w:rPr>
            </w:pPr>
            <w:r w:rsidRPr="00781112">
              <w:rPr>
                <w:b/>
                <w:color w:val="000000" w:themeColor="text1"/>
              </w:rPr>
              <w:t>Reasons for slippage, if applicable</w:t>
            </w:r>
          </w:p>
        </w:tc>
      </w:tr>
      <w:tr w:rsidR="005C29F8" w:rsidRPr="00781112" w14:paraId="3F4E853C" w14:textId="77777777" w:rsidTr="009E40E1">
        <w:tc>
          <w:tcPr>
            <w:tcW w:w="715" w:type="dxa"/>
            <w:vAlign w:val="center"/>
          </w:tcPr>
          <w:p w14:paraId="5F8F2AD7" w14:textId="77777777" w:rsidR="001773E7" w:rsidRPr="00781112" w:rsidRDefault="001773E7" w:rsidP="004369B2">
            <w:pPr>
              <w:jc w:val="center"/>
              <w:rPr>
                <w:b/>
                <w:color w:val="000000" w:themeColor="text1"/>
              </w:rPr>
            </w:pPr>
            <w:r w:rsidRPr="00781112">
              <w:rPr>
                <w:b/>
                <w:color w:val="000000" w:themeColor="text1"/>
              </w:rPr>
              <w:t>A</w:t>
            </w:r>
          </w:p>
        </w:tc>
        <w:tc>
          <w:tcPr>
            <w:tcW w:w="10080" w:type="dxa"/>
            <w:shd w:val="clear" w:color="auto" w:fill="auto"/>
          </w:tcPr>
          <w:p w14:paraId="126B7404" w14:textId="7F4A2633" w:rsidR="001773E7" w:rsidRPr="00781112" w:rsidRDefault="001773E7" w:rsidP="004369B2">
            <w:pPr>
              <w:rPr>
                <w:color w:val="000000" w:themeColor="text1"/>
              </w:rPr>
            </w:pPr>
            <w:r w:rsidRPr="00781112">
              <w:rPr>
                <w:rFonts w:cs="Arial"/>
                <w:color w:val="000000" w:themeColor="text1"/>
                <w:szCs w:val="16"/>
              </w:rPr>
              <w:t xml:space="preserve">Students in Louisiana, including students with disabilities, can pursue two pathways to a Louisiana high school diploma, either the TOPS University diploma or a Jump Start TOPS Tech (Career) diploma. The TOPS University diploma pathway prepares students for four-year colleges and universities. The Jump Start TOPS Tech (Career) diploma pathway equips students with the skills and industry-valued credentials, or Industry Based Certifications (IBC), to move into a chosen industry after high school. With the implementation of the Jump Start diploma, the State has seen an increase in students pursuing this diploma pathway. Jump Start students graduate high school prepared to secure a high-wage job and attend a technical or community college. Additionally, school systems can develop Jump Start pathways for careers specific to their geographic location. </w:t>
            </w:r>
          </w:p>
        </w:tc>
      </w:tr>
    </w:tbl>
    <w:p w14:paraId="51D07FD2" w14:textId="77777777" w:rsidR="005D6713" w:rsidRPr="00781112" w:rsidRDefault="005D6713" w:rsidP="005D6713">
      <w:pPr>
        <w:rPr>
          <w:rFonts w:cs="Arial"/>
          <w:b/>
          <w:color w:val="000000" w:themeColor="text1"/>
          <w:szCs w:val="16"/>
        </w:rPr>
      </w:pPr>
    </w:p>
    <w:p w14:paraId="2B9D1101" w14:textId="12285E81" w:rsidR="00C95094" w:rsidRPr="00781112" w:rsidRDefault="0077712B" w:rsidP="00C66181">
      <w:pPr>
        <w:rPr>
          <w:rFonts w:cs="Arial"/>
          <w:b/>
          <w:color w:val="000000" w:themeColor="text1"/>
          <w:szCs w:val="16"/>
        </w:rPr>
      </w:pPr>
      <w:r w:rsidRPr="00781112">
        <w:rPr>
          <w:rFonts w:cs="Arial"/>
          <w:b/>
          <w:color w:val="000000" w:themeColor="text1"/>
          <w:szCs w:val="16"/>
        </w:rPr>
        <w:t xml:space="preserve">Please select the reporting option your State is using: </w:t>
      </w:r>
    </w:p>
    <w:p w14:paraId="5C46FD26" w14:textId="5673980D" w:rsidR="000070D5" w:rsidRPr="00781112" w:rsidRDefault="002B7490" w:rsidP="00C66181">
      <w:pPr>
        <w:rPr>
          <w:rFonts w:cs="Arial"/>
          <w:color w:val="000000" w:themeColor="text1"/>
          <w:szCs w:val="16"/>
        </w:rPr>
      </w:pPr>
      <w:r w:rsidRPr="00781112">
        <w:rPr>
          <w:rFonts w:cs="Arial"/>
          <w:color w:val="000000" w:themeColor="text1"/>
          <w:szCs w:val="16"/>
        </w:rPr>
        <w:t>Option 2: Report in alignment with the term “competitive integrated employment” and its definition, in section 7(5) of the Rehabilitation Act, as amended by Workforce Innovation and Opportunity Act (WIOA), and 34 CFR §361.5(c)(9). For the purpose of defining the rate of compensation for students working on a “part-time basis” under this category, OSEP maintains the standard of 20 hours a week for at least 90 days at any time in the year since leaving high school. This definition applies to military employment.</w:t>
      </w:r>
    </w:p>
    <w:p w14:paraId="6A816945" w14:textId="687D218F" w:rsidR="00090132" w:rsidRDefault="00090132" w:rsidP="00C66181">
      <w:pPr>
        <w:rPr>
          <w:rFonts w:cs="Arial"/>
          <w:color w:val="000000" w:themeColor="text1"/>
          <w:szCs w:val="16"/>
        </w:rPr>
      </w:pPr>
    </w:p>
    <w:p w14:paraId="18E71DFF" w14:textId="77777777" w:rsidR="00090132" w:rsidRPr="00E578E2" w:rsidRDefault="00090132" w:rsidP="00090132">
      <w:pPr>
        <w:rPr>
          <w:rFonts w:cs="Arial"/>
          <w:b/>
          <w:bCs/>
          <w:szCs w:val="16"/>
        </w:rPr>
      </w:pPr>
      <w:r w:rsidRPr="00E578E2">
        <w:rPr>
          <w:rFonts w:cs="Arial"/>
          <w:b/>
          <w:bCs/>
          <w:szCs w:val="16"/>
        </w:rPr>
        <w:t>Response Rate</w:t>
      </w:r>
    </w:p>
    <w:tbl>
      <w:tblPr>
        <w:tblStyle w:val="TableGrid"/>
        <w:tblW w:w="0" w:type="auto"/>
        <w:tblLook w:val="04A0" w:firstRow="1" w:lastRow="0" w:firstColumn="1" w:lastColumn="0" w:noHBand="0" w:noVBand="1"/>
        <w:tblCaption w:val="B14CFFYRSPRTE"/>
      </w:tblPr>
      <w:tblGrid>
        <w:gridCol w:w="1885"/>
        <w:gridCol w:w="1453"/>
        <w:gridCol w:w="1284"/>
      </w:tblGrid>
      <w:tr w:rsidR="00090132" w:rsidRPr="00353E62" w14:paraId="5280416F" w14:textId="77777777" w:rsidTr="00DF5DC9">
        <w:tc>
          <w:tcPr>
            <w:tcW w:w="1885" w:type="dxa"/>
            <w:shd w:val="clear" w:color="auto" w:fill="auto"/>
          </w:tcPr>
          <w:p w14:paraId="7576786E" w14:textId="77777777" w:rsidR="00090132" w:rsidRPr="008D51F2" w:rsidRDefault="00090132" w:rsidP="00DF5DC9">
            <w:pPr>
              <w:jc w:val="center"/>
              <w:rPr>
                <w:rFonts w:cs="Arial"/>
                <w:b/>
                <w:szCs w:val="16"/>
              </w:rPr>
            </w:pPr>
            <w:r w:rsidRPr="008D51F2">
              <w:rPr>
                <w:rFonts w:cs="Arial"/>
                <w:b/>
                <w:szCs w:val="16"/>
              </w:rPr>
              <w:t>FFY</w:t>
            </w:r>
          </w:p>
        </w:tc>
        <w:tc>
          <w:tcPr>
            <w:tcW w:w="1453" w:type="dxa"/>
            <w:shd w:val="clear" w:color="auto" w:fill="auto"/>
            <w:vAlign w:val="center"/>
          </w:tcPr>
          <w:p w14:paraId="5CF70806" w14:textId="77777777" w:rsidR="00090132" w:rsidRPr="008D51F2" w:rsidRDefault="00090132" w:rsidP="00DF5DC9">
            <w:pPr>
              <w:jc w:val="center"/>
              <w:rPr>
                <w:rFonts w:cs="Arial"/>
                <w:b/>
                <w:szCs w:val="16"/>
              </w:rPr>
            </w:pPr>
            <w:r w:rsidRPr="008D51F2">
              <w:rPr>
                <w:rFonts w:cs="Arial"/>
                <w:b/>
                <w:color w:val="000000" w:themeColor="text1"/>
                <w:szCs w:val="16"/>
              </w:rPr>
              <w:t>2019</w:t>
            </w:r>
          </w:p>
        </w:tc>
        <w:tc>
          <w:tcPr>
            <w:tcW w:w="1284" w:type="dxa"/>
            <w:shd w:val="clear" w:color="auto" w:fill="auto"/>
          </w:tcPr>
          <w:p w14:paraId="0BFBB5F5" w14:textId="77777777" w:rsidR="00090132" w:rsidRPr="008D51F2" w:rsidRDefault="00090132" w:rsidP="00DF5DC9">
            <w:pPr>
              <w:jc w:val="center"/>
              <w:rPr>
                <w:rFonts w:cs="Arial"/>
                <w:b/>
                <w:szCs w:val="16"/>
              </w:rPr>
            </w:pPr>
            <w:r w:rsidRPr="008D51F2">
              <w:rPr>
                <w:rFonts w:cs="Arial"/>
                <w:b/>
                <w:color w:val="000000" w:themeColor="text1"/>
                <w:szCs w:val="16"/>
              </w:rPr>
              <w:t>2020</w:t>
            </w:r>
          </w:p>
        </w:tc>
      </w:tr>
      <w:tr w:rsidR="00090132" w14:paraId="576CCA3B" w14:textId="77777777" w:rsidTr="00DF5DC9">
        <w:tc>
          <w:tcPr>
            <w:tcW w:w="1885" w:type="dxa"/>
            <w:shd w:val="clear" w:color="auto" w:fill="auto"/>
          </w:tcPr>
          <w:p w14:paraId="1D5B1977" w14:textId="77777777" w:rsidR="00090132" w:rsidRPr="008D51F2" w:rsidRDefault="00090132" w:rsidP="00DF5DC9">
            <w:pPr>
              <w:rPr>
                <w:rFonts w:cs="Arial"/>
                <w:szCs w:val="16"/>
              </w:rPr>
            </w:pPr>
            <w:r w:rsidRPr="008D51F2">
              <w:rPr>
                <w:rFonts w:cs="Arial"/>
                <w:szCs w:val="16"/>
              </w:rPr>
              <w:t xml:space="preserve">Response Rate </w:t>
            </w:r>
          </w:p>
        </w:tc>
        <w:tc>
          <w:tcPr>
            <w:tcW w:w="1453" w:type="dxa"/>
            <w:shd w:val="clear" w:color="auto" w:fill="auto"/>
            <w:vAlign w:val="center"/>
          </w:tcPr>
          <w:p w14:paraId="4AECB169" w14:textId="3ECBE4F7" w:rsidR="00090132" w:rsidRPr="008D51F2" w:rsidRDefault="00090132" w:rsidP="00DF5DC9">
            <w:pPr>
              <w:jc w:val="center"/>
              <w:rPr>
                <w:rFonts w:cs="Arial"/>
                <w:szCs w:val="16"/>
              </w:rPr>
            </w:pPr>
            <w:r w:rsidRPr="008D51F2">
              <w:rPr>
                <w:color w:val="000000" w:themeColor="text1"/>
              </w:rPr>
              <w:t>52.59%</w:t>
            </w:r>
          </w:p>
        </w:tc>
        <w:tc>
          <w:tcPr>
            <w:tcW w:w="1284" w:type="dxa"/>
            <w:shd w:val="clear" w:color="auto" w:fill="auto"/>
            <w:vAlign w:val="center"/>
          </w:tcPr>
          <w:p w14:paraId="755EF869" w14:textId="2F1BA7D5" w:rsidR="00090132" w:rsidRPr="008D51F2" w:rsidRDefault="00090132" w:rsidP="00DF5DC9">
            <w:pPr>
              <w:jc w:val="center"/>
              <w:rPr>
                <w:rFonts w:cs="Arial"/>
                <w:szCs w:val="16"/>
              </w:rPr>
            </w:pPr>
            <w:r w:rsidRPr="008D51F2">
              <w:rPr>
                <w:rFonts w:cs="Arial"/>
                <w:color w:val="000000" w:themeColor="text1"/>
                <w:szCs w:val="16"/>
              </w:rPr>
              <w:t>55.85%</w:t>
            </w:r>
          </w:p>
        </w:tc>
      </w:tr>
    </w:tbl>
    <w:p w14:paraId="03971D78" w14:textId="77777777" w:rsidR="00090132" w:rsidRDefault="00090132" w:rsidP="00090132">
      <w:pPr>
        <w:pStyle w:val="Header"/>
        <w:tabs>
          <w:tab w:val="clear" w:pos="4320"/>
          <w:tab w:val="clear" w:pos="8640"/>
        </w:tabs>
        <w:spacing w:before="0"/>
        <w:rPr>
          <w:rFonts w:ascii="Arial" w:hAnsi="Arial" w:cs="Arial"/>
          <w:bCs/>
          <w:sz w:val="16"/>
          <w:szCs w:val="16"/>
          <w:highlight w:val="yellow"/>
        </w:rPr>
      </w:pPr>
    </w:p>
    <w:p w14:paraId="57522483" w14:textId="77777777" w:rsidR="00090132" w:rsidRPr="00002B33" w:rsidRDefault="00090132" w:rsidP="00090132">
      <w:pPr>
        <w:rPr>
          <w:b/>
          <w:bCs/>
        </w:rPr>
      </w:pPr>
      <w:r w:rsidRPr="00002B33">
        <w:rPr>
          <w:b/>
          <w:bCs/>
        </w:rPr>
        <w:t>Describe strategies that will be implemented which are expected to increase the response rate year over year, particularly for those groups that are underrepresented.</w:t>
      </w:r>
    </w:p>
    <w:p w14:paraId="054F9DF8" w14:textId="77777777" w:rsidR="00090132" w:rsidRPr="00B551F2" w:rsidRDefault="00090132" w:rsidP="00090132">
      <w:r w:rsidRPr="00B551F2">
        <w:t xml:space="preserve">The State's Post School Transition survey is provided to school systems. School systems disseminate the survey to post-school youth using their preferred method, and results are collected in the State's Special Education Reporting (SER) system. To increase the response rate year over year, the LDOE will also provide school systems with a QR code for the survey to disseminate to youth who are no longer in high school. Youth who are no longer in school can use the QR code to complete the survey on a mobile device. The SER system is also being enhanced to collect more contact information, such as an email address, to better reach youth who are no longer in school. </w:t>
      </w:r>
      <w:r w:rsidRPr="00B551F2">
        <w:br/>
      </w:r>
      <w:r w:rsidRPr="00B551F2">
        <w:br/>
        <w:t>Furthermore, the LDOE will consider using its Be Engaged Initiative to promote participation in the post school transition survey. Within the initiative, the LDOE uses PimsPoints, a system designed to support and ignite engagement. The post school transition survey can be shared with parents in PimsPoints, who can encourage or assist youth with completing the survey.</w:t>
      </w:r>
    </w:p>
    <w:p w14:paraId="5A6BE78B" w14:textId="77777777" w:rsidR="00090132" w:rsidRPr="00002B33" w:rsidRDefault="00090132" w:rsidP="00090132">
      <w:pPr>
        <w:rPr>
          <w:b/>
          <w:bCs/>
        </w:rPr>
      </w:pPr>
      <w:r w:rsidRPr="00002B33">
        <w:rPr>
          <w:b/>
          <w:bCs/>
        </w:rPr>
        <w:t>Describe the analysis of the response rate including any nonresponse bias that was identified, and the steps taken to reduce any identified bias and promote response from a broad cross section of youth who are no longer in secondary school and had IEPs in effect at the time they left school.</w:t>
      </w:r>
    </w:p>
    <w:p w14:paraId="789E9F07" w14:textId="77777777" w:rsidR="00090132" w:rsidRPr="00B551F2" w:rsidRDefault="00090132" w:rsidP="00090132">
      <w:r w:rsidRPr="00B551F2">
        <w:t>The LDOE collected data and reviewed response rates to determine whether the response group was representative of the demographics of youth who are no longer in secondary school and had IEPs in effect at the time they left school. Specifically, LDOE analyzed survey results by LEA, gender, race / ethnicity and specific disabilities, comparing survey responses to the October 2020 public IDEA student count. LDOE determined the response group was representative of the demographics of youth who are no longer in secondary school and had IEPs in effect at the time they left school.</w:t>
      </w:r>
    </w:p>
    <w:p w14:paraId="7847C015" w14:textId="77777777" w:rsidR="00090132" w:rsidRPr="008D51F2" w:rsidRDefault="00090132" w:rsidP="00090132">
      <w:pPr>
        <w:rPr>
          <w:b/>
          <w:bCs/>
        </w:rPr>
      </w:pPr>
      <w:r w:rsidRPr="008D51F2">
        <w:rPr>
          <w:b/>
          <w:bCs/>
        </w:rPr>
        <w:t>Include the State’s analyses of the extent to which the response data are representative of the demographics of youth who are no longer in secondary school and had IEPs in effect at the time they left school.</w:t>
      </w:r>
    </w:p>
    <w:p w14:paraId="73A0DF3C" w14:textId="77777777" w:rsidR="00090132" w:rsidRPr="00560FEE" w:rsidRDefault="00090132" w:rsidP="00090132">
      <w:r w:rsidRPr="008D51F2">
        <w:t>Louisiana uses a census method to collect data; the State does not sample. School systems disseminate the survey to post-school youth, and results are captured in the State's Special Education Reporting (SER) data system. In FFY 2020, LDOE collected data and reviewed response rates to determine whether the response group was representative of the demographics of youth who are no longer in secondary school and had IEPs in effect at the time they left school. Specifically, LDOE analyzed survey results by LEA, gender, race / ethnicity and specific disabilities, comparing survey responses to the October 2020 public IDEA student count. LDOE determined the response group was representative of the demographics of youth who are no longer in secondary school and had IEPs in effect at the time they left school.</w:t>
      </w:r>
    </w:p>
    <w:p w14:paraId="7DA0F981" w14:textId="77777777" w:rsidR="00090132" w:rsidRPr="005C202C" w:rsidRDefault="00090132" w:rsidP="005C202C">
      <w:pPr>
        <w:rPr>
          <w:b/>
          <w:bCs/>
        </w:rPr>
      </w:pPr>
      <w:r w:rsidRPr="005C202C">
        <w:rPr>
          <w:b/>
          <w:bCs/>
        </w:rPr>
        <w:t>The response data is representative of the demographics of youth who are no longer in school and had IEPs in effect at the time they left school. (yes/no)</w:t>
      </w:r>
    </w:p>
    <w:p w14:paraId="2390BBAE" w14:textId="77777777" w:rsidR="00090132" w:rsidRPr="00560FEE" w:rsidRDefault="00090132" w:rsidP="00090132">
      <w:pPr>
        <w:pStyle w:val="Subhed"/>
        <w:rPr>
          <w:b w:val="0"/>
          <w:bCs/>
        </w:rPr>
      </w:pPr>
      <w:r w:rsidRPr="008D51F2">
        <w:rPr>
          <w:b w:val="0"/>
          <w:bCs/>
        </w:rPr>
        <w:t>YES</w:t>
      </w:r>
    </w:p>
    <w:p w14:paraId="027CD8C2" w14:textId="77777777" w:rsidR="00090132" w:rsidRPr="005C202C" w:rsidRDefault="00090132" w:rsidP="005C202C">
      <w:pPr>
        <w:rPr>
          <w:b/>
          <w:bCs/>
        </w:rPr>
      </w:pPr>
      <w:r w:rsidRPr="005C202C">
        <w:rPr>
          <w:b/>
          <w:bCs/>
        </w:rPr>
        <w:t>If no, describe the strategies that the State will use to ensure that in the future the response data are representative of those demographics.</w:t>
      </w:r>
    </w:p>
    <w:p w14:paraId="0A943617" w14:textId="77777777" w:rsidR="00090132" w:rsidRPr="00560FEE" w:rsidRDefault="00090132" w:rsidP="00090132">
      <w:pPr>
        <w:pStyle w:val="Subhed"/>
        <w:rPr>
          <w:b w:val="0"/>
        </w:rPr>
      </w:pPr>
    </w:p>
    <w:p w14:paraId="72EBB8E4" w14:textId="77777777" w:rsidR="00090132" w:rsidRPr="00560FEE" w:rsidRDefault="00090132" w:rsidP="00090132">
      <w:pPr>
        <w:pStyle w:val="Subhed"/>
        <w:rPr>
          <w:b w:val="0"/>
        </w:rPr>
      </w:pPr>
    </w:p>
    <w:p w14:paraId="5820FDED" w14:textId="77777777" w:rsidR="00090132" w:rsidRPr="005C202C" w:rsidRDefault="00090132" w:rsidP="005C202C">
      <w:pPr>
        <w:rPr>
          <w:b/>
          <w:bCs/>
        </w:rPr>
      </w:pPr>
      <w:r w:rsidRPr="005C202C">
        <w:rPr>
          <w:b/>
          <w:bCs/>
        </w:rPr>
        <w:t>Describe the metric used to determine representativeness (e.g., +/- 3% discrepancy in the proportion of responders compared to target group).</w:t>
      </w:r>
    </w:p>
    <w:p w14:paraId="04BA4870" w14:textId="77777777" w:rsidR="00090132" w:rsidRDefault="00090132" w:rsidP="00090132">
      <w:pPr>
        <w:pStyle w:val="Subhed"/>
        <w:rPr>
          <w:b w:val="0"/>
        </w:rPr>
      </w:pPr>
      <w:r w:rsidRPr="008D51F2">
        <w:rPr>
          <w:b w:val="0"/>
        </w:rPr>
        <w:t>The LDOE analyzed survey results by LEA, gender, race / ethnicity and specific disabilities, comparing survey responses to the October 2020 public IDEA student count. LDOE determined the response group was representative of the demographics of youth who are no longer in secondary school and had IEPs in effect at the time they left school.</w:t>
      </w:r>
    </w:p>
    <w:p w14:paraId="237D4C5C" w14:textId="77777777" w:rsidR="00090132" w:rsidRPr="00781112" w:rsidRDefault="00090132" w:rsidP="00C66181">
      <w:pPr>
        <w:rPr>
          <w:rFonts w:cs="Arial"/>
          <w:color w:val="000000" w:themeColor="text1"/>
          <w:szCs w:val="16"/>
        </w:rPr>
      </w:pPr>
    </w:p>
    <w:tbl>
      <w:tblPr>
        <w:tblStyle w:val="TableGrid"/>
        <w:tblW w:w="0" w:type="auto"/>
        <w:tblLook w:val="04A0" w:firstRow="1" w:lastRow="0" w:firstColumn="1" w:lastColumn="0" w:noHBand="0" w:noVBand="1"/>
        <w:tblCaption w:val="B14SAMPLEUSED"/>
      </w:tblPr>
      <w:tblGrid>
        <w:gridCol w:w="8306"/>
        <w:gridCol w:w="2484"/>
      </w:tblGrid>
      <w:tr w:rsidR="005C29F8" w:rsidRPr="00781112" w14:paraId="10AC36E3" w14:textId="77777777" w:rsidTr="0033429D">
        <w:trPr>
          <w:tblHeader/>
        </w:trPr>
        <w:tc>
          <w:tcPr>
            <w:tcW w:w="8310" w:type="dxa"/>
            <w:tcBorders>
              <w:top w:val="single" w:sz="4" w:space="0" w:color="auto"/>
              <w:left w:val="single" w:sz="4" w:space="0" w:color="auto"/>
            </w:tcBorders>
            <w:shd w:val="clear" w:color="auto" w:fill="auto"/>
          </w:tcPr>
          <w:p w14:paraId="01371920" w14:textId="2568990B" w:rsidR="00763780" w:rsidRPr="00781112" w:rsidRDefault="00CC2002" w:rsidP="008E31C4">
            <w:pPr>
              <w:rPr>
                <w:rFonts w:cs="Arial"/>
                <w:b/>
                <w:bCs/>
                <w:color w:val="000000" w:themeColor="text1"/>
                <w:szCs w:val="16"/>
              </w:rPr>
            </w:pPr>
            <w:r w:rsidRPr="00781112">
              <w:rPr>
                <w:rFonts w:cs="Arial"/>
                <w:b/>
                <w:bCs/>
                <w:color w:val="000000" w:themeColor="text1"/>
                <w:szCs w:val="16"/>
              </w:rPr>
              <w:t>Sampling Question</w:t>
            </w:r>
          </w:p>
        </w:tc>
        <w:tc>
          <w:tcPr>
            <w:tcW w:w="2485" w:type="dxa"/>
            <w:tcBorders>
              <w:top w:val="single" w:sz="4" w:space="0" w:color="auto"/>
            </w:tcBorders>
            <w:shd w:val="clear" w:color="auto" w:fill="auto"/>
          </w:tcPr>
          <w:p w14:paraId="39CB8232" w14:textId="5BE196A9" w:rsidR="00763780" w:rsidRPr="00781112" w:rsidRDefault="00763780"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08903DE" w14:textId="1FE95128" w:rsidTr="0033429D">
        <w:tc>
          <w:tcPr>
            <w:tcW w:w="8310" w:type="dxa"/>
            <w:shd w:val="clear" w:color="auto" w:fill="auto"/>
          </w:tcPr>
          <w:p w14:paraId="0472BB53" w14:textId="55673E5F" w:rsidR="00763780" w:rsidRPr="00781112" w:rsidRDefault="00763780" w:rsidP="008E31C4">
            <w:pPr>
              <w:rPr>
                <w:rFonts w:cs="Arial"/>
                <w:color w:val="000000" w:themeColor="text1"/>
                <w:szCs w:val="16"/>
              </w:rPr>
            </w:pPr>
            <w:r w:rsidRPr="00781112">
              <w:rPr>
                <w:rFonts w:cs="Arial"/>
                <w:color w:val="000000" w:themeColor="text1"/>
                <w:szCs w:val="16"/>
              </w:rPr>
              <w:t xml:space="preserve">Was sampling used? </w:t>
            </w:r>
          </w:p>
        </w:tc>
        <w:tc>
          <w:tcPr>
            <w:tcW w:w="2485" w:type="dxa"/>
            <w:shd w:val="clear" w:color="auto" w:fill="auto"/>
          </w:tcPr>
          <w:p w14:paraId="0BA01DE6" w14:textId="013EE38E" w:rsidR="00763780" w:rsidRPr="00781112" w:rsidRDefault="002B7490" w:rsidP="00A018D4">
            <w:pPr>
              <w:jc w:val="center"/>
              <w:rPr>
                <w:rFonts w:cs="Arial"/>
                <w:color w:val="000000" w:themeColor="text1"/>
                <w:szCs w:val="16"/>
              </w:rPr>
            </w:pPr>
            <w:r w:rsidRPr="00781112">
              <w:rPr>
                <w:rFonts w:cs="Arial"/>
                <w:color w:val="000000" w:themeColor="text1"/>
                <w:szCs w:val="16"/>
              </w:rPr>
              <w:t>NO</w:t>
            </w:r>
          </w:p>
        </w:tc>
      </w:tr>
      <w:tr w:rsidR="005C29F8" w:rsidRPr="00781112" w14:paraId="0E2BC2A3" w14:textId="77777777" w:rsidTr="0033429D">
        <w:trPr>
          <w:tblHeader/>
        </w:trPr>
        <w:tc>
          <w:tcPr>
            <w:tcW w:w="3849" w:type="pct"/>
            <w:tcBorders>
              <w:top w:val="single" w:sz="4" w:space="0" w:color="auto"/>
              <w:left w:val="single" w:sz="4" w:space="0" w:color="auto"/>
            </w:tcBorders>
            <w:shd w:val="clear" w:color="auto" w:fill="auto"/>
          </w:tcPr>
          <w:p w14:paraId="2EA51A3E" w14:textId="6A33A9D8" w:rsidR="00BC4655" w:rsidRPr="00781112" w:rsidRDefault="00CC2002" w:rsidP="008E31C4">
            <w:pPr>
              <w:rPr>
                <w:rFonts w:cs="Arial"/>
                <w:b/>
                <w:bCs/>
                <w:color w:val="000000" w:themeColor="text1"/>
                <w:szCs w:val="16"/>
              </w:rPr>
            </w:pPr>
            <w:r w:rsidRPr="00781112">
              <w:rPr>
                <w:rFonts w:cs="Arial"/>
                <w:b/>
                <w:bCs/>
                <w:color w:val="000000" w:themeColor="text1"/>
                <w:szCs w:val="16"/>
              </w:rPr>
              <w:t>Survey Question</w:t>
            </w:r>
          </w:p>
        </w:tc>
        <w:tc>
          <w:tcPr>
            <w:tcW w:w="1151" w:type="pct"/>
            <w:tcBorders>
              <w:top w:val="single" w:sz="4" w:space="0" w:color="auto"/>
            </w:tcBorders>
            <w:shd w:val="clear" w:color="auto" w:fill="auto"/>
          </w:tcPr>
          <w:p w14:paraId="0EEC81FC" w14:textId="73C14A3F" w:rsidR="00BC4655" w:rsidRPr="00781112" w:rsidRDefault="00BC465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901B015" w14:textId="2CE4C417" w:rsidTr="0033429D">
        <w:tc>
          <w:tcPr>
            <w:tcW w:w="3849" w:type="pct"/>
            <w:shd w:val="clear" w:color="auto" w:fill="auto"/>
          </w:tcPr>
          <w:p w14:paraId="0856121E" w14:textId="5B1AD843" w:rsidR="00BC4655" w:rsidRPr="00781112" w:rsidRDefault="00BC4655" w:rsidP="008E31C4">
            <w:pPr>
              <w:rPr>
                <w:rFonts w:cs="Arial"/>
                <w:color w:val="000000" w:themeColor="text1"/>
                <w:szCs w:val="16"/>
              </w:rPr>
            </w:pPr>
            <w:r w:rsidRPr="00781112">
              <w:rPr>
                <w:rFonts w:cs="Arial"/>
                <w:color w:val="000000" w:themeColor="text1"/>
                <w:szCs w:val="16"/>
              </w:rPr>
              <w:t xml:space="preserve">Was a survey used? </w:t>
            </w:r>
          </w:p>
        </w:tc>
        <w:tc>
          <w:tcPr>
            <w:tcW w:w="1151" w:type="pct"/>
            <w:shd w:val="clear" w:color="auto" w:fill="auto"/>
          </w:tcPr>
          <w:p w14:paraId="47AE85B8" w14:textId="2FE77A74" w:rsidR="00BC465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649D8839" w14:textId="3AAB3A92" w:rsidTr="0033429D">
        <w:tc>
          <w:tcPr>
            <w:tcW w:w="3849" w:type="pct"/>
            <w:shd w:val="clear" w:color="auto" w:fill="auto"/>
          </w:tcPr>
          <w:p w14:paraId="56C87E2E" w14:textId="1890EBD8" w:rsidR="00BC4655" w:rsidRPr="00781112" w:rsidRDefault="003805D3" w:rsidP="008E31C4">
            <w:pPr>
              <w:rPr>
                <w:rFonts w:cs="Arial"/>
                <w:color w:val="000000" w:themeColor="text1"/>
                <w:szCs w:val="16"/>
              </w:rPr>
            </w:pPr>
            <w:r w:rsidRPr="00781112">
              <w:rPr>
                <w:rFonts w:cs="Arial"/>
                <w:color w:val="000000" w:themeColor="text1"/>
                <w:szCs w:val="16"/>
              </w:rPr>
              <w:t>If yes, is it a new or revised survey?</w:t>
            </w:r>
          </w:p>
        </w:tc>
        <w:tc>
          <w:tcPr>
            <w:tcW w:w="1151" w:type="pct"/>
            <w:shd w:val="clear" w:color="auto" w:fill="auto"/>
          </w:tcPr>
          <w:p w14:paraId="53803AF8" w14:textId="54EB33AD" w:rsidR="00BC465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62361D73" w14:textId="77777777" w:rsidR="00644AC8" w:rsidRPr="00781112" w:rsidRDefault="00644AC8" w:rsidP="00644AC8">
      <w:pPr>
        <w:rPr>
          <w:rFonts w:cs="Arial"/>
          <w:b/>
          <w:color w:val="000000" w:themeColor="text1"/>
          <w:szCs w:val="16"/>
        </w:rPr>
      </w:pPr>
      <w:bookmarkStart w:id="79" w:name="_Toc382082390"/>
      <w:bookmarkStart w:id="80" w:name="_Toc392159339"/>
      <w:r w:rsidRPr="00781112">
        <w:rPr>
          <w:rFonts w:cs="Arial"/>
          <w:b/>
          <w:color w:val="000000" w:themeColor="text1"/>
          <w:szCs w:val="16"/>
        </w:rPr>
        <w:t>Provide additional information about this indicator (optional)</w:t>
      </w:r>
    </w:p>
    <w:p w14:paraId="30BD41D2" w14:textId="40D58B63" w:rsidR="00293C7E" w:rsidRPr="00781112" w:rsidRDefault="002B7490" w:rsidP="007D435F">
      <w:pPr>
        <w:rPr>
          <w:rFonts w:cs="Arial"/>
          <w:color w:val="000000" w:themeColor="text1"/>
          <w:szCs w:val="16"/>
        </w:rPr>
      </w:pPr>
      <w:r w:rsidRPr="00781112">
        <w:rPr>
          <w:rFonts w:cs="Arial"/>
          <w:color w:val="000000" w:themeColor="text1"/>
          <w:szCs w:val="16"/>
        </w:rPr>
        <w:lastRenderedPageBreak/>
        <w:t>Louisiana's Post School Transition survey: https://louisianabelieves.com/docs/default-source/academics/post-school-transition-survey.pdf?sfvrsn=17909b1f_4</w:t>
      </w:r>
    </w:p>
    <w:p w14:paraId="7B9DDAF2" w14:textId="6AA9F8CA" w:rsidR="000A2C83" w:rsidRPr="00781112" w:rsidRDefault="00172058" w:rsidP="00123D76">
      <w:pPr>
        <w:pStyle w:val="Heading2"/>
      </w:pPr>
      <w:r w:rsidRPr="00781112">
        <w:t>14</w:t>
      </w:r>
      <w:r w:rsidR="001D508D" w:rsidRPr="00781112">
        <w:t xml:space="preserve"> </w:t>
      </w:r>
      <w:r w:rsidRPr="00781112">
        <w:t xml:space="preserve">- </w:t>
      </w:r>
      <w:r w:rsidR="000A2C83" w:rsidRPr="00781112">
        <w:t>Prior FFY Required Actions</w:t>
      </w:r>
    </w:p>
    <w:p w14:paraId="3812AD37" w14:textId="58CBF83D" w:rsidR="009F69E7" w:rsidRPr="00781112" w:rsidRDefault="002B7490" w:rsidP="000A2C83">
      <w:pPr>
        <w:rPr>
          <w:rFonts w:cs="Arial"/>
          <w:color w:val="000000" w:themeColor="text1"/>
          <w:szCs w:val="16"/>
        </w:rPr>
      </w:pPr>
      <w:r w:rsidRPr="00781112">
        <w:rPr>
          <w:rFonts w:cs="Arial"/>
          <w:color w:val="000000" w:themeColor="text1"/>
          <w:szCs w:val="16"/>
        </w:rPr>
        <w:t>None</w:t>
      </w:r>
    </w:p>
    <w:p w14:paraId="5408D9B6" w14:textId="3CB80FFF"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59CF3C2B" w14:textId="15BA3B7F" w:rsidR="00644AC8" w:rsidRPr="00781112" w:rsidRDefault="00172058" w:rsidP="00123D76">
      <w:pPr>
        <w:pStyle w:val="Heading2"/>
      </w:pPr>
      <w:r w:rsidRPr="00781112">
        <w:t>14 - OSEP Response</w:t>
      </w:r>
    </w:p>
    <w:p w14:paraId="29D70E23" w14:textId="165DA616" w:rsidR="00293C7E" w:rsidRPr="00781112" w:rsidRDefault="002B7490" w:rsidP="001F692C">
      <w:pPr>
        <w:rPr>
          <w:rFonts w:cs="Arial"/>
          <w:color w:val="000000" w:themeColor="text1"/>
          <w:szCs w:val="16"/>
        </w:rPr>
      </w:pPr>
      <w:r w:rsidRPr="00781112">
        <w:rPr>
          <w:rFonts w:cs="Arial"/>
          <w:color w:val="000000" w:themeColor="text1"/>
          <w:szCs w:val="16"/>
        </w:rPr>
        <w:t>The State provided targets for FFYs 2020 through 2025 for this indicator, and OSEP accepts those targets.</w:t>
      </w:r>
      <w:r w:rsidRPr="00781112">
        <w:rPr>
          <w:rFonts w:cs="Arial"/>
          <w:color w:val="000000" w:themeColor="text1"/>
          <w:szCs w:val="16"/>
        </w:rPr>
        <w:br/>
      </w:r>
      <w:r w:rsidRPr="00781112">
        <w:rPr>
          <w:rFonts w:cs="Arial"/>
          <w:color w:val="000000" w:themeColor="text1"/>
          <w:szCs w:val="16"/>
        </w:rPr>
        <w:br/>
        <w:t>OSEP cannot determine whether the State analyzed the response rate to identify potential nonresponse bias, including steps to reduce any identified bias and promote response from a broad cross section of youth who are no longer in secondary school and had IEPs in effect at the time they left school, as required by the Measurement Table.</w:t>
      </w:r>
      <w:r w:rsidRPr="00781112">
        <w:rPr>
          <w:rFonts w:cs="Arial"/>
          <w:color w:val="000000" w:themeColor="text1"/>
          <w:szCs w:val="16"/>
        </w:rPr>
        <w:br/>
      </w:r>
      <w:r w:rsidRPr="00781112">
        <w:rPr>
          <w:rFonts w:cs="Arial"/>
          <w:color w:val="000000" w:themeColor="text1"/>
          <w:szCs w:val="16"/>
        </w:rPr>
        <w:br/>
        <w:t>The State did not describe the metric used to determine representativeness, as required.</w:t>
      </w:r>
    </w:p>
    <w:p w14:paraId="18F151E0" w14:textId="24893002" w:rsidR="00644AC8" w:rsidRPr="00781112" w:rsidRDefault="00172058" w:rsidP="00123D76">
      <w:pPr>
        <w:pStyle w:val="Heading2"/>
      </w:pPr>
      <w:r w:rsidRPr="00781112">
        <w:t>14 - Required Actions</w:t>
      </w:r>
    </w:p>
    <w:p w14:paraId="623F356B" w14:textId="668EB2DD" w:rsidR="00293C7E" w:rsidRPr="00781112" w:rsidRDefault="002B7490" w:rsidP="001F692C">
      <w:pPr>
        <w:rPr>
          <w:rFonts w:cs="Arial"/>
          <w:color w:val="000000" w:themeColor="text1"/>
          <w:szCs w:val="16"/>
        </w:rPr>
      </w:pPr>
      <w:r w:rsidRPr="00781112">
        <w:rPr>
          <w:rFonts w:cs="Arial"/>
          <w:color w:val="000000" w:themeColor="text1"/>
          <w:szCs w:val="16"/>
        </w:rPr>
        <w:t>In the FFY 2021 SPP/APR, the State must analyze the response rate to identify potential nonresponse bias, including steps to reduce any identified bias and promote response from a broad cross section of youth who are no longer in secondary school and had IEPs in effect at the time they left school, as required by the Measurement Table.</w:t>
      </w:r>
      <w:r w:rsidRPr="00781112">
        <w:rPr>
          <w:rFonts w:cs="Arial"/>
          <w:color w:val="000000" w:themeColor="text1"/>
          <w:szCs w:val="16"/>
        </w:rPr>
        <w:br/>
      </w:r>
      <w:r w:rsidRPr="00781112">
        <w:rPr>
          <w:rFonts w:cs="Arial"/>
          <w:color w:val="000000" w:themeColor="text1"/>
          <w:szCs w:val="16"/>
        </w:rPr>
        <w:br/>
        <w:t>In the FFY 2021 SPP/APR, the State must describe the metric used to determine representativeness, as required by the Measurement Table.</w:t>
      </w:r>
    </w:p>
    <w:p w14:paraId="1ADD288B"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7E15DEAF" w14:textId="72984127" w:rsidR="00B3462E" w:rsidRPr="00781112" w:rsidRDefault="00B3462E" w:rsidP="000444E2">
      <w:pPr>
        <w:pStyle w:val="Heading1"/>
        <w:rPr>
          <w:color w:val="000000" w:themeColor="text1"/>
          <w:sz w:val="22"/>
        </w:rPr>
      </w:pPr>
      <w:r w:rsidRPr="00781112">
        <w:rPr>
          <w:color w:val="000000" w:themeColor="text1"/>
          <w:sz w:val="22"/>
        </w:rPr>
        <w:lastRenderedPageBreak/>
        <w:t>Indicator 15: Resolution Sessions</w:t>
      </w:r>
      <w:bookmarkEnd w:id="79"/>
      <w:bookmarkEnd w:id="80"/>
    </w:p>
    <w:p w14:paraId="7EA31497" w14:textId="77777777" w:rsidR="005B0B58" w:rsidRPr="00781112" w:rsidRDefault="005B0B58" w:rsidP="00A018D4">
      <w:pPr>
        <w:rPr>
          <w:color w:val="000000" w:themeColor="text1"/>
          <w:szCs w:val="20"/>
        </w:rPr>
      </w:pPr>
      <w:bookmarkStart w:id="81" w:name="_Toc381786822"/>
      <w:bookmarkStart w:id="82" w:name="_Toc382731911"/>
      <w:bookmarkStart w:id="83" w:name="_Toc382731912"/>
      <w:bookmarkStart w:id="84" w:name="_Toc392159340"/>
      <w:bookmarkEnd w:id="81"/>
      <w:bookmarkEnd w:id="82"/>
      <w:r w:rsidRPr="00781112">
        <w:rPr>
          <w:b/>
          <w:color w:val="000000" w:themeColor="text1"/>
          <w:sz w:val="20"/>
          <w:szCs w:val="20"/>
        </w:rPr>
        <w:t>Instructions and Measurement</w:t>
      </w:r>
    </w:p>
    <w:p w14:paraId="280CD956" w14:textId="60A4C66A" w:rsidR="009B6586" w:rsidRPr="00781112" w:rsidRDefault="009B6586" w:rsidP="00206890">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676E98EE" w14:textId="77777777" w:rsidR="00692B95" w:rsidRPr="00781112" w:rsidRDefault="009B6586" w:rsidP="00206890">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hearing requests that went to resolution sessions that were resolved through resolution session settlement agreements.</w:t>
      </w:r>
    </w:p>
    <w:p w14:paraId="0FFA722A" w14:textId="6CF0A81F" w:rsidR="009B6586" w:rsidRPr="00781112" w:rsidRDefault="009B6586" w:rsidP="00206890">
      <w:pPr>
        <w:rPr>
          <w:rFonts w:cs="Arial"/>
          <w:color w:val="000000" w:themeColor="text1"/>
          <w:szCs w:val="16"/>
        </w:rPr>
      </w:pPr>
      <w:r w:rsidRPr="00781112">
        <w:rPr>
          <w:rFonts w:cs="Arial"/>
          <w:color w:val="000000" w:themeColor="text1"/>
          <w:szCs w:val="16"/>
        </w:rPr>
        <w:t xml:space="preserve"> (20 U.S.C. 1416(a)(3)(B))</w:t>
      </w:r>
    </w:p>
    <w:p w14:paraId="40DC2407" w14:textId="77777777" w:rsidR="00B14746" w:rsidRPr="00781112" w:rsidRDefault="00B14746" w:rsidP="004369B2">
      <w:pPr>
        <w:rPr>
          <w:color w:val="000000" w:themeColor="text1"/>
        </w:rPr>
      </w:pPr>
      <w:r w:rsidRPr="00781112">
        <w:rPr>
          <w:b/>
          <w:color w:val="000000" w:themeColor="text1"/>
        </w:rPr>
        <w:t>Data Source</w:t>
      </w:r>
    </w:p>
    <w:p w14:paraId="585EF86F" w14:textId="2E239104" w:rsidR="00B14746" w:rsidRPr="00781112" w:rsidRDefault="00B14746" w:rsidP="00206890">
      <w:pPr>
        <w:rPr>
          <w:rFonts w:cs="Arial"/>
          <w:color w:val="000000" w:themeColor="text1"/>
          <w:szCs w:val="16"/>
        </w:rPr>
      </w:pPr>
      <w:r w:rsidRPr="00781112">
        <w:rPr>
          <w:rFonts w:cs="Arial"/>
          <w:color w:val="000000" w:themeColor="text1"/>
          <w:szCs w:val="16"/>
        </w:rPr>
        <w:t>Data collected under section 618 of the IDEA (IDEA Part B Dispute Resolution Survey in the EDFacts Metadata and Process System (E</w:t>
      </w:r>
      <w:r w:rsidR="00E65E32" w:rsidRPr="00781112">
        <w:rPr>
          <w:rFonts w:cs="Arial"/>
          <w:i/>
          <w:color w:val="000000" w:themeColor="text1"/>
          <w:szCs w:val="16"/>
        </w:rPr>
        <w:t>MAPS</w:t>
      </w:r>
      <w:r w:rsidRPr="00781112">
        <w:rPr>
          <w:rFonts w:cs="Arial"/>
          <w:color w:val="000000" w:themeColor="text1"/>
          <w:szCs w:val="16"/>
        </w:rPr>
        <w:t>)).</w:t>
      </w:r>
    </w:p>
    <w:p w14:paraId="4E6D96A3" w14:textId="77777777" w:rsidR="00B14746" w:rsidRPr="00781112" w:rsidRDefault="00B14746" w:rsidP="004369B2">
      <w:pPr>
        <w:rPr>
          <w:color w:val="000000" w:themeColor="text1"/>
        </w:rPr>
      </w:pPr>
      <w:r w:rsidRPr="00781112">
        <w:rPr>
          <w:b/>
          <w:color w:val="000000" w:themeColor="text1"/>
        </w:rPr>
        <w:t>Measurement</w:t>
      </w:r>
    </w:p>
    <w:p w14:paraId="64AA8A3E" w14:textId="743F9348" w:rsidR="00B14746" w:rsidRPr="00781112" w:rsidRDefault="00B14746" w:rsidP="00206890">
      <w:pPr>
        <w:rPr>
          <w:rFonts w:cs="Arial"/>
          <w:color w:val="000000" w:themeColor="text1"/>
          <w:szCs w:val="16"/>
        </w:rPr>
      </w:pPr>
      <w:r w:rsidRPr="00781112">
        <w:rPr>
          <w:rFonts w:cs="Arial"/>
          <w:color w:val="000000" w:themeColor="text1"/>
          <w:szCs w:val="16"/>
        </w:rPr>
        <w:t>Percent = (3.1(a) divided by 3.1) times 100.</w:t>
      </w:r>
    </w:p>
    <w:p w14:paraId="7D86471C" w14:textId="77777777" w:rsidR="00B14746" w:rsidRPr="00781112" w:rsidRDefault="00B14746" w:rsidP="004369B2">
      <w:pPr>
        <w:rPr>
          <w:color w:val="000000" w:themeColor="text1"/>
        </w:rPr>
      </w:pPr>
      <w:r w:rsidRPr="00781112">
        <w:rPr>
          <w:b/>
          <w:color w:val="000000" w:themeColor="text1"/>
        </w:rPr>
        <w:t>Instructions</w:t>
      </w:r>
    </w:p>
    <w:p w14:paraId="7F1341EF" w14:textId="77777777" w:rsidR="00B14746" w:rsidRPr="00781112" w:rsidRDefault="00B14746" w:rsidP="00286BDF">
      <w:pPr>
        <w:rPr>
          <w:rFonts w:cs="Arial"/>
          <w:i/>
          <w:iCs/>
          <w:color w:val="000000" w:themeColor="text1"/>
          <w:szCs w:val="16"/>
        </w:rPr>
      </w:pPr>
      <w:r w:rsidRPr="00781112">
        <w:rPr>
          <w:rFonts w:cs="Arial"/>
          <w:i/>
          <w:iCs/>
          <w:color w:val="000000" w:themeColor="text1"/>
          <w:szCs w:val="16"/>
        </w:rPr>
        <w:t>Sampling is not allowed.</w:t>
      </w:r>
    </w:p>
    <w:p w14:paraId="20D56B7B" w14:textId="77777777" w:rsidR="00B14746" w:rsidRPr="00781112" w:rsidRDefault="00B1474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368918B0" w14:textId="755A746B" w:rsidR="00B14746" w:rsidRPr="00781112" w:rsidRDefault="00B14746" w:rsidP="00286BDF">
      <w:pPr>
        <w:rPr>
          <w:rFonts w:cs="Arial"/>
          <w:color w:val="000000" w:themeColor="text1"/>
          <w:szCs w:val="16"/>
        </w:rPr>
      </w:pPr>
      <w:r w:rsidRPr="00781112">
        <w:rPr>
          <w:rFonts w:cs="Arial"/>
          <w:color w:val="000000" w:themeColor="text1"/>
          <w:szCs w:val="16"/>
        </w:rPr>
        <w:t>States are not required to establish baseline or targets if the number of resolution sessions is less than 10. In a reporting period when the number of resolution sessions reaches 10 or greater, develop baseline and targets and report on them in the corresponding SPP/APR.</w:t>
      </w:r>
    </w:p>
    <w:p w14:paraId="4484EAF5" w14:textId="77777777" w:rsidR="00B14746" w:rsidRPr="00781112" w:rsidRDefault="00B14746" w:rsidP="00286BDF">
      <w:pPr>
        <w:rPr>
          <w:rFonts w:cs="Arial"/>
          <w:color w:val="000000" w:themeColor="text1"/>
          <w:szCs w:val="16"/>
        </w:rPr>
      </w:pPr>
      <w:r w:rsidRPr="00781112">
        <w:rPr>
          <w:rFonts w:cs="Arial"/>
          <w:color w:val="000000" w:themeColor="text1"/>
          <w:szCs w:val="16"/>
        </w:rPr>
        <w:t>States may express their targets in a range (e.g., 75-85%).</w:t>
      </w:r>
    </w:p>
    <w:p w14:paraId="3A369CBC" w14:textId="77777777" w:rsidR="00B14746" w:rsidRPr="00781112" w:rsidRDefault="00B14746"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5C27A911" w14:textId="0F93F55A" w:rsidR="00B14746" w:rsidRPr="00781112" w:rsidRDefault="00B14746" w:rsidP="00286BDF">
      <w:pPr>
        <w:rPr>
          <w:rFonts w:cs="Arial"/>
          <w:color w:val="000000" w:themeColor="text1"/>
          <w:szCs w:val="16"/>
        </w:rPr>
      </w:pPr>
      <w:r w:rsidRPr="00781112">
        <w:rPr>
          <w:rFonts w:cs="Arial"/>
          <w:color w:val="000000" w:themeColor="text1"/>
          <w:szCs w:val="16"/>
        </w:rPr>
        <w:t>States are not required to report data at the LEA level.</w:t>
      </w:r>
    </w:p>
    <w:p w14:paraId="64F7E7AF" w14:textId="3E039165" w:rsidR="00575F02" w:rsidRPr="00781112" w:rsidRDefault="00DF2D3A" w:rsidP="00123D76">
      <w:pPr>
        <w:pStyle w:val="Heading2"/>
      </w:pPr>
      <w:r w:rsidRPr="00781112">
        <w:t>15</w:t>
      </w:r>
      <w:r w:rsidR="001D508D" w:rsidRPr="00781112">
        <w:t xml:space="preserve"> </w:t>
      </w:r>
      <w:r w:rsidRPr="00781112">
        <w:t xml:space="preserve">- </w:t>
      </w:r>
      <w:r w:rsidR="00575F02" w:rsidRPr="00781112">
        <w:t>Indicator Data</w:t>
      </w:r>
    </w:p>
    <w:p w14:paraId="787F4BF1" w14:textId="4407EA15" w:rsidR="004A33CD" w:rsidRPr="00781112" w:rsidRDefault="00E31E29" w:rsidP="004A33CD">
      <w:pPr>
        <w:rPr>
          <w:rFonts w:cs="Arial"/>
          <w:color w:val="000000" w:themeColor="text1"/>
          <w:szCs w:val="16"/>
        </w:rPr>
      </w:pPr>
      <w:r w:rsidRPr="00781112">
        <w:rPr>
          <w:rFonts w:cs="Arial"/>
          <w:color w:val="000000" w:themeColor="text1"/>
          <w:szCs w:val="16"/>
        </w:rPr>
        <w:t>Select yes to use target ranges</w:t>
      </w:r>
    </w:p>
    <w:p w14:paraId="28345E9C" w14:textId="1A461958" w:rsidR="004A33CD" w:rsidRPr="00781112" w:rsidRDefault="004A33CD" w:rsidP="004369B2">
      <w:pPr>
        <w:rPr>
          <w:color w:val="000000" w:themeColor="text1"/>
        </w:rPr>
      </w:pPr>
      <w:r w:rsidRPr="00781112">
        <w:rPr>
          <w:rFonts w:cs="Arial"/>
          <w:color w:val="000000" w:themeColor="text1"/>
          <w:szCs w:val="16"/>
        </w:rPr>
        <w:t>Target Range not used</w:t>
      </w:r>
    </w:p>
    <w:bookmarkEnd w:id="83"/>
    <w:bookmarkEnd w:id="84"/>
    <w:p w14:paraId="2C183615" w14:textId="77777777" w:rsidR="00CE0C68" w:rsidRPr="00781112" w:rsidRDefault="00CE0C68" w:rsidP="004369B2">
      <w:pPr>
        <w:rPr>
          <w:color w:val="000000" w:themeColor="text1"/>
        </w:rPr>
      </w:pPr>
    </w:p>
    <w:p w14:paraId="23EC0320" w14:textId="2C5AA27C" w:rsidR="00372DF8" w:rsidRPr="00781112" w:rsidRDefault="00372DF8"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5PREPOPDATA"/>
      </w:tblPr>
      <w:tblGrid>
        <w:gridCol w:w="2605"/>
        <w:gridCol w:w="2700"/>
        <w:gridCol w:w="3571"/>
        <w:gridCol w:w="1914"/>
      </w:tblGrid>
      <w:tr w:rsidR="005C29F8" w:rsidRPr="00781112" w14:paraId="6639EAF6" w14:textId="77777777" w:rsidTr="00AB0D6A">
        <w:trPr>
          <w:trHeight w:val="372"/>
          <w:tblHeader/>
        </w:trPr>
        <w:tc>
          <w:tcPr>
            <w:tcW w:w="1207" w:type="pct"/>
            <w:shd w:val="clear" w:color="auto" w:fill="auto"/>
          </w:tcPr>
          <w:p w14:paraId="3040A217"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Source</w:t>
            </w:r>
          </w:p>
        </w:tc>
        <w:tc>
          <w:tcPr>
            <w:tcW w:w="1251" w:type="pct"/>
            <w:shd w:val="clear" w:color="auto" w:fill="auto"/>
          </w:tcPr>
          <w:p w14:paraId="3A97206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Date</w:t>
            </w:r>
          </w:p>
        </w:tc>
        <w:tc>
          <w:tcPr>
            <w:tcW w:w="1655" w:type="pct"/>
            <w:shd w:val="clear" w:color="auto" w:fill="auto"/>
          </w:tcPr>
          <w:p w14:paraId="52C3C7CB"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Description</w:t>
            </w:r>
          </w:p>
        </w:tc>
        <w:tc>
          <w:tcPr>
            <w:tcW w:w="887" w:type="pct"/>
            <w:shd w:val="clear" w:color="auto" w:fill="auto"/>
          </w:tcPr>
          <w:p w14:paraId="3BD49A8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50C4DB70" w14:textId="77777777" w:rsidTr="00AB0D6A">
        <w:trPr>
          <w:trHeight w:val="380"/>
        </w:trPr>
        <w:tc>
          <w:tcPr>
            <w:tcW w:w="1207" w:type="pct"/>
            <w:shd w:val="clear" w:color="auto" w:fill="auto"/>
          </w:tcPr>
          <w:p w14:paraId="56F7D41B" w14:textId="55A36B40" w:rsidR="001126C3" w:rsidRPr="00781112" w:rsidRDefault="002B7490" w:rsidP="001126C3">
            <w:pPr>
              <w:jc w:val="center"/>
              <w:rPr>
                <w:rFonts w:cs="Arial"/>
                <w:color w:val="000000" w:themeColor="text1"/>
                <w:szCs w:val="16"/>
              </w:rPr>
            </w:pPr>
            <w:r w:rsidRPr="00781112">
              <w:rPr>
                <w:rFonts w:cs="Arial"/>
                <w:color w:val="000000" w:themeColor="text1"/>
                <w:szCs w:val="16"/>
              </w:rPr>
              <w:t>SY 2020-21 EMAPS IDEA Part B Dispute Resolution Survey; Section C: Due Process Complaints</w:t>
            </w:r>
          </w:p>
        </w:tc>
        <w:tc>
          <w:tcPr>
            <w:tcW w:w="1251" w:type="pct"/>
            <w:shd w:val="clear" w:color="auto" w:fill="auto"/>
          </w:tcPr>
          <w:p w14:paraId="7C90E97F" w14:textId="79564898" w:rsidR="001126C3" w:rsidRPr="00781112" w:rsidRDefault="008174C3" w:rsidP="001126C3">
            <w:pPr>
              <w:jc w:val="center"/>
              <w:rPr>
                <w:rFonts w:cs="Arial"/>
                <w:color w:val="000000" w:themeColor="text1"/>
                <w:szCs w:val="16"/>
              </w:rPr>
            </w:pPr>
            <w:r w:rsidRPr="00781112">
              <w:rPr>
                <w:rFonts w:cs="Arial"/>
                <w:color w:val="000000" w:themeColor="text1"/>
                <w:szCs w:val="16"/>
              </w:rPr>
              <w:t>11/03/2021</w:t>
            </w:r>
          </w:p>
        </w:tc>
        <w:tc>
          <w:tcPr>
            <w:tcW w:w="1655" w:type="pct"/>
            <w:shd w:val="clear" w:color="auto" w:fill="auto"/>
          </w:tcPr>
          <w:p w14:paraId="5E5A973C" w14:textId="77777777" w:rsidR="001126C3" w:rsidRPr="00781112" w:rsidRDefault="001126C3" w:rsidP="001126C3">
            <w:pPr>
              <w:rPr>
                <w:rFonts w:cs="Arial"/>
                <w:color w:val="000000" w:themeColor="text1"/>
                <w:szCs w:val="16"/>
              </w:rPr>
            </w:pPr>
            <w:r w:rsidRPr="00781112">
              <w:rPr>
                <w:rFonts w:cs="Arial"/>
                <w:color w:val="000000" w:themeColor="text1"/>
                <w:szCs w:val="16"/>
              </w:rPr>
              <w:t>3.1 Number of resolution sessions</w:t>
            </w:r>
          </w:p>
        </w:tc>
        <w:tc>
          <w:tcPr>
            <w:tcW w:w="887" w:type="pct"/>
            <w:shd w:val="clear" w:color="auto" w:fill="auto"/>
          </w:tcPr>
          <w:p w14:paraId="5468BA6D" w14:textId="1A6A859B" w:rsidR="001126C3" w:rsidRPr="00781112" w:rsidRDefault="002B7490" w:rsidP="00A018D4">
            <w:pPr>
              <w:jc w:val="center"/>
              <w:rPr>
                <w:rFonts w:cs="Arial"/>
                <w:color w:val="000000" w:themeColor="text1"/>
                <w:szCs w:val="16"/>
              </w:rPr>
            </w:pPr>
            <w:r w:rsidRPr="00781112">
              <w:rPr>
                <w:rFonts w:cs="Arial"/>
                <w:color w:val="000000" w:themeColor="text1"/>
                <w:szCs w:val="16"/>
              </w:rPr>
              <w:t>17</w:t>
            </w:r>
          </w:p>
        </w:tc>
      </w:tr>
      <w:tr w:rsidR="005C29F8" w:rsidRPr="00781112" w14:paraId="2E50DA19" w14:textId="77777777" w:rsidTr="00AB0D6A">
        <w:trPr>
          <w:trHeight w:val="380"/>
        </w:trPr>
        <w:tc>
          <w:tcPr>
            <w:tcW w:w="1207" w:type="pct"/>
            <w:shd w:val="clear" w:color="auto" w:fill="auto"/>
          </w:tcPr>
          <w:p w14:paraId="2B232A7C" w14:textId="7E2BE0F5" w:rsidR="001126C3" w:rsidRPr="00781112" w:rsidRDefault="008174C3" w:rsidP="001126C3">
            <w:pPr>
              <w:jc w:val="center"/>
              <w:rPr>
                <w:rFonts w:cs="Arial"/>
                <w:color w:val="000000" w:themeColor="text1"/>
                <w:szCs w:val="16"/>
              </w:rPr>
            </w:pPr>
            <w:r w:rsidRPr="00781112">
              <w:rPr>
                <w:rFonts w:cs="Arial"/>
                <w:color w:val="000000" w:themeColor="text1"/>
                <w:szCs w:val="16"/>
              </w:rPr>
              <w:t>SY 2020-21 EMAPS IDEA Part B Dispute Resolution Survey; Section C: Due Process Complaints</w:t>
            </w:r>
          </w:p>
        </w:tc>
        <w:tc>
          <w:tcPr>
            <w:tcW w:w="1251" w:type="pct"/>
            <w:shd w:val="clear" w:color="auto" w:fill="auto"/>
          </w:tcPr>
          <w:p w14:paraId="7F21A5DE" w14:textId="74620D03" w:rsidR="001126C3" w:rsidRPr="00781112" w:rsidRDefault="008174C3" w:rsidP="001126C3">
            <w:pPr>
              <w:jc w:val="center"/>
              <w:rPr>
                <w:rFonts w:cs="Arial"/>
                <w:color w:val="000000" w:themeColor="text1"/>
                <w:szCs w:val="16"/>
              </w:rPr>
            </w:pPr>
            <w:r w:rsidRPr="00781112">
              <w:rPr>
                <w:rFonts w:cs="Arial"/>
                <w:color w:val="000000" w:themeColor="text1"/>
                <w:szCs w:val="16"/>
              </w:rPr>
              <w:t>11/03/2021</w:t>
            </w:r>
          </w:p>
        </w:tc>
        <w:tc>
          <w:tcPr>
            <w:tcW w:w="1655" w:type="pct"/>
            <w:shd w:val="clear" w:color="auto" w:fill="auto"/>
          </w:tcPr>
          <w:p w14:paraId="48E53926" w14:textId="77777777" w:rsidR="001126C3" w:rsidRPr="00781112" w:rsidRDefault="001126C3" w:rsidP="001126C3">
            <w:pPr>
              <w:rPr>
                <w:rFonts w:cs="Arial"/>
                <w:color w:val="000000" w:themeColor="text1"/>
                <w:szCs w:val="16"/>
              </w:rPr>
            </w:pPr>
            <w:r w:rsidRPr="00781112">
              <w:rPr>
                <w:rFonts w:cs="Arial"/>
                <w:color w:val="000000" w:themeColor="text1"/>
                <w:szCs w:val="16"/>
              </w:rPr>
              <w:t>3.1(a) Number resolution sessions resolved through settlement agreements</w:t>
            </w:r>
          </w:p>
        </w:tc>
        <w:tc>
          <w:tcPr>
            <w:tcW w:w="887" w:type="pct"/>
            <w:shd w:val="clear" w:color="auto" w:fill="auto"/>
          </w:tcPr>
          <w:p w14:paraId="1CCE3841" w14:textId="455ECD7A" w:rsidR="001126C3" w:rsidRPr="00781112" w:rsidRDefault="002B7490" w:rsidP="00A018D4">
            <w:pPr>
              <w:jc w:val="center"/>
              <w:rPr>
                <w:rFonts w:cs="Arial"/>
                <w:color w:val="000000" w:themeColor="text1"/>
                <w:szCs w:val="16"/>
              </w:rPr>
            </w:pPr>
            <w:r w:rsidRPr="00781112">
              <w:rPr>
                <w:rFonts w:cs="Arial"/>
                <w:color w:val="000000" w:themeColor="text1"/>
                <w:szCs w:val="16"/>
              </w:rPr>
              <w:t>10</w:t>
            </w:r>
          </w:p>
        </w:tc>
      </w:tr>
    </w:tbl>
    <w:p w14:paraId="162CEFB3" w14:textId="55A4ED3A" w:rsidR="004A33CD" w:rsidRPr="00781112" w:rsidRDefault="00E31E29">
      <w:pPr>
        <w:rPr>
          <w:b/>
          <w:color w:val="000000" w:themeColor="text1"/>
        </w:rPr>
      </w:pPr>
      <w:bookmarkStart w:id="85" w:name="_Toc382731913"/>
      <w:bookmarkStart w:id="86" w:name="_Toc392159341"/>
      <w:r w:rsidRPr="00781112">
        <w:rPr>
          <w:b/>
          <w:color w:val="000000" w:themeColor="text1"/>
        </w:rPr>
        <w:t>Select yes if the data reported in this indicator are not the same as the State’s data reported under section 618 of the IDEA.</w:t>
      </w:r>
    </w:p>
    <w:p w14:paraId="619A5AA7" w14:textId="55E9BEAB" w:rsidR="004A33CD" w:rsidRPr="00781112" w:rsidRDefault="004A33CD">
      <w:pPr>
        <w:rPr>
          <w:color w:val="000000" w:themeColor="text1"/>
        </w:rPr>
      </w:pPr>
      <w:r w:rsidRPr="00781112">
        <w:rPr>
          <w:color w:val="000000" w:themeColor="text1"/>
        </w:rPr>
        <w:t>NO</w:t>
      </w:r>
    </w:p>
    <w:p w14:paraId="25CD6A7B" w14:textId="77777777" w:rsidR="000657A8" w:rsidRPr="00781112" w:rsidRDefault="000657A8" w:rsidP="004369B2">
      <w:pPr>
        <w:rPr>
          <w:color w:val="000000" w:themeColor="text1"/>
        </w:rPr>
      </w:pPr>
    </w:p>
    <w:p w14:paraId="2AFA559A" w14:textId="46CC9076" w:rsidR="000A2C83" w:rsidRPr="00781112" w:rsidRDefault="000A2C83" w:rsidP="004369B2">
      <w:pPr>
        <w:rPr>
          <w:b/>
          <w:color w:val="000000" w:themeColor="text1"/>
        </w:rPr>
      </w:pPr>
      <w:r w:rsidRPr="00781112">
        <w:rPr>
          <w:b/>
          <w:color w:val="000000" w:themeColor="text1"/>
        </w:rPr>
        <w:t xml:space="preserve">Targets: Description of Stakeholder Input </w:t>
      </w:r>
    </w:p>
    <w:p w14:paraId="60B2BAB4" w14:textId="6EAE1CD9" w:rsidR="000A2C83" w:rsidRPr="00781112" w:rsidRDefault="002B7490" w:rsidP="000A2C83">
      <w:pPr>
        <w:rPr>
          <w:rFonts w:cs="Arial"/>
          <w:color w:val="000000" w:themeColor="text1"/>
          <w:szCs w:val="16"/>
        </w:rPr>
      </w:pPr>
      <w:r w:rsidRPr="00781112">
        <w:rPr>
          <w:rFonts w:cs="Arial"/>
          <w:color w:val="000000" w:themeColor="text1"/>
          <w:szCs w:val="16"/>
        </w:rPr>
        <w:t>Louisiana has developed a comprehensive vision for the future of education in our state—Louisiana Believes. The driving force of this vision is that every one of Louisiana’s children should be on track to a college degree or a professional career. This inclusive vision and Louisiana’s values were apparent in the development of the SPP as we solicited and received broad stakeholder input to inform the target setting process for FFY 2020 - FFY 2025. The LDOE used three phases to develop the SPP targets for FFY 2020 - FFY 2025: 1) internal review, 2) external stakeholder feedback, and 3) Special Education Advisory Panel (SEAP) integration.</w:t>
      </w:r>
      <w:r w:rsidRPr="00781112">
        <w:rPr>
          <w:rFonts w:cs="Arial"/>
          <w:color w:val="000000" w:themeColor="text1"/>
          <w:szCs w:val="16"/>
        </w:rPr>
        <w:br/>
      </w:r>
      <w:r w:rsidRPr="00781112">
        <w:rPr>
          <w:rFonts w:cs="Arial"/>
          <w:color w:val="000000" w:themeColor="text1"/>
          <w:szCs w:val="16"/>
        </w:rPr>
        <w:br/>
        <w:t xml:space="preserve">Internal Review </w:t>
      </w:r>
      <w:r w:rsidRPr="00781112">
        <w:rPr>
          <w:rFonts w:cs="Arial"/>
          <w:color w:val="000000" w:themeColor="text1"/>
          <w:szCs w:val="16"/>
        </w:rPr>
        <w:br/>
        <w:t xml:space="preserve">The LDOE's Division for Diverse Learners reviewed historical data and LDOE policies, procedures, and practices; and collaborated with internal teams to develop targets that were rigorous and attainable. </w:t>
      </w:r>
      <w:r w:rsidRPr="00781112">
        <w:rPr>
          <w:rFonts w:cs="Arial"/>
          <w:color w:val="000000" w:themeColor="text1"/>
          <w:szCs w:val="16"/>
        </w:rPr>
        <w:br/>
      </w:r>
      <w:r w:rsidRPr="00781112">
        <w:rPr>
          <w:rFonts w:cs="Arial"/>
          <w:color w:val="000000" w:themeColor="text1"/>
          <w:szCs w:val="16"/>
        </w:rPr>
        <w:br/>
        <w:t>External Stakeholder Feedback</w:t>
      </w:r>
      <w:r w:rsidRPr="00781112">
        <w:rPr>
          <w:rFonts w:cs="Arial"/>
          <w:color w:val="000000" w:themeColor="text1"/>
          <w:szCs w:val="16"/>
        </w:rPr>
        <w:br/>
        <w:t xml:space="preserve">The Division for Diverse Learners developed and executed an SPP/APR target setting engagement strategy to solicit broad stakeholder feedback on the FFY 2020 - FFY 2025 targets. The LDOE developed a State Performance Plan / Annual Performance Report Target Setting webpage on the Louisiana Believes website. The webpage contains an overview document with an explanation of each indicator, historical data for each indicator, and tables to clearly identify whether or not the State met targets for each indicator. After review of the overview document, a target setting survey was available for stakeholders to provide input on targets. </w:t>
      </w:r>
      <w:r w:rsidRPr="00781112">
        <w:rPr>
          <w:rFonts w:cs="Arial"/>
          <w:color w:val="000000" w:themeColor="text1"/>
          <w:szCs w:val="16"/>
        </w:rPr>
        <w:br/>
      </w:r>
      <w:r w:rsidRPr="00781112">
        <w:rPr>
          <w:rFonts w:cs="Arial"/>
          <w:color w:val="000000" w:themeColor="text1"/>
          <w:szCs w:val="16"/>
        </w:rPr>
        <w:br/>
        <w:t>SEAP Integration</w:t>
      </w:r>
      <w:r w:rsidRPr="00781112">
        <w:rPr>
          <w:rFonts w:cs="Arial"/>
          <w:color w:val="000000" w:themeColor="text1"/>
          <w:szCs w:val="16"/>
        </w:rPr>
        <w:br/>
        <w:t>The LDOE informed the SEAP on the target setting process at two separate meetings. LDOE provided an overview of each indicator along with historical data to SEAP members who provided input. SEAP's structure also allows for public comments, which were exercised at the meetings, providing external stakeholder feedback.</w:t>
      </w:r>
      <w:r w:rsidRPr="00781112">
        <w:rPr>
          <w:rFonts w:cs="Arial"/>
          <w:color w:val="000000" w:themeColor="text1"/>
          <w:szCs w:val="16"/>
        </w:rPr>
        <w:br/>
      </w:r>
      <w:r w:rsidRPr="00781112">
        <w:rPr>
          <w:rFonts w:cs="Arial"/>
          <w:color w:val="000000" w:themeColor="text1"/>
          <w:szCs w:val="16"/>
        </w:rPr>
        <w:br/>
        <w:t>The LDOE set targets based on feedback, historical data, and whether previous targets set were met. LDOE will continue to monitor data, targets, and changes to Indicator methodology, and may revise targets in the future, as necessary. Any revisions will incorporate stakeholder feedback, including, but not limited to, SEAP.</w:t>
      </w:r>
    </w:p>
    <w:p w14:paraId="43B1695A" w14:textId="2970A905" w:rsidR="000A2C83" w:rsidRPr="00781112" w:rsidRDefault="002B7490" w:rsidP="000A2C83">
      <w:pPr>
        <w:rPr>
          <w:rFonts w:cs="Arial"/>
          <w:color w:val="000000" w:themeColor="text1"/>
          <w:szCs w:val="16"/>
        </w:rPr>
      </w:pPr>
      <w:r w:rsidRPr="00781112">
        <w:rPr>
          <w:rFonts w:cs="Arial"/>
          <w:color w:val="000000" w:themeColor="text1"/>
          <w:szCs w:val="16"/>
        </w:rPr>
        <w:t>Target setting for this indicator was integrated into the overall stakeholder engagement strategy. Please see the "stakeholder involvement" section on the introduction page for more information.</w:t>
      </w:r>
    </w:p>
    <w:bookmarkEnd w:id="85"/>
    <w:bookmarkEnd w:id="86"/>
    <w:p w14:paraId="3A708A87" w14:textId="77777777" w:rsidR="00CE0C68" w:rsidRPr="00781112" w:rsidRDefault="00CE0C68" w:rsidP="00127006">
      <w:pPr>
        <w:pStyle w:val="Bold"/>
        <w:rPr>
          <w:color w:val="000000" w:themeColor="text1"/>
        </w:rPr>
      </w:pPr>
    </w:p>
    <w:p w14:paraId="4E8407A2" w14:textId="6977F9E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5BASELINEDATA"/>
      </w:tblPr>
      <w:tblGrid>
        <w:gridCol w:w="1797"/>
        <w:gridCol w:w="1798"/>
      </w:tblGrid>
      <w:tr w:rsidR="00956DFE" w:rsidRPr="00781112" w14:paraId="4BC2AEC0" w14:textId="77777777" w:rsidTr="00123D76">
        <w:trPr>
          <w:trHeight w:val="311"/>
          <w:tblHeader/>
        </w:trPr>
        <w:tc>
          <w:tcPr>
            <w:tcW w:w="1797" w:type="dxa"/>
          </w:tcPr>
          <w:p w14:paraId="5C965FC2" w14:textId="77777777" w:rsidR="00956DFE" w:rsidRPr="00781112" w:rsidRDefault="00956DFE" w:rsidP="00123D76">
            <w:pPr>
              <w:jc w:val="center"/>
              <w:rPr>
                <w:b/>
                <w:color w:val="000000" w:themeColor="text1"/>
              </w:rPr>
            </w:pPr>
            <w:r w:rsidRPr="00781112">
              <w:rPr>
                <w:rFonts w:cs="Arial"/>
                <w:b/>
                <w:color w:val="000000" w:themeColor="text1"/>
                <w:szCs w:val="16"/>
              </w:rPr>
              <w:lastRenderedPageBreak/>
              <w:t>Baseline Year</w:t>
            </w:r>
          </w:p>
        </w:tc>
        <w:tc>
          <w:tcPr>
            <w:tcW w:w="1798" w:type="dxa"/>
          </w:tcPr>
          <w:p w14:paraId="0FE47E01" w14:textId="77777777" w:rsidR="00956DFE" w:rsidRPr="00781112" w:rsidRDefault="00956DFE" w:rsidP="00123D76">
            <w:pPr>
              <w:jc w:val="center"/>
              <w:rPr>
                <w:b/>
                <w:color w:val="000000" w:themeColor="text1"/>
              </w:rPr>
            </w:pPr>
            <w:r w:rsidRPr="00781112">
              <w:rPr>
                <w:b/>
                <w:color w:val="000000" w:themeColor="text1"/>
              </w:rPr>
              <w:t>Baseline Data</w:t>
            </w:r>
          </w:p>
        </w:tc>
      </w:tr>
      <w:tr w:rsidR="00956DFE" w:rsidRPr="00781112" w14:paraId="4061AB26" w14:textId="77777777" w:rsidTr="00123D76">
        <w:trPr>
          <w:trHeight w:val="311"/>
        </w:trPr>
        <w:tc>
          <w:tcPr>
            <w:tcW w:w="1797" w:type="dxa"/>
            <w:vAlign w:val="center"/>
          </w:tcPr>
          <w:p w14:paraId="06B6D30C" w14:textId="2AF9B55C" w:rsidR="00956DFE" w:rsidRPr="00781112" w:rsidRDefault="00956DFE" w:rsidP="00123D76">
            <w:pPr>
              <w:jc w:val="center"/>
              <w:rPr>
                <w:bCs/>
                <w:color w:val="000000" w:themeColor="text1"/>
              </w:rPr>
            </w:pPr>
            <w:r w:rsidRPr="00781112">
              <w:rPr>
                <w:bCs/>
                <w:color w:val="000000" w:themeColor="text1"/>
              </w:rPr>
              <w:t>2005</w:t>
            </w:r>
          </w:p>
        </w:tc>
        <w:tc>
          <w:tcPr>
            <w:tcW w:w="1798" w:type="dxa"/>
            <w:vAlign w:val="center"/>
          </w:tcPr>
          <w:p w14:paraId="2ECB17ED" w14:textId="53ECEEAF" w:rsidR="00956DFE" w:rsidRPr="00781112" w:rsidRDefault="00956DFE" w:rsidP="00123D76">
            <w:pPr>
              <w:jc w:val="center"/>
              <w:rPr>
                <w:bCs/>
                <w:color w:val="000000" w:themeColor="text1"/>
              </w:rPr>
            </w:pPr>
            <w:r w:rsidRPr="00781112">
              <w:rPr>
                <w:bCs/>
                <w:color w:val="000000" w:themeColor="text1"/>
              </w:rPr>
              <w:t>60.00%</w:t>
            </w:r>
          </w:p>
        </w:tc>
      </w:tr>
    </w:tbl>
    <w:p w14:paraId="3ABC15A0" w14:textId="77777777" w:rsidR="00956DFE" w:rsidRPr="00781112" w:rsidRDefault="00956DFE"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HISTDATA"/>
      </w:tblPr>
      <w:tblGrid>
        <w:gridCol w:w="1798"/>
        <w:gridCol w:w="1798"/>
        <w:gridCol w:w="1798"/>
        <w:gridCol w:w="1798"/>
        <w:gridCol w:w="1798"/>
        <w:gridCol w:w="1800"/>
      </w:tblGrid>
      <w:tr w:rsidR="005C29F8" w:rsidRPr="00781112" w14:paraId="4E412341" w14:textId="77777777" w:rsidTr="004B2960">
        <w:trPr>
          <w:trHeight w:val="350"/>
        </w:trPr>
        <w:tc>
          <w:tcPr>
            <w:tcW w:w="833" w:type="pct"/>
            <w:tcBorders>
              <w:bottom w:val="single" w:sz="4" w:space="0" w:color="auto"/>
            </w:tcBorders>
            <w:shd w:val="clear" w:color="auto" w:fill="auto"/>
          </w:tcPr>
          <w:p w14:paraId="3BCF53D4" w14:textId="77777777" w:rsidR="00206890" w:rsidRPr="00781112" w:rsidRDefault="00206890"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BCFC70E" w14:textId="1BB5B5A8" w:rsidR="00206890" w:rsidRPr="00781112" w:rsidRDefault="002B7490" w:rsidP="008E31C4">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0D14322A" w14:textId="6BD4D2D0" w:rsidR="00206890"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5AD53313" w14:textId="5FC8C632" w:rsidR="00206890"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4015341F" w14:textId="703AE838" w:rsidR="00206890"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087D6966" w14:textId="6C948B8E" w:rsidR="00206890" w:rsidRPr="00781112" w:rsidRDefault="002B7490" w:rsidP="008E31C4">
            <w:pPr>
              <w:jc w:val="center"/>
              <w:rPr>
                <w:rFonts w:cs="Arial"/>
                <w:b/>
                <w:color w:val="000000" w:themeColor="text1"/>
                <w:szCs w:val="16"/>
              </w:rPr>
            </w:pPr>
            <w:r w:rsidRPr="00781112">
              <w:rPr>
                <w:rFonts w:cs="Arial"/>
                <w:b/>
                <w:color w:val="000000" w:themeColor="text1"/>
                <w:szCs w:val="16"/>
              </w:rPr>
              <w:t>2019</w:t>
            </w:r>
          </w:p>
        </w:tc>
      </w:tr>
      <w:tr w:rsidR="005C29F8" w:rsidRPr="00781112" w14:paraId="2C55BF13" w14:textId="77777777" w:rsidTr="004B2960">
        <w:trPr>
          <w:trHeight w:val="357"/>
        </w:trPr>
        <w:tc>
          <w:tcPr>
            <w:tcW w:w="833" w:type="pct"/>
            <w:shd w:val="clear" w:color="auto" w:fill="auto"/>
          </w:tcPr>
          <w:p w14:paraId="33F24D1B" w14:textId="209B7194" w:rsidR="00206890" w:rsidRPr="00781112" w:rsidRDefault="00206890" w:rsidP="008E31C4">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7184CC23" w14:textId="0660F716" w:rsidR="00206890"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833" w:type="pct"/>
            <w:shd w:val="clear" w:color="auto" w:fill="auto"/>
          </w:tcPr>
          <w:p w14:paraId="0E9857EC" w14:textId="50F3C2EF" w:rsidR="00206890"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833" w:type="pct"/>
            <w:shd w:val="clear" w:color="auto" w:fill="auto"/>
            <w:vAlign w:val="center"/>
          </w:tcPr>
          <w:p w14:paraId="0571C04B" w14:textId="328A30A7" w:rsidR="00206890"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833" w:type="pct"/>
            <w:shd w:val="clear" w:color="auto" w:fill="auto"/>
            <w:vAlign w:val="center"/>
          </w:tcPr>
          <w:p w14:paraId="77EAC2A0" w14:textId="7A794ABC" w:rsidR="00206890"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834" w:type="pct"/>
            <w:shd w:val="clear" w:color="auto" w:fill="auto"/>
            <w:vAlign w:val="center"/>
          </w:tcPr>
          <w:p w14:paraId="04397BF9" w14:textId="1A3506DC" w:rsidR="00206890" w:rsidRPr="00781112" w:rsidRDefault="002B7490" w:rsidP="00A018D4">
            <w:pPr>
              <w:jc w:val="center"/>
              <w:rPr>
                <w:rFonts w:cs="Arial"/>
                <w:color w:val="000000" w:themeColor="text1"/>
                <w:szCs w:val="16"/>
              </w:rPr>
            </w:pPr>
            <w:r w:rsidRPr="00781112">
              <w:rPr>
                <w:rFonts w:cs="Arial"/>
                <w:color w:val="000000" w:themeColor="text1"/>
                <w:szCs w:val="16"/>
              </w:rPr>
              <w:t>75.00%</w:t>
            </w:r>
          </w:p>
        </w:tc>
      </w:tr>
      <w:tr w:rsidR="005C29F8" w:rsidRPr="00781112" w14:paraId="10C8B4B5" w14:textId="77777777" w:rsidTr="004B2960">
        <w:trPr>
          <w:trHeight w:val="85"/>
        </w:trPr>
        <w:tc>
          <w:tcPr>
            <w:tcW w:w="833" w:type="pct"/>
            <w:shd w:val="clear" w:color="auto" w:fill="auto"/>
          </w:tcPr>
          <w:p w14:paraId="708FF78B" w14:textId="77777777" w:rsidR="00206890" w:rsidRPr="00781112" w:rsidRDefault="00206890"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E187FD0" w14:textId="3237A264" w:rsidR="00206890" w:rsidRPr="00781112" w:rsidRDefault="002B7490" w:rsidP="00A018D4">
            <w:pPr>
              <w:jc w:val="center"/>
              <w:rPr>
                <w:rFonts w:cs="Arial"/>
                <w:color w:val="000000" w:themeColor="text1"/>
                <w:szCs w:val="16"/>
              </w:rPr>
            </w:pPr>
            <w:r w:rsidRPr="00781112">
              <w:rPr>
                <w:rFonts w:cs="Arial"/>
                <w:color w:val="000000" w:themeColor="text1"/>
                <w:szCs w:val="16"/>
              </w:rPr>
              <w:t>54.55%</w:t>
            </w:r>
          </w:p>
        </w:tc>
        <w:tc>
          <w:tcPr>
            <w:tcW w:w="833" w:type="pct"/>
            <w:shd w:val="clear" w:color="auto" w:fill="auto"/>
          </w:tcPr>
          <w:p w14:paraId="6CEC3330" w14:textId="5E8A3E06" w:rsidR="00206890" w:rsidRPr="00781112" w:rsidRDefault="002B7490" w:rsidP="00A018D4">
            <w:pPr>
              <w:jc w:val="center"/>
              <w:rPr>
                <w:rFonts w:cs="Arial"/>
                <w:color w:val="000000" w:themeColor="text1"/>
                <w:szCs w:val="16"/>
              </w:rPr>
            </w:pPr>
            <w:r w:rsidRPr="00781112">
              <w:rPr>
                <w:rFonts w:cs="Arial"/>
                <w:color w:val="000000" w:themeColor="text1"/>
                <w:szCs w:val="16"/>
              </w:rPr>
              <w:t>66.67%</w:t>
            </w:r>
          </w:p>
        </w:tc>
        <w:tc>
          <w:tcPr>
            <w:tcW w:w="833" w:type="pct"/>
            <w:tcBorders>
              <w:bottom w:val="single" w:sz="4" w:space="0" w:color="auto"/>
            </w:tcBorders>
            <w:shd w:val="clear" w:color="auto" w:fill="auto"/>
            <w:vAlign w:val="center"/>
          </w:tcPr>
          <w:p w14:paraId="3C74B678" w14:textId="22746FF8" w:rsidR="00206890" w:rsidRPr="00781112" w:rsidRDefault="002B7490" w:rsidP="00A018D4">
            <w:pPr>
              <w:jc w:val="center"/>
              <w:rPr>
                <w:rFonts w:cs="Arial"/>
                <w:color w:val="000000" w:themeColor="text1"/>
                <w:szCs w:val="16"/>
              </w:rPr>
            </w:pPr>
            <w:r w:rsidRPr="00781112">
              <w:rPr>
                <w:rFonts w:cs="Arial"/>
                <w:color w:val="000000" w:themeColor="text1"/>
                <w:szCs w:val="16"/>
              </w:rPr>
              <w:t>50.00%</w:t>
            </w:r>
          </w:p>
        </w:tc>
        <w:tc>
          <w:tcPr>
            <w:tcW w:w="833" w:type="pct"/>
            <w:tcBorders>
              <w:bottom w:val="single" w:sz="4" w:space="0" w:color="auto"/>
            </w:tcBorders>
            <w:shd w:val="clear" w:color="auto" w:fill="auto"/>
            <w:vAlign w:val="center"/>
          </w:tcPr>
          <w:p w14:paraId="6488E126" w14:textId="74B63322" w:rsidR="00206890" w:rsidRPr="00781112" w:rsidRDefault="002B7490" w:rsidP="00A018D4">
            <w:pPr>
              <w:jc w:val="center"/>
              <w:rPr>
                <w:rFonts w:cs="Arial"/>
                <w:color w:val="000000" w:themeColor="text1"/>
                <w:szCs w:val="16"/>
              </w:rPr>
            </w:pPr>
            <w:r w:rsidRPr="00781112">
              <w:rPr>
                <w:rFonts w:cs="Arial"/>
                <w:color w:val="000000" w:themeColor="text1"/>
                <w:szCs w:val="16"/>
              </w:rPr>
              <w:t>28.57%</w:t>
            </w:r>
          </w:p>
        </w:tc>
        <w:tc>
          <w:tcPr>
            <w:tcW w:w="834" w:type="pct"/>
            <w:tcBorders>
              <w:bottom w:val="single" w:sz="4" w:space="0" w:color="auto"/>
            </w:tcBorders>
            <w:shd w:val="clear" w:color="auto" w:fill="auto"/>
            <w:vAlign w:val="center"/>
          </w:tcPr>
          <w:p w14:paraId="72325A8D" w14:textId="79CE876D" w:rsidR="00206890" w:rsidRPr="00781112" w:rsidRDefault="002B7490" w:rsidP="00A018D4">
            <w:pPr>
              <w:jc w:val="center"/>
              <w:rPr>
                <w:rFonts w:cs="Arial"/>
                <w:color w:val="000000" w:themeColor="text1"/>
                <w:szCs w:val="16"/>
              </w:rPr>
            </w:pPr>
            <w:r w:rsidRPr="00781112">
              <w:rPr>
                <w:rFonts w:cs="Arial"/>
                <w:color w:val="000000" w:themeColor="text1"/>
                <w:szCs w:val="16"/>
              </w:rPr>
              <w:t>35.29%</w:t>
            </w:r>
          </w:p>
        </w:tc>
      </w:tr>
    </w:tbl>
    <w:p w14:paraId="49D45707" w14:textId="4136C190" w:rsidR="00CE0C68" w:rsidRPr="00781112" w:rsidRDefault="00CE0C68">
      <w:pPr>
        <w:rPr>
          <w:color w:val="000000" w:themeColor="text1"/>
        </w:rPr>
      </w:pPr>
    </w:p>
    <w:p w14:paraId="0B3CADC6" w14:textId="0A7F1EFC" w:rsidR="00372DF8" w:rsidRPr="00781112" w:rsidRDefault="00372DF8" w:rsidP="004369B2">
      <w:pPr>
        <w:rPr>
          <w:color w:val="000000" w:themeColor="text1"/>
        </w:rPr>
      </w:pPr>
      <w:r w:rsidRPr="00781112">
        <w:rPr>
          <w:b/>
          <w:color w:val="000000" w:themeColor="text1"/>
        </w:rPr>
        <w:t>Targets</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TARGETSOPT1"/>
      </w:tblPr>
      <w:tblGrid>
        <w:gridCol w:w="919"/>
        <w:gridCol w:w="2017"/>
        <w:gridCol w:w="1554"/>
        <w:gridCol w:w="1554"/>
        <w:gridCol w:w="1553"/>
        <w:gridCol w:w="1553"/>
        <w:gridCol w:w="1549"/>
      </w:tblGrid>
      <w:tr w:rsidR="00AF574F" w:rsidRPr="00781112" w14:paraId="5B5B06C7" w14:textId="5314EC59" w:rsidTr="004B2960">
        <w:trPr>
          <w:trHeight w:val="431"/>
        </w:trPr>
        <w:tc>
          <w:tcPr>
            <w:tcW w:w="429" w:type="pct"/>
            <w:tcBorders>
              <w:bottom w:val="single" w:sz="4" w:space="0" w:color="auto"/>
            </w:tcBorders>
            <w:shd w:val="clear" w:color="auto" w:fill="auto"/>
          </w:tcPr>
          <w:p w14:paraId="31E34DD6" w14:textId="77777777" w:rsidR="00AF574F" w:rsidRPr="00781112" w:rsidRDefault="00AF574F" w:rsidP="00AF574F">
            <w:pPr>
              <w:jc w:val="center"/>
              <w:rPr>
                <w:b/>
                <w:color w:val="000000" w:themeColor="text1"/>
              </w:rPr>
            </w:pPr>
            <w:r w:rsidRPr="00781112">
              <w:rPr>
                <w:b/>
                <w:color w:val="000000" w:themeColor="text1"/>
              </w:rPr>
              <w:t>FFY</w:t>
            </w:r>
          </w:p>
        </w:tc>
        <w:tc>
          <w:tcPr>
            <w:tcW w:w="942" w:type="pct"/>
            <w:shd w:val="clear" w:color="auto" w:fill="auto"/>
          </w:tcPr>
          <w:p w14:paraId="782DDA76" w14:textId="193A6DE4" w:rsidR="00AF574F" w:rsidRPr="00781112" w:rsidRDefault="00AF574F" w:rsidP="00AF574F">
            <w:pPr>
              <w:jc w:val="center"/>
              <w:rPr>
                <w:b/>
                <w:color w:val="000000" w:themeColor="text1"/>
              </w:rPr>
            </w:pPr>
            <w:r w:rsidRPr="00781112">
              <w:rPr>
                <w:b/>
                <w:color w:val="000000" w:themeColor="text1"/>
              </w:rPr>
              <w:t>2020</w:t>
            </w:r>
          </w:p>
        </w:tc>
        <w:tc>
          <w:tcPr>
            <w:tcW w:w="726" w:type="pct"/>
          </w:tcPr>
          <w:p w14:paraId="64BBFFA7" w14:textId="5A89DD6A" w:rsidR="00AF574F" w:rsidRPr="00781112" w:rsidRDefault="00AF574F" w:rsidP="00AF574F">
            <w:pPr>
              <w:spacing w:before="0" w:after="200" w:line="276" w:lineRule="auto"/>
            </w:pPr>
            <w:r w:rsidRPr="00781112">
              <w:rPr>
                <w:rFonts w:cs="Arial"/>
                <w:b/>
                <w:color w:val="000000" w:themeColor="text1"/>
                <w:szCs w:val="16"/>
              </w:rPr>
              <w:t>2021</w:t>
            </w:r>
          </w:p>
        </w:tc>
        <w:tc>
          <w:tcPr>
            <w:tcW w:w="726" w:type="pct"/>
          </w:tcPr>
          <w:p w14:paraId="1B4B8409" w14:textId="760000D9" w:rsidR="00AF574F" w:rsidRPr="00781112" w:rsidRDefault="00AF574F" w:rsidP="00AF574F">
            <w:pPr>
              <w:spacing w:before="0" w:after="200" w:line="276" w:lineRule="auto"/>
            </w:pPr>
            <w:r w:rsidRPr="00781112">
              <w:rPr>
                <w:rFonts w:cs="Arial"/>
                <w:b/>
                <w:color w:val="000000" w:themeColor="text1"/>
                <w:szCs w:val="16"/>
              </w:rPr>
              <w:t>2022</w:t>
            </w:r>
          </w:p>
        </w:tc>
        <w:tc>
          <w:tcPr>
            <w:tcW w:w="726" w:type="pct"/>
          </w:tcPr>
          <w:p w14:paraId="3B1502FE" w14:textId="792D80C3" w:rsidR="00AF574F" w:rsidRPr="00781112" w:rsidRDefault="00AF574F" w:rsidP="00AF574F">
            <w:pPr>
              <w:spacing w:before="0" w:after="200" w:line="276" w:lineRule="auto"/>
            </w:pPr>
            <w:r w:rsidRPr="00781112">
              <w:rPr>
                <w:rFonts w:cs="Arial"/>
                <w:b/>
                <w:color w:val="000000" w:themeColor="text1"/>
                <w:szCs w:val="16"/>
              </w:rPr>
              <w:t>2023</w:t>
            </w:r>
          </w:p>
        </w:tc>
        <w:tc>
          <w:tcPr>
            <w:tcW w:w="726" w:type="pct"/>
          </w:tcPr>
          <w:p w14:paraId="3020AD2E" w14:textId="61B1A376" w:rsidR="00AF574F" w:rsidRPr="00781112" w:rsidRDefault="00AF574F" w:rsidP="00AF574F">
            <w:pPr>
              <w:spacing w:before="0" w:after="200" w:line="276" w:lineRule="auto"/>
            </w:pPr>
            <w:r w:rsidRPr="00781112">
              <w:rPr>
                <w:rFonts w:cs="Arial"/>
                <w:b/>
                <w:color w:val="000000" w:themeColor="text1"/>
                <w:szCs w:val="16"/>
              </w:rPr>
              <w:t>2024</w:t>
            </w:r>
          </w:p>
        </w:tc>
        <w:tc>
          <w:tcPr>
            <w:tcW w:w="724" w:type="pct"/>
          </w:tcPr>
          <w:p w14:paraId="70A08E8E" w14:textId="76D8D1FC" w:rsidR="00AF574F" w:rsidRPr="00781112" w:rsidRDefault="00AF574F" w:rsidP="00AF574F">
            <w:pPr>
              <w:spacing w:before="0" w:after="200" w:line="276" w:lineRule="auto"/>
            </w:pPr>
            <w:r w:rsidRPr="00781112">
              <w:rPr>
                <w:rFonts w:cs="Arial"/>
                <w:b/>
                <w:color w:val="000000" w:themeColor="text1"/>
                <w:szCs w:val="16"/>
              </w:rPr>
              <w:t>2025</w:t>
            </w:r>
          </w:p>
        </w:tc>
      </w:tr>
      <w:tr w:rsidR="00AF574F" w:rsidRPr="00781112" w14:paraId="2E97FCFB" w14:textId="76FCB4DE" w:rsidTr="004B2960">
        <w:trPr>
          <w:trHeight w:val="521"/>
        </w:trPr>
        <w:tc>
          <w:tcPr>
            <w:tcW w:w="429" w:type="pct"/>
            <w:shd w:val="clear" w:color="auto" w:fill="auto"/>
          </w:tcPr>
          <w:p w14:paraId="4E1FED50" w14:textId="35E6081C" w:rsidR="00AF574F" w:rsidRPr="00781112" w:rsidRDefault="00AF574F" w:rsidP="00AF574F">
            <w:pPr>
              <w:rPr>
                <w:rFonts w:cs="Arial"/>
                <w:color w:val="000000" w:themeColor="text1"/>
                <w:szCs w:val="16"/>
              </w:rPr>
            </w:pPr>
            <w:r w:rsidRPr="00781112">
              <w:rPr>
                <w:rFonts w:cs="Arial"/>
                <w:color w:val="000000" w:themeColor="text1"/>
                <w:szCs w:val="16"/>
              </w:rPr>
              <w:t>Target &gt;=</w:t>
            </w:r>
          </w:p>
        </w:tc>
        <w:tc>
          <w:tcPr>
            <w:tcW w:w="942" w:type="pct"/>
            <w:shd w:val="clear" w:color="auto" w:fill="auto"/>
            <w:vAlign w:val="center"/>
          </w:tcPr>
          <w:p w14:paraId="39DFFAEB" w14:textId="54D1D7D6" w:rsidR="00AF574F" w:rsidRPr="00781112" w:rsidRDefault="00AF574F" w:rsidP="00AF574F">
            <w:pPr>
              <w:jc w:val="center"/>
              <w:rPr>
                <w:rFonts w:cs="Arial"/>
                <w:color w:val="000000" w:themeColor="text1"/>
                <w:szCs w:val="16"/>
              </w:rPr>
            </w:pPr>
            <w:r w:rsidRPr="00781112">
              <w:rPr>
                <w:rFonts w:cs="Arial"/>
                <w:color w:val="000000" w:themeColor="text1"/>
                <w:szCs w:val="16"/>
              </w:rPr>
              <w:t>75.00%</w:t>
            </w:r>
          </w:p>
        </w:tc>
        <w:tc>
          <w:tcPr>
            <w:tcW w:w="726" w:type="pct"/>
          </w:tcPr>
          <w:p w14:paraId="57B3A075" w14:textId="21F2B25E" w:rsidR="00AF574F" w:rsidRPr="00781112" w:rsidRDefault="00AF574F" w:rsidP="00AF574F">
            <w:pPr>
              <w:spacing w:before="0" w:after="200" w:line="276" w:lineRule="auto"/>
            </w:pPr>
            <w:r w:rsidRPr="00781112">
              <w:rPr>
                <w:color w:val="000000" w:themeColor="text1"/>
                <w:szCs w:val="16"/>
              </w:rPr>
              <w:t>75.00%</w:t>
            </w:r>
          </w:p>
        </w:tc>
        <w:tc>
          <w:tcPr>
            <w:tcW w:w="726" w:type="pct"/>
          </w:tcPr>
          <w:p w14:paraId="211F936E" w14:textId="58F0DC2F" w:rsidR="00AF574F" w:rsidRPr="00781112" w:rsidRDefault="00AF574F" w:rsidP="00AF574F">
            <w:pPr>
              <w:spacing w:before="0" w:after="200" w:line="276" w:lineRule="auto"/>
            </w:pPr>
            <w:r w:rsidRPr="00781112">
              <w:rPr>
                <w:color w:val="000000" w:themeColor="text1"/>
                <w:szCs w:val="16"/>
              </w:rPr>
              <w:t>75.00%</w:t>
            </w:r>
          </w:p>
        </w:tc>
        <w:tc>
          <w:tcPr>
            <w:tcW w:w="726" w:type="pct"/>
          </w:tcPr>
          <w:p w14:paraId="53679E27" w14:textId="6773FF8D" w:rsidR="00AF574F" w:rsidRPr="00781112" w:rsidRDefault="00AF574F" w:rsidP="00AF574F">
            <w:pPr>
              <w:spacing w:before="0" w:after="200" w:line="276" w:lineRule="auto"/>
            </w:pPr>
            <w:r w:rsidRPr="00781112">
              <w:rPr>
                <w:color w:val="000000" w:themeColor="text1"/>
                <w:szCs w:val="16"/>
              </w:rPr>
              <w:t>75.00%</w:t>
            </w:r>
          </w:p>
        </w:tc>
        <w:tc>
          <w:tcPr>
            <w:tcW w:w="726" w:type="pct"/>
          </w:tcPr>
          <w:p w14:paraId="492B2B0A" w14:textId="258B9D99" w:rsidR="00AF574F" w:rsidRPr="00781112" w:rsidRDefault="00AF574F" w:rsidP="00AF574F">
            <w:pPr>
              <w:spacing w:before="0" w:after="200" w:line="276" w:lineRule="auto"/>
            </w:pPr>
            <w:r w:rsidRPr="00781112">
              <w:rPr>
                <w:color w:val="000000" w:themeColor="text1"/>
                <w:szCs w:val="16"/>
              </w:rPr>
              <w:t>75.00%</w:t>
            </w:r>
          </w:p>
        </w:tc>
        <w:tc>
          <w:tcPr>
            <w:tcW w:w="724" w:type="pct"/>
          </w:tcPr>
          <w:p w14:paraId="181EF58D" w14:textId="76BA9614" w:rsidR="00AF574F" w:rsidRPr="00781112" w:rsidRDefault="00AF574F" w:rsidP="00AF574F">
            <w:pPr>
              <w:spacing w:before="0" w:after="200" w:line="276" w:lineRule="auto"/>
            </w:pPr>
            <w:r w:rsidRPr="00781112">
              <w:rPr>
                <w:color w:val="000000" w:themeColor="text1"/>
                <w:szCs w:val="16"/>
              </w:rPr>
              <w:t>75.00%</w:t>
            </w:r>
          </w:p>
        </w:tc>
      </w:tr>
    </w:tbl>
    <w:p w14:paraId="25B7ED55" w14:textId="77777777" w:rsidR="00CE0C68" w:rsidRPr="00781112" w:rsidRDefault="00CE0C68" w:rsidP="004369B2">
      <w:pPr>
        <w:rPr>
          <w:color w:val="000000" w:themeColor="text1"/>
        </w:rPr>
      </w:pPr>
    </w:p>
    <w:p w14:paraId="639445A0" w14:textId="50400B62" w:rsidR="00634AD8" w:rsidRPr="00781112" w:rsidRDefault="00806C75">
      <w:pPr>
        <w:rPr>
          <w:b/>
          <w:color w:val="000000" w:themeColor="text1"/>
        </w:rPr>
      </w:pPr>
      <w:r w:rsidRPr="00781112">
        <w:rPr>
          <w:b/>
          <w:color w:val="000000" w:themeColor="text1"/>
        </w:rPr>
        <w:t>FFY 2020 SPP/APR Data</w:t>
      </w:r>
    </w:p>
    <w:p w14:paraId="59EF63A0" w14:textId="77777777" w:rsidR="00127006" w:rsidRPr="00781112" w:rsidRDefault="00127006"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5CFFYAPRDATA1OPT1"/>
      </w:tblPr>
      <w:tblGrid>
        <w:gridCol w:w="1634"/>
        <w:gridCol w:w="1625"/>
        <w:gridCol w:w="1271"/>
        <w:gridCol w:w="1908"/>
        <w:gridCol w:w="1493"/>
        <w:gridCol w:w="1452"/>
        <w:gridCol w:w="1407"/>
      </w:tblGrid>
      <w:tr w:rsidR="005C29F8" w:rsidRPr="00781112" w14:paraId="7CE022CD" w14:textId="689D2875" w:rsidTr="00877012">
        <w:trPr>
          <w:trHeight w:val="354"/>
          <w:tblHeader/>
        </w:trPr>
        <w:tc>
          <w:tcPr>
            <w:tcW w:w="757" w:type="pct"/>
            <w:shd w:val="clear" w:color="auto" w:fill="auto"/>
            <w:vAlign w:val="bottom"/>
          </w:tcPr>
          <w:p w14:paraId="4A4004E2" w14:textId="77777777" w:rsidR="00B14746" w:rsidRPr="00781112" w:rsidRDefault="00B14746" w:rsidP="00681BA6">
            <w:pPr>
              <w:jc w:val="center"/>
              <w:rPr>
                <w:rFonts w:cs="Arial"/>
                <w:b/>
                <w:color w:val="000000" w:themeColor="text1"/>
                <w:szCs w:val="16"/>
              </w:rPr>
            </w:pPr>
            <w:r w:rsidRPr="00781112">
              <w:rPr>
                <w:rFonts w:cs="Arial"/>
                <w:b/>
                <w:color w:val="000000" w:themeColor="text1"/>
                <w:szCs w:val="16"/>
              </w:rPr>
              <w:t>3.1(a) Number resolutions sessions resolved through settlement agreements</w:t>
            </w:r>
          </w:p>
        </w:tc>
        <w:tc>
          <w:tcPr>
            <w:tcW w:w="753" w:type="pct"/>
            <w:shd w:val="clear" w:color="auto" w:fill="auto"/>
            <w:vAlign w:val="bottom"/>
          </w:tcPr>
          <w:p w14:paraId="15083250" w14:textId="77777777" w:rsidR="00B14746" w:rsidRPr="00781112" w:rsidRDefault="00B14746" w:rsidP="00681BA6">
            <w:pPr>
              <w:jc w:val="center"/>
              <w:rPr>
                <w:rFonts w:cs="Arial"/>
                <w:b/>
                <w:color w:val="000000" w:themeColor="text1"/>
                <w:szCs w:val="16"/>
              </w:rPr>
            </w:pPr>
            <w:r w:rsidRPr="00781112">
              <w:rPr>
                <w:rFonts w:cs="Arial"/>
                <w:b/>
                <w:color w:val="000000" w:themeColor="text1"/>
                <w:szCs w:val="16"/>
              </w:rPr>
              <w:t>3.1 Number of resolutions sessions</w:t>
            </w:r>
          </w:p>
        </w:tc>
        <w:tc>
          <w:tcPr>
            <w:tcW w:w="589" w:type="pct"/>
            <w:shd w:val="clear" w:color="auto" w:fill="auto"/>
            <w:vAlign w:val="bottom"/>
          </w:tcPr>
          <w:p w14:paraId="61FCEFFA" w14:textId="44017C74" w:rsidR="00B14746"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884" w:type="pct"/>
            <w:shd w:val="clear" w:color="auto" w:fill="auto"/>
            <w:vAlign w:val="bottom"/>
          </w:tcPr>
          <w:p w14:paraId="5285C3DA" w14:textId="08103D6B" w:rsidR="00B14746" w:rsidRPr="00781112" w:rsidRDefault="00806C75" w:rsidP="00681BA6">
            <w:pPr>
              <w:jc w:val="center"/>
              <w:rPr>
                <w:rFonts w:cs="Arial"/>
                <w:b/>
                <w:color w:val="000000" w:themeColor="text1"/>
                <w:szCs w:val="16"/>
              </w:rPr>
            </w:pPr>
            <w:r w:rsidRPr="00781112">
              <w:rPr>
                <w:rFonts w:cs="Arial"/>
                <w:b/>
                <w:color w:val="000000" w:themeColor="text1"/>
                <w:szCs w:val="16"/>
              </w:rPr>
              <w:t>FFY 2020 Target</w:t>
            </w:r>
          </w:p>
        </w:tc>
        <w:tc>
          <w:tcPr>
            <w:tcW w:w="692" w:type="pct"/>
            <w:shd w:val="clear" w:color="auto" w:fill="auto"/>
            <w:vAlign w:val="bottom"/>
          </w:tcPr>
          <w:p w14:paraId="767EE33A" w14:textId="7210EC16" w:rsidR="00B14746" w:rsidRPr="00781112" w:rsidRDefault="00806C75" w:rsidP="00681BA6">
            <w:pPr>
              <w:jc w:val="center"/>
              <w:rPr>
                <w:rFonts w:cs="Arial"/>
                <w:b/>
                <w:color w:val="000000" w:themeColor="text1"/>
                <w:szCs w:val="16"/>
              </w:rPr>
            </w:pPr>
            <w:r w:rsidRPr="00781112">
              <w:rPr>
                <w:rFonts w:cs="Arial"/>
                <w:b/>
                <w:color w:val="000000" w:themeColor="text1"/>
                <w:szCs w:val="16"/>
              </w:rPr>
              <w:t>FFY 2020 Data</w:t>
            </w:r>
          </w:p>
        </w:tc>
        <w:tc>
          <w:tcPr>
            <w:tcW w:w="673" w:type="pct"/>
            <w:shd w:val="clear" w:color="auto" w:fill="auto"/>
            <w:vAlign w:val="bottom"/>
          </w:tcPr>
          <w:p w14:paraId="3FC7FD1C" w14:textId="7EA4D921" w:rsidR="00B14746" w:rsidRPr="00781112" w:rsidRDefault="00B14746" w:rsidP="00681BA6">
            <w:pPr>
              <w:jc w:val="center"/>
              <w:rPr>
                <w:rFonts w:cs="Arial"/>
                <w:b/>
                <w:color w:val="000000" w:themeColor="text1"/>
                <w:szCs w:val="16"/>
              </w:rPr>
            </w:pPr>
            <w:r w:rsidRPr="00781112">
              <w:rPr>
                <w:rFonts w:cs="Arial"/>
                <w:b/>
                <w:color w:val="000000" w:themeColor="text1"/>
                <w:szCs w:val="16"/>
              </w:rPr>
              <w:t>Status</w:t>
            </w:r>
          </w:p>
        </w:tc>
        <w:tc>
          <w:tcPr>
            <w:tcW w:w="652" w:type="pct"/>
            <w:shd w:val="clear" w:color="auto" w:fill="auto"/>
            <w:vAlign w:val="bottom"/>
          </w:tcPr>
          <w:p w14:paraId="7025F3A2" w14:textId="466A0744" w:rsidR="00B14746" w:rsidRPr="00781112" w:rsidRDefault="00B14746"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104AFA36" w14:textId="7B00739A" w:rsidTr="00877012">
        <w:trPr>
          <w:trHeight w:val="361"/>
        </w:trPr>
        <w:tc>
          <w:tcPr>
            <w:tcW w:w="757" w:type="pct"/>
            <w:shd w:val="clear" w:color="auto" w:fill="auto"/>
            <w:vAlign w:val="center"/>
          </w:tcPr>
          <w:p w14:paraId="3DA400B1" w14:textId="063A879F" w:rsidR="00372DF8" w:rsidRPr="00781112" w:rsidRDefault="002B7490" w:rsidP="00A018D4">
            <w:pPr>
              <w:jc w:val="center"/>
              <w:rPr>
                <w:rFonts w:cs="Arial"/>
                <w:color w:val="000000" w:themeColor="text1"/>
                <w:szCs w:val="16"/>
              </w:rPr>
            </w:pPr>
            <w:r w:rsidRPr="00781112">
              <w:rPr>
                <w:rFonts w:cs="Arial"/>
                <w:color w:val="000000" w:themeColor="text1"/>
                <w:szCs w:val="16"/>
              </w:rPr>
              <w:t>10</w:t>
            </w:r>
          </w:p>
        </w:tc>
        <w:tc>
          <w:tcPr>
            <w:tcW w:w="753" w:type="pct"/>
            <w:shd w:val="clear" w:color="auto" w:fill="auto"/>
          </w:tcPr>
          <w:p w14:paraId="57BB67A2" w14:textId="2B997355" w:rsidR="00372DF8" w:rsidRPr="00781112" w:rsidRDefault="002B7490" w:rsidP="00A018D4">
            <w:pPr>
              <w:jc w:val="center"/>
              <w:rPr>
                <w:rFonts w:cs="Arial"/>
                <w:color w:val="000000" w:themeColor="text1"/>
                <w:szCs w:val="16"/>
              </w:rPr>
            </w:pPr>
            <w:r w:rsidRPr="00781112">
              <w:rPr>
                <w:rFonts w:cs="Arial"/>
                <w:color w:val="000000" w:themeColor="text1"/>
                <w:szCs w:val="16"/>
              </w:rPr>
              <w:t>17</w:t>
            </w:r>
          </w:p>
        </w:tc>
        <w:tc>
          <w:tcPr>
            <w:tcW w:w="589" w:type="pct"/>
            <w:shd w:val="clear" w:color="auto" w:fill="auto"/>
          </w:tcPr>
          <w:p w14:paraId="759C2AEB" w14:textId="7C5FF94E" w:rsidR="00372DF8" w:rsidRPr="00781112" w:rsidRDefault="002B7490" w:rsidP="00A018D4">
            <w:pPr>
              <w:jc w:val="center"/>
              <w:rPr>
                <w:rFonts w:cs="Arial"/>
                <w:color w:val="000000" w:themeColor="text1"/>
                <w:szCs w:val="16"/>
              </w:rPr>
            </w:pPr>
            <w:r w:rsidRPr="00781112">
              <w:rPr>
                <w:rFonts w:cs="Arial"/>
                <w:color w:val="000000" w:themeColor="text1"/>
                <w:szCs w:val="16"/>
              </w:rPr>
              <w:t>35.29%</w:t>
            </w:r>
          </w:p>
        </w:tc>
        <w:tc>
          <w:tcPr>
            <w:tcW w:w="884" w:type="pct"/>
            <w:shd w:val="clear" w:color="auto" w:fill="auto"/>
          </w:tcPr>
          <w:p w14:paraId="446CA14A" w14:textId="2AFBAFDB" w:rsidR="00372DF8"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692" w:type="pct"/>
            <w:shd w:val="clear" w:color="auto" w:fill="auto"/>
          </w:tcPr>
          <w:p w14:paraId="4B8389D1" w14:textId="31159250" w:rsidR="00372DF8" w:rsidRPr="00781112" w:rsidRDefault="002B7490" w:rsidP="00A018D4">
            <w:pPr>
              <w:jc w:val="center"/>
              <w:rPr>
                <w:rFonts w:cs="Arial"/>
                <w:color w:val="000000" w:themeColor="text1"/>
                <w:szCs w:val="16"/>
              </w:rPr>
            </w:pPr>
            <w:r w:rsidRPr="00781112">
              <w:rPr>
                <w:rFonts w:cs="Arial"/>
                <w:color w:val="000000" w:themeColor="text1"/>
                <w:szCs w:val="16"/>
              </w:rPr>
              <w:t>58.82%</w:t>
            </w:r>
          </w:p>
        </w:tc>
        <w:tc>
          <w:tcPr>
            <w:tcW w:w="673" w:type="pct"/>
            <w:shd w:val="clear" w:color="auto" w:fill="auto"/>
          </w:tcPr>
          <w:p w14:paraId="73DE10E2" w14:textId="0659DF1D" w:rsidR="00372DF8"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52" w:type="pct"/>
            <w:shd w:val="clear" w:color="auto" w:fill="auto"/>
          </w:tcPr>
          <w:p w14:paraId="5B5FCE8F" w14:textId="2E877FC8" w:rsidR="00372DF8"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1C1290A" w14:textId="0F368A1B"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225AF7B0" w14:textId="0953EFAC" w:rsidR="00293C7E" w:rsidRPr="00781112" w:rsidRDefault="00293C7E" w:rsidP="007D435F">
      <w:pPr>
        <w:rPr>
          <w:rFonts w:cs="Arial"/>
          <w:color w:val="000000" w:themeColor="text1"/>
          <w:szCs w:val="16"/>
        </w:rPr>
      </w:pPr>
    </w:p>
    <w:p w14:paraId="69486921" w14:textId="29EDB346" w:rsidR="00293C7E" w:rsidRPr="00781112" w:rsidRDefault="00DF2D3A" w:rsidP="00123D76">
      <w:pPr>
        <w:pStyle w:val="Heading2"/>
      </w:pPr>
      <w:r w:rsidRPr="00781112">
        <w:t>15</w:t>
      </w:r>
      <w:r w:rsidR="001D508D" w:rsidRPr="00781112">
        <w:t xml:space="preserve"> </w:t>
      </w:r>
      <w:r w:rsidRPr="00781112">
        <w:t xml:space="preserve">- </w:t>
      </w:r>
      <w:r w:rsidR="00293C7E" w:rsidRPr="00781112">
        <w:t>Prior FFY Required Actions</w:t>
      </w:r>
    </w:p>
    <w:p w14:paraId="19F5FEB1" w14:textId="2905DE18" w:rsidR="00293C7E" w:rsidRPr="00781112" w:rsidRDefault="002B7490" w:rsidP="00293C7E">
      <w:pPr>
        <w:rPr>
          <w:rFonts w:cs="Arial"/>
          <w:color w:val="000000" w:themeColor="text1"/>
          <w:szCs w:val="16"/>
        </w:rPr>
      </w:pPr>
      <w:r w:rsidRPr="00781112">
        <w:rPr>
          <w:rFonts w:cs="Arial"/>
          <w:color w:val="000000" w:themeColor="text1"/>
          <w:szCs w:val="16"/>
        </w:rPr>
        <w:t>None</w:t>
      </w:r>
    </w:p>
    <w:p w14:paraId="6506D351" w14:textId="1F034745" w:rsidR="00913A33" w:rsidRPr="00781112" w:rsidRDefault="00DF2D3A" w:rsidP="00123D76">
      <w:pPr>
        <w:pStyle w:val="Heading2"/>
      </w:pPr>
      <w:r w:rsidRPr="00781112">
        <w:t>15 - OSEP Response</w:t>
      </w:r>
    </w:p>
    <w:p w14:paraId="639FEA08" w14:textId="30C19155" w:rsidR="00293C7E" w:rsidRPr="00781112" w:rsidRDefault="002B7490" w:rsidP="001F692C">
      <w:pPr>
        <w:rPr>
          <w:rFonts w:cs="Arial"/>
          <w:color w:val="000000" w:themeColor="text1"/>
          <w:szCs w:val="16"/>
        </w:rPr>
      </w:pPr>
      <w:r w:rsidRPr="00781112">
        <w:rPr>
          <w:rFonts w:cs="Arial"/>
          <w:color w:val="000000" w:themeColor="text1"/>
          <w:szCs w:val="16"/>
        </w:rPr>
        <w:t>The State provided targets for this indicator, and OSEP accepts those targets.</w:t>
      </w:r>
    </w:p>
    <w:p w14:paraId="7634025D" w14:textId="5BD1D671" w:rsidR="00913A33" w:rsidRPr="00781112" w:rsidRDefault="00DF2D3A" w:rsidP="00123D76">
      <w:pPr>
        <w:pStyle w:val="Heading2"/>
      </w:pPr>
      <w:r w:rsidRPr="00781112">
        <w:t>15 - Required Actions</w:t>
      </w:r>
    </w:p>
    <w:p w14:paraId="06C735B1" w14:textId="277EA689" w:rsidR="00293C7E" w:rsidRPr="00781112" w:rsidRDefault="00293C7E" w:rsidP="001F692C">
      <w:pPr>
        <w:rPr>
          <w:rFonts w:cs="Arial"/>
          <w:color w:val="000000" w:themeColor="text1"/>
          <w:szCs w:val="16"/>
        </w:rPr>
      </w:pPr>
    </w:p>
    <w:p w14:paraId="259DEDCC" w14:textId="77777777" w:rsidR="000C60E1" w:rsidRPr="00781112" w:rsidRDefault="000C60E1">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3B0D4FE" w14:textId="34B4FBB0" w:rsidR="007F0CEC" w:rsidRPr="00781112" w:rsidRDefault="007F0CEC" w:rsidP="000444E2">
      <w:pPr>
        <w:pStyle w:val="Heading1"/>
        <w:rPr>
          <w:color w:val="000000" w:themeColor="text1"/>
          <w:sz w:val="22"/>
        </w:rPr>
      </w:pPr>
      <w:r w:rsidRPr="00781112">
        <w:rPr>
          <w:color w:val="000000" w:themeColor="text1"/>
          <w:sz w:val="22"/>
        </w:rPr>
        <w:lastRenderedPageBreak/>
        <w:t>Indicator 16: Mediation</w:t>
      </w:r>
    </w:p>
    <w:p w14:paraId="589E185D" w14:textId="77777777" w:rsidR="00BF232E" w:rsidRPr="00781112" w:rsidRDefault="00BF232E" w:rsidP="00A018D4">
      <w:pPr>
        <w:rPr>
          <w:color w:val="000000" w:themeColor="text1"/>
          <w:szCs w:val="20"/>
        </w:rPr>
      </w:pPr>
      <w:bookmarkStart w:id="87" w:name="_Toc382731916"/>
      <w:bookmarkStart w:id="88" w:name="_Toc392159344"/>
      <w:r w:rsidRPr="00781112">
        <w:rPr>
          <w:b/>
          <w:color w:val="000000" w:themeColor="text1"/>
          <w:sz w:val="20"/>
          <w:szCs w:val="20"/>
        </w:rPr>
        <w:t>Instructions and Measurement</w:t>
      </w:r>
    </w:p>
    <w:p w14:paraId="41E7E4F9" w14:textId="500BC36F" w:rsidR="009B6586" w:rsidRPr="00781112" w:rsidRDefault="009B6586" w:rsidP="008E31C4">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573A26D5" w14:textId="77777777" w:rsidR="00692B95" w:rsidRPr="00781112" w:rsidRDefault="009B6586" w:rsidP="008E31C4">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mediations held that resulted in mediation agreements.</w:t>
      </w:r>
      <w:r w:rsidR="00131842" w:rsidRPr="00781112">
        <w:rPr>
          <w:rFonts w:cs="Arial"/>
          <w:color w:val="000000" w:themeColor="text1"/>
          <w:szCs w:val="16"/>
        </w:rPr>
        <w:t xml:space="preserve"> </w:t>
      </w:r>
    </w:p>
    <w:p w14:paraId="7847EFFB" w14:textId="03A11F4B" w:rsidR="009B6586" w:rsidRPr="00781112" w:rsidRDefault="009B6586" w:rsidP="008E31C4">
      <w:pPr>
        <w:rPr>
          <w:rFonts w:cs="Arial"/>
          <w:color w:val="000000" w:themeColor="text1"/>
          <w:szCs w:val="16"/>
        </w:rPr>
      </w:pPr>
      <w:r w:rsidRPr="00781112">
        <w:rPr>
          <w:rFonts w:cs="Arial"/>
          <w:color w:val="000000" w:themeColor="text1"/>
          <w:szCs w:val="16"/>
        </w:rPr>
        <w:t>(20 U.S.C. 1416(a)(3(B))</w:t>
      </w:r>
    </w:p>
    <w:p w14:paraId="0F859DBB" w14:textId="77777777" w:rsidR="00692B95" w:rsidRPr="00781112" w:rsidRDefault="00692B95" w:rsidP="004369B2">
      <w:pPr>
        <w:rPr>
          <w:color w:val="000000" w:themeColor="text1"/>
        </w:rPr>
      </w:pPr>
      <w:r w:rsidRPr="00781112">
        <w:rPr>
          <w:b/>
          <w:color w:val="000000" w:themeColor="text1"/>
        </w:rPr>
        <w:t>Data Source</w:t>
      </w:r>
    </w:p>
    <w:p w14:paraId="1400D43F" w14:textId="253D0B1A" w:rsidR="00692B95" w:rsidRPr="00781112" w:rsidRDefault="00692B95" w:rsidP="008E31C4">
      <w:pPr>
        <w:rPr>
          <w:rFonts w:cs="Arial"/>
          <w:color w:val="000000" w:themeColor="text1"/>
          <w:szCs w:val="16"/>
        </w:rPr>
      </w:pPr>
      <w:r w:rsidRPr="00781112">
        <w:rPr>
          <w:rFonts w:cs="Arial"/>
          <w:color w:val="000000" w:themeColor="text1"/>
          <w:szCs w:val="16"/>
        </w:rPr>
        <w:t>Data collected under section 618 of the IDEA (IDEA Part B Dispute Resolution Survey in the EDFacts Metadata and Process System (E</w:t>
      </w:r>
      <w:r w:rsidR="00E65E32" w:rsidRPr="00781112">
        <w:rPr>
          <w:rFonts w:cs="Arial"/>
          <w:i/>
          <w:color w:val="000000" w:themeColor="text1"/>
          <w:szCs w:val="16"/>
        </w:rPr>
        <w:t>MAPS</w:t>
      </w:r>
      <w:r w:rsidRPr="00781112">
        <w:rPr>
          <w:rFonts w:cs="Arial"/>
          <w:color w:val="000000" w:themeColor="text1"/>
          <w:szCs w:val="16"/>
        </w:rPr>
        <w:t>)).</w:t>
      </w:r>
    </w:p>
    <w:p w14:paraId="7EDB2909" w14:textId="77777777" w:rsidR="00692B95" w:rsidRPr="00781112" w:rsidRDefault="00692B95" w:rsidP="004369B2">
      <w:pPr>
        <w:rPr>
          <w:color w:val="000000" w:themeColor="text1"/>
        </w:rPr>
      </w:pPr>
      <w:r w:rsidRPr="00781112">
        <w:rPr>
          <w:b/>
          <w:color w:val="000000" w:themeColor="text1"/>
        </w:rPr>
        <w:t>Measurement</w:t>
      </w:r>
    </w:p>
    <w:p w14:paraId="38C2284B" w14:textId="1E75D304" w:rsidR="00692B95" w:rsidRPr="00781112" w:rsidRDefault="00692B95" w:rsidP="008E31C4">
      <w:pPr>
        <w:rPr>
          <w:rFonts w:cs="Arial"/>
          <w:color w:val="000000" w:themeColor="text1"/>
          <w:szCs w:val="16"/>
        </w:rPr>
      </w:pPr>
      <w:r w:rsidRPr="00781112">
        <w:rPr>
          <w:rFonts w:cs="Arial"/>
          <w:color w:val="000000" w:themeColor="text1"/>
          <w:szCs w:val="16"/>
        </w:rPr>
        <w:t>Percent = (2.1(a)(i) + 2.1(b)(i)) divided by 2.1) times 100.</w:t>
      </w:r>
    </w:p>
    <w:p w14:paraId="0B909FFD" w14:textId="77777777" w:rsidR="00692B95" w:rsidRPr="00781112" w:rsidRDefault="00692B95" w:rsidP="004369B2">
      <w:pPr>
        <w:rPr>
          <w:color w:val="000000" w:themeColor="text1"/>
        </w:rPr>
      </w:pPr>
      <w:r w:rsidRPr="00781112">
        <w:rPr>
          <w:b/>
          <w:color w:val="000000" w:themeColor="text1"/>
        </w:rPr>
        <w:t>Instructions</w:t>
      </w:r>
    </w:p>
    <w:p w14:paraId="46565F1D" w14:textId="77777777" w:rsidR="00692B95" w:rsidRPr="00781112" w:rsidRDefault="00692B95" w:rsidP="00286BDF">
      <w:pPr>
        <w:rPr>
          <w:rFonts w:cs="Arial"/>
          <w:i/>
          <w:iCs/>
          <w:color w:val="000000" w:themeColor="text1"/>
          <w:szCs w:val="16"/>
        </w:rPr>
      </w:pPr>
      <w:r w:rsidRPr="00781112">
        <w:rPr>
          <w:rFonts w:cs="Arial"/>
          <w:i/>
          <w:iCs/>
          <w:color w:val="000000" w:themeColor="text1"/>
          <w:szCs w:val="16"/>
        </w:rPr>
        <w:t>Sampling is not allowed.</w:t>
      </w:r>
    </w:p>
    <w:p w14:paraId="7A8BA9D5" w14:textId="77777777" w:rsidR="00692B95" w:rsidRPr="00781112" w:rsidRDefault="00692B95"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5AFF4976" w14:textId="6DE2BA12" w:rsidR="00692B95" w:rsidRPr="00781112" w:rsidRDefault="00692B95" w:rsidP="00286BDF">
      <w:pPr>
        <w:rPr>
          <w:rFonts w:cs="Arial"/>
          <w:color w:val="000000" w:themeColor="text1"/>
          <w:szCs w:val="16"/>
        </w:rPr>
      </w:pPr>
      <w:r w:rsidRPr="00781112">
        <w:rPr>
          <w:rFonts w:cs="Arial"/>
          <w:color w:val="000000" w:themeColor="text1"/>
          <w:szCs w:val="16"/>
        </w:rPr>
        <w:t xml:space="preserve">States are not required to establish baseline or targets if the number of </w:t>
      </w:r>
      <w:r w:rsidR="00482C3B" w:rsidRPr="00781112">
        <w:rPr>
          <w:rFonts w:cs="Arial"/>
          <w:szCs w:val="16"/>
        </w:rPr>
        <w:t>mediations</w:t>
      </w:r>
      <w:r w:rsidRPr="00781112">
        <w:rPr>
          <w:rFonts w:cs="Arial"/>
          <w:color w:val="000000" w:themeColor="text1"/>
          <w:szCs w:val="16"/>
        </w:rPr>
        <w:t xml:space="preserve"> is less than 10. In a reporting period when the number of resolution </w:t>
      </w:r>
      <w:r w:rsidR="00DA0D8C" w:rsidRPr="00781112">
        <w:rPr>
          <w:rFonts w:cs="Arial"/>
          <w:szCs w:val="16"/>
        </w:rPr>
        <w:t xml:space="preserve">mediations reaches </w:t>
      </w:r>
      <w:r w:rsidRPr="00781112">
        <w:rPr>
          <w:rFonts w:cs="Arial"/>
          <w:color w:val="000000" w:themeColor="text1"/>
          <w:szCs w:val="16"/>
        </w:rPr>
        <w:t>10 or greater, develop baseline</w:t>
      </w:r>
      <w:r w:rsidR="00D14A1B" w:rsidRPr="00781112">
        <w:rPr>
          <w:rFonts w:cs="Arial"/>
          <w:color w:val="000000" w:themeColor="text1"/>
          <w:szCs w:val="16"/>
        </w:rPr>
        <w:t xml:space="preserve"> and</w:t>
      </w:r>
      <w:r w:rsidRPr="00781112">
        <w:rPr>
          <w:rFonts w:cs="Arial"/>
          <w:color w:val="000000" w:themeColor="text1"/>
          <w:szCs w:val="16"/>
        </w:rPr>
        <w:t xml:space="preserve"> targets and report on them in the corresponding SPP/APR.</w:t>
      </w:r>
    </w:p>
    <w:p w14:paraId="0EB22217" w14:textId="77777777" w:rsidR="00692B95" w:rsidRPr="00781112" w:rsidRDefault="00692B95" w:rsidP="00286BDF">
      <w:pPr>
        <w:rPr>
          <w:rFonts w:cs="Arial"/>
          <w:color w:val="000000" w:themeColor="text1"/>
          <w:szCs w:val="16"/>
        </w:rPr>
      </w:pPr>
      <w:r w:rsidRPr="00781112">
        <w:rPr>
          <w:rFonts w:cs="Arial"/>
          <w:color w:val="000000" w:themeColor="text1"/>
          <w:szCs w:val="16"/>
        </w:rPr>
        <w:t>States may express their targets in a range (e.g., 75-85%).</w:t>
      </w:r>
    </w:p>
    <w:p w14:paraId="62D2873F" w14:textId="77777777" w:rsidR="00692B95" w:rsidRPr="00781112" w:rsidRDefault="00692B95"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419B733F" w14:textId="44198020" w:rsidR="00692B95" w:rsidRPr="00781112" w:rsidRDefault="00692B95" w:rsidP="00286BDF">
      <w:pPr>
        <w:rPr>
          <w:rFonts w:cs="Arial"/>
          <w:color w:val="000000" w:themeColor="text1"/>
          <w:szCs w:val="16"/>
        </w:rPr>
      </w:pPr>
      <w:r w:rsidRPr="00781112">
        <w:rPr>
          <w:rFonts w:cs="Arial"/>
          <w:color w:val="000000" w:themeColor="text1"/>
          <w:szCs w:val="16"/>
        </w:rPr>
        <w:t>States are not required to report data at the LEA level.</w:t>
      </w:r>
    </w:p>
    <w:p w14:paraId="32179671" w14:textId="1C1C859E" w:rsidR="00B37C74" w:rsidRPr="00781112" w:rsidRDefault="001C46DC" w:rsidP="00123D76">
      <w:pPr>
        <w:pStyle w:val="Heading2"/>
      </w:pPr>
      <w:r w:rsidRPr="00781112">
        <w:t>16</w:t>
      </w:r>
      <w:r w:rsidR="001D508D" w:rsidRPr="00781112">
        <w:t xml:space="preserve"> </w:t>
      </w:r>
      <w:r w:rsidRPr="00781112">
        <w:t xml:space="preserve">- </w:t>
      </w:r>
      <w:r w:rsidR="00BF232E" w:rsidRPr="00781112">
        <w:t>Indicator Data</w:t>
      </w:r>
    </w:p>
    <w:p w14:paraId="6A39385A" w14:textId="49DFE75B" w:rsidR="00F31AD8" w:rsidRPr="00781112" w:rsidRDefault="007D219D" w:rsidP="00F31AD8">
      <w:pPr>
        <w:rPr>
          <w:rFonts w:cs="Arial"/>
          <w:b/>
          <w:color w:val="000000" w:themeColor="text1"/>
          <w:szCs w:val="16"/>
        </w:rPr>
      </w:pPr>
      <w:r w:rsidRPr="00781112">
        <w:rPr>
          <w:rFonts w:cs="Arial"/>
          <w:b/>
          <w:color w:val="000000" w:themeColor="text1"/>
          <w:szCs w:val="16"/>
        </w:rPr>
        <w:t>Select yes to use target ranges</w:t>
      </w:r>
    </w:p>
    <w:p w14:paraId="6CBE99A1" w14:textId="4EA49071" w:rsidR="00F31AD8" w:rsidRPr="00781112" w:rsidRDefault="00F31AD8" w:rsidP="004369B2">
      <w:pPr>
        <w:rPr>
          <w:color w:val="000000" w:themeColor="text1"/>
        </w:rPr>
      </w:pPr>
      <w:r w:rsidRPr="00781112">
        <w:rPr>
          <w:rFonts w:cs="Arial"/>
          <w:color w:val="000000" w:themeColor="text1"/>
          <w:szCs w:val="16"/>
        </w:rPr>
        <w:t>Target Range not used</w:t>
      </w:r>
    </w:p>
    <w:bookmarkEnd w:id="87"/>
    <w:bookmarkEnd w:id="88"/>
    <w:p w14:paraId="3951D0E9" w14:textId="77777777" w:rsidR="00DA3157" w:rsidRPr="00781112" w:rsidRDefault="00DA3157" w:rsidP="004369B2">
      <w:pPr>
        <w:rPr>
          <w:color w:val="000000" w:themeColor="text1"/>
        </w:rPr>
      </w:pPr>
    </w:p>
    <w:p w14:paraId="118840D3" w14:textId="0C4E77AD" w:rsidR="008E31C4" w:rsidRPr="00781112" w:rsidRDefault="008E31C4"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6PREPOP"/>
      </w:tblPr>
      <w:tblGrid>
        <w:gridCol w:w="2695"/>
        <w:gridCol w:w="2790"/>
        <w:gridCol w:w="3522"/>
        <w:gridCol w:w="1783"/>
      </w:tblGrid>
      <w:tr w:rsidR="005C29F8" w:rsidRPr="00781112" w14:paraId="61A5E3A0" w14:textId="77777777" w:rsidTr="0064117D">
        <w:trPr>
          <w:trHeight w:val="372"/>
          <w:tblHeader/>
        </w:trPr>
        <w:tc>
          <w:tcPr>
            <w:tcW w:w="1249" w:type="pct"/>
            <w:shd w:val="clear" w:color="auto" w:fill="auto"/>
          </w:tcPr>
          <w:p w14:paraId="332BA503"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Source</w:t>
            </w:r>
          </w:p>
        </w:tc>
        <w:tc>
          <w:tcPr>
            <w:tcW w:w="1293" w:type="pct"/>
            <w:shd w:val="clear" w:color="auto" w:fill="auto"/>
          </w:tcPr>
          <w:p w14:paraId="2C662D12"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Date</w:t>
            </w:r>
          </w:p>
        </w:tc>
        <w:tc>
          <w:tcPr>
            <w:tcW w:w="1632" w:type="pct"/>
            <w:shd w:val="clear" w:color="auto" w:fill="auto"/>
          </w:tcPr>
          <w:p w14:paraId="66DBE23B"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Description</w:t>
            </w:r>
          </w:p>
        </w:tc>
        <w:tc>
          <w:tcPr>
            <w:tcW w:w="826" w:type="pct"/>
            <w:shd w:val="clear" w:color="auto" w:fill="auto"/>
          </w:tcPr>
          <w:p w14:paraId="1C82D158"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0EB08E99" w14:textId="77777777" w:rsidTr="0064117D">
        <w:trPr>
          <w:trHeight w:val="380"/>
        </w:trPr>
        <w:tc>
          <w:tcPr>
            <w:tcW w:w="1249" w:type="pct"/>
            <w:shd w:val="clear" w:color="auto" w:fill="auto"/>
          </w:tcPr>
          <w:p w14:paraId="341A55FB" w14:textId="389190B6" w:rsidR="001126C3" w:rsidRPr="00781112" w:rsidRDefault="002B7490" w:rsidP="001126C3">
            <w:pPr>
              <w:jc w:val="center"/>
              <w:rPr>
                <w:rFonts w:cs="Arial"/>
                <w:color w:val="000000" w:themeColor="text1"/>
                <w:szCs w:val="16"/>
              </w:rPr>
            </w:pPr>
            <w:r w:rsidRPr="00781112">
              <w:rPr>
                <w:rFonts w:cs="Arial"/>
                <w:color w:val="000000" w:themeColor="text1"/>
                <w:szCs w:val="16"/>
              </w:rPr>
              <w:t>SY 2020-21 EMAPS IDEA Part B Dispute Resolution Survey; Section B: Mediation Requests</w:t>
            </w:r>
          </w:p>
        </w:tc>
        <w:tc>
          <w:tcPr>
            <w:tcW w:w="1293" w:type="pct"/>
            <w:shd w:val="clear" w:color="auto" w:fill="auto"/>
          </w:tcPr>
          <w:p w14:paraId="71614464" w14:textId="4369755A" w:rsidR="001126C3" w:rsidRPr="00781112" w:rsidRDefault="008174C3" w:rsidP="001126C3">
            <w:pPr>
              <w:jc w:val="center"/>
              <w:rPr>
                <w:rFonts w:cs="Arial"/>
                <w:color w:val="000000" w:themeColor="text1"/>
                <w:szCs w:val="16"/>
              </w:rPr>
            </w:pPr>
            <w:r w:rsidRPr="00781112">
              <w:rPr>
                <w:rFonts w:cs="Arial"/>
                <w:color w:val="000000" w:themeColor="text1"/>
                <w:szCs w:val="16"/>
              </w:rPr>
              <w:t>11/03/2021</w:t>
            </w:r>
          </w:p>
        </w:tc>
        <w:tc>
          <w:tcPr>
            <w:tcW w:w="1632" w:type="pct"/>
            <w:shd w:val="clear" w:color="auto" w:fill="auto"/>
          </w:tcPr>
          <w:p w14:paraId="3B8991BC" w14:textId="35D24A7C" w:rsidR="001126C3" w:rsidRPr="00781112" w:rsidRDefault="001126C3" w:rsidP="001126C3">
            <w:pPr>
              <w:rPr>
                <w:rFonts w:cs="Arial"/>
                <w:color w:val="000000" w:themeColor="text1"/>
                <w:szCs w:val="16"/>
              </w:rPr>
            </w:pPr>
            <w:r w:rsidRPr="00781112">
              <w:rPr>
                <w:rFonts w:cs="Arial"/>
                <w:color w:val="000000" w:themeColor="text1"/>
                <w:szCs w:val="16"/>
              </w:rPr>
              <w:t>2.1 Mediations held</w:t>
            </w:r>
          </w:p>
        </w:tc>
        <w:tc>
          <w:tcPr>
            <w:tcW w:w="826" w:type="pct"/>
            <w:shd w:val="clear" w:color="auto" w:fill="auto"/>
          </w:tcPr>
          <w:p w14:paraId="27A8B83C" w14:textId="708549A5" w:rsidR="001126C3" w:rsidRPr="00781112" w:rsidRDefault="002B7490" w:rsidP="00A018D4">
            <w:pPr>
              <w:jc w:val="center"/>
              <w:rPr>
                <w:rFonts w:cs="Arial"/>
                <w:color w:val="000000" w:themeColor="text1"/>
                <w:szCs w:val="16"/>
              </w:rPr>
            </w:pPr>
            <w:r w:rsidRPr="00781112">
              <w:rPr>
                <w:rFonts w:cs="Arial"/>
                <w:color w:val="000000" w:themeColor="text1"/>
                <w:szCs w:val="16"/>
              </w:rPr>
              <w:t>11</w:t>
            </w:r>
          </w:p>
        </w:tc>
      </w:tr>
      <w:tr w:rsidR="005C29F8" w:rsidRPr="00781112" w14:paraId="438B012B" w14:textId="77777777" w:rsidTr="0064117D">
        <w:trPr>
          <w:trHeight w:val="380"/>
        </w:trPr>
        <w:tc>
          <w:tcPr>
            <w:tcW w:w="1249" w:type="pct"/>
            <w:shd w:val="clear" w:color="auto" w:fill="auto"/>
          </w:tcPr>
          <w:p w14:paraId="265B2AEC" w14:textId="3FC7D25D" w:rsidR="001126C3" w:rsidRPr="00781112" w:rsidRDefault="008174C3" w:rsidP="001126C3">
            <w:pPr>
              <w:jc w:val="center"/>
              <w:rPr>
                <w:rFonts w:cs="Arial"/>
                <w:color w:val="000000" w:themeColor="text1"/>
                <w:szCs w:val="16"/>
              </w:rPr>
            </w:pPr>
            <w:r w:rsidRPr="00781112">
              <w:rPr>
                <w:rFonts w:cs="Arial"/>
                <w:color w:val="000000" w:themeColor="text1"/>
                <w:szCs w:val="16"/>
              </w:rPr>
              <w:t>SY 2020-21 EMAPS IDEA Part B Dispute Resolution Survey; Section B: Mediation Requests</w:t>
            </w:r>
          </w:p>
        </w:tc>
        <w:tc>
          <w:tcPr>
            <w:tcW w:w="1293" w:type="pct"/>
            <w:shd w:val="clear" w:color="auto" w:fill="auto"/>
          </w:tcPr>
          <w:p w14:paraId="128A6113" w14:textId="6FDE1D5D" w:rsidR="001126C3" w:rsidRPr="00781112" w:rsidRDefault="008174C3" w:rsidP="001126C3">
            <w:pPr>
              <w:jc w:val="center"/>
              <w:rPr>
                <w:rFonts w:cs="Arial"/>
                <w:color w:val="000000" w:themeColor="text1"/>
                <w:szCs w:val="16"/>
              </w:rPr>
            </w:pPr>
            <w:r w:rsidRPr="00781112">
              <w:rPr>
                <w:rFonts w:cs="Arial"/>
                <w:color w:val="000000" w:themeColor="text1"/>
                <w:szCs w:val="16"/>
              </w:rPr>
              <w:t>11/03/2021</w:t>
            </w:r>
          </w:p>
        </w:tc>
        <w:tc>
          <w:tcPr>
            <w:tcW w:w="1632" w:type="pct"/>
            <w:shd w:val="clear" w:color="auto" w:fill="auto"/>
          </w:tcPr>
          <w:p w14:paraId="61BAD85D" w14:textId="300FEE8B" w:rsidR="001126C3" w:rsidRPr="00781112" w:rsidRDefault="001126C3" w:rsidP="001126C3">
            <w:pPr>
              <w:rPr>
                <w:rFonts w:cs="Arial"/>
                <w:color w:val="000000" w:themeColor="text1"/>
                <w:szCs w:val="16"/>
              </w:rPr>
            </w:pPr>
            <w:r w:rsidRPr="00781112">
              <w:rPr>
                <w:rFonts w:cs="Arial"/>
                <w:color w:val="000000" w:themeColor="text1"/>
                <w:szCs w:val="16"/>
              </w:rPr>
              <w:t>2.1.a.i Mediations agreements related to due process complaints</w:t>
            </w:r>
          </w:p>
        </w:tc>
        <w:tc>
          <w:tcPr>
            <w:tcW w:w="826" w:type="pct"/>
            <w:shd w:val="clear" w:color="auto" w:fill="auto"/>
          </w:tcPr>
          <w:p w14:paraId="580B460B" w14:textId="49FBB0F1" w:rsidR="001126C3" w:rsidRPr="00781112" w:rsidRDefault="002B7490" w:rsidP="00A018D4">
            <w:pPr>
              <w:jc w:val="center"/>
              <w:rPr>
                <w:rFonts w:cs="Arial"/>
                <w:color w:val="000000" w:themeColor="text1"/>
                <w:szCs w:val="16"/>
              </w:rPr>
            </w:pPr>
            <w:r w:rsidRPr="00781112">
              <w:rPr>
                <w:rFonts w:cs="Arial"/>
                <w:color w:val="000000" w:themeColor="text1"/>
                <w:szCs w:val="16"/>
              </w:rPr>
              <w:t>4</w:t>
            </w:r>
          </w:p>
        </w:tc>
      </w:tr>
      <w:tr w:rsidR="005C29F8" w:rsidRPr="00781112" w14:paraId="53310D0D" w14:textId="77777777" w:rsidTr="0064117D">
        <w:trPr>
          <w:trHeight w:val="380"/>
        </w:trPr>
        <w:tc>
          <w:tcPr>
            <w:tcW w:w="1249" w:type="pct"/>
            <w:shd w:val="clear" w:color="auto" w:fill="auto"/>
          </w:tcPr>
          <w:p w14:paraId="295563AC" w14:textId="371961FC" w:rsidR="001126C3" w:rsidRPr="00781112" w:rsidRDefault="008174C3" w:rsidP="001126C3">
            <w:pPr>
              <w:jc w:val="center"/>
              <w:rPr>
                <w:rFonts w:cs="Arial"/>
                <w:color w:val="000000" w:themeColor="text1"/>
                <w:szCs w:val="16"/>
              </w:rPr>
            </w:pPr>
            <w:r w:rsidRPr="00781112">
              <w:rPr>
                <w:rFonts w:cs="Arial"/>
                <w:color w:val="000000" w:themeColor="text1"/>
                <w:szCs w:val="16"/>
              </w:rPr>
              <w:t>SY 2020-21 EMAPS IDEA Part B Dispute Resolution Survey; Section B: Mediation Requests</w:t>
            </w:r>
          </w:p>
        </w:tc>
        <w:tc>
          <w:tcPr>
            <w:tcW w:w="1293" w:type="pct"/>
            <w:shd w:val="clear" w:color="auto" w:fill="auto"/>
          </w:tcPr>
          <w:p w14:paraId="4BDD8D48" w14:textId="63D0DB48" w:rsidR="001126C3" w:rsidRPr="00781112" w:rsidRDefault="008174C3" w:rsidP="001126C3">
            <w:pPr>
              <w:jc w:val="center"/>
              <w:rPr>
                <w:rFonts w:cs="Arial"/>
                <w:color w:val="000000" w:themeColor="text1"/>
                <w:szCs w:val="16"/>
              </w:rPr>
            </w:pPr>
            <w:r w:rsidRPr="00781112">
              <w:rPr>
                <w:rFonts w:cs="Arial"/>
                <w:color w:val="000000" w:themeColor="text1"/>
                <w:szCs w:val="16"/>
              </w:rPr>
              <w:t>11/03/2021</w:t>
            </w:r>
          </w:p>
        </w:tc>
        <w:tc>
          <w:tcPr>
            <w:tcW w:w="1632" w:type="pct"/>
            <w:shd w:val="clear" w:color="auto" w:fill="auto"/>
          </w:tcPr>
          <w:p w14:paraId="0D81EE28" w14:textId="0901AFA3" w:rsidR="001126C3" w:rsidRPr="00781112" w:rsidRDefault="001126C3" w:rsidP="001126C3">
            <w:pPr>
              <w:rPr>
                <w:rFonts w:cs="Arial"/>
                <w:color w:val="000000" w:themeColor="text1"/>
                <w:szCs w:val="16"/>
              </w:rPr>
            </w:pPr>
            <w:r w:rsidRPr="00781112">
              <w:rPr>
                <w:rFonts w:cs="Arial"/>
                <w:color w:val="000000" w:themeColor="text1"/>
                <w:szCs w:val="16"/>
              </w:rPr>
              <w:t>2.1.b.i Mediations agreements not related to due process complaints</w:t>
            </w:r>
          </w:p>
        </w:tc>
        <w:tc>
          <w:tcPr>
            <w:tcW w:w="826" w:type="pct"/>
            <w:shd w:val="clear" w:color="auto" w:fill="auto"/>
          </w:tcPr>
          <w:p w14:paraId="4C9A36B1" w14:textId="285B67BA" w:rsidR="001126C3" w:rsidRPr="00781112" w:rsidRDefault="002B7490" w:rsidP="00A018D4">
            <w:pPr>
              <w:jc w:val="center"/>
              <w:rPr>
                <w:rFonts w:cs="Arial"/>
                <w:color w:val="000000" w:themeColor="text1"/>
                <w:szCs w:val="16"/>
              </w:rPr>
            </w:pPr>
            <w:r w:rsidRPr="00781112">
              <w:rPr>
                <w:rFonts w:cs="Arial"/>
                <w:color w:val="000000" w:themeColor="text1"/>
                <w:szCs w:val="16"/>
              </w:rPr>
              <w:t>1</w:t>
            </w:r>
          </w:p>
        </w:tc>
      </w:tr>
    </w:tbl>
    <w:p w14:paraId="2C4CE14C" w14:textId="5AC27D72" w:rsidR="00E8514E" w:rsidRPr="00781112" w:rsidRDefault="007D219D">
      <w:pPr>
        <w:rPr>
          <w:b/>
          <w:color w:val="000000" w:themeColor="text1"/>
        </w:rPr>
      </w:pPr>
      <w:r w:rsidRPr="00781112">
        <w:rPr>
          <w:b/>
          <w:color w:val="000000" w:themeColor="text1"/>
        </w:rPr>
        <w:t>Select yes if the data reported in this indicator are not the same as the State’s data reported under section 618 of the IDEA.</w:t>
      </w:r>
    </w:p>
    <w:p w14:paraId="69D1C140" w14:textId="4BF355D3" w:rsidR="00E8514E" w:rsidRPr="00781112" w:rsidRDefault="00E8514E">
      <w:pPr>
        <w:rPr>
          <w:color w:val="000000" w:themeColor="text1"/>
        </w:rPr>
      </w:pPr>
      <w:r w:rsidRPr="00781112">
        <w:rPr>
          <w:color w:val="000000" w:themeColor="text1"/>
        </w:rPr>
        <w:t>NO</w:t>
      </w:r>
    </w:p>
    <w:p w14:paraId="1451EE58" w14:textId="77777777" w:rsidR="00945274" w:rsidRPr="00781112" w:rsidRDefault="00945274" w:rsidP="004369B2">
      <w:pPr>
        <w:rPr>
          <w:color w:val="000000" w:themeColor="text1"/>
        </w:rPr>
      </w:pPr>
    </w:p>
    <w:p w14:paraId="58C79350" w14:textId="310C06FF" w:rsidR="000A2C83" w:rsidRPr="00781112" w:rsidRDefault="000A2C83" w:rsidP="004369B2">
      <w:pPr>
        <w:rPr>
          <w:b/>
          <w:color w:val="000000" w:themeColor="text1"/>
        </w:rPr>
      </w:pPr>
      <w:r w:rsidRPr="00781112">
        <w:rPr>
          <w:b/>
          <w:color w:val="000000" w:themeColor="text1"/>
        </w:rPr>
        <w:t xml:space="preserve">Targets: Description of Stakeholder Input </w:t>
      </w:r>
    </w:p>
    <w:p w14:paraId="7B6B5101" w14:textId="2C5569CC" w:rsidR="000A2C83" w:rsidRPr="00781112" w:rsidRDefault="002B7490" w:rsidP="000A2C83">
      <w:pPr>
        <w:rPr>
          <w:rFonts w:cs="Arial"/>
          <w:color w:val="000000" w:themeColor="text1"/>
          <w:szCs w:val="16"/>
        </w:rPr>
      </w:pPr>
      <w:r w:rsidRPr="00781112">
        <w:rPr>
          <w:rFonts w:cs="Arial"/>
          <w:color w:val="000000" w:themeColor="text1"/>
          <w:szCs w:val="16"/>
        </w:rPr>
        <w:t>Louisiana has developed a comprehensive vision for the future of education in our state—Louisiana Believes. The driving force of this vision is that every one of Louisiana’s children should be on track to a college degree or a professional career. This inclusive vision and Louisiana’s values were apparent in the development of the SPP as we solicited and received broad stakeholder input to inform the target setting process for FFY 2020 - FFY 2025. The LDOE used three phases to develop the SPP targets for FFY 2020 - FFY 2025: 1) internal review, 2) external stakeholder feedback, and 3) Special Education Advisory Panel (SEAP) integration.</w:t>
      </w:r>
      <w:r w:rsidRPr="00781112">
        <w:rPr>
          <w:rFonts w:cs="Arial"/>
          <w:color w:val="000000" w:themeColor="text1"/>
          <w:szCs w:val="16"/>
        </w:rPr>
        <w:br/>
      </w:r>
      <w:r w:rsidRPr="00781112">
        <w:rPr>
          <w:rFonts w:cs="Arial"/>
          <w:color w:val="000000" w:themeColor="text1"/>
          <w:szCs w:val="16"/>
        </w:rPr>
        <w:br/>
        <w:t xml:space="preserve">Internal Review </w:t>
      </w:r>
      <w:r w:rsidRPr="00781112">
        <w:rPr>
          <w:rFonts w:cs="Arial"/>
          <w:color w:val="000000" w:themeColor="text1"/>
          <w:szCs w:val="16"/>
        </w:rPr>
        <w:br/>
        <w:t xml:space="preserve">The LDOE's Division for Diverse Learners reviewed historical data and LDOE policies, procedures, and practices; and collaborated with internal teams to develop targets that were rigorous and attainable. </w:t>
      </w:r>
      <w:r w:rsidRPr="00781112">
        <w:rPr>
          <w:rFonts w:cs="Arial"/>
          <w:color w:val="000000" w:themeColor="text1"/>
          <w:szCs w:val="16"/>
        </w:rPr>
        <w:br/>
      </w:r>
      <w:r w:rsidRPr="00781112">
        <w:rPr>
          <w:rFonts w:cs="Arial"/>
          <w:color w:val="000000" w:themeColor="text1"/>
          <w:szCs w:val="16"/>
        </w:rPr>
        <w:br/>
        <w:t>External Stakeholder Feedback</w:t>
      </w:r>
      <w:r w:rsidRPr="00781112">
        <w:rPr>
          <w:rFonts w:cs="Arial"/>
          <w:color w:val="000000" w:themeColor="text1"/>
          <w:szCs w:val="16"/>
        </w:rPr>
        <w:br/>
        <w:t xml:space="preserve">The Division for Diverse Learners developed and executed an SPP/APR target setting engagement strategy to solicit broad stakeholder feedback on the FFY 2020 - FFY 2025 targets. The LDOE developed a State Performance Plan / Annual Performance Report Target Setting webpage on the Louisiana Believes website. The webpage contains an overview document with an explanation of each indicator, historical data for each indicator, and tables to clearly identify whether or not the State met targets for each indicator. After review of the overview document, a target setting survey was available for stakeholders to provide input on targets. </w:t>
      </w:r>
      <w:r w:rsidRPr="00781112">
        <w:rPr>
          <w:rFonts w:cs="Arial"/>
          <w:color w:val="000000" w:themeColor="text1"/>
          <w:szCs w:val="16"/>
        </w:rPr>
        <w:br/>
      </w:r>
      <w:r w:rsidRPr="00781112">
        <w:rPr>
          <w:rFonts w:cs="Arial"/>
          <w:color w:val="000000" w:themeColor="text1"/>
          <w:szCs w:val="16"/>
        </w:rPr>
        <w:br/>
        <w:t>SEAP Integration</w:t>
      </w:r>
      <w:r w:rsidRPr="00781112">
        <w:rPr>
          <w:rFonts w:cs="Arial"/>
          <w:color w:val="000000" w:themeColor="text1"/>
          <w:szCs w:val="16"/>
        </w:rPr>
        <w:br/>
        <w:t>The LDOE informed the SEAP on the target setting process at two separate meetings. LDOE provided an overview of each indicator along with historical data to SEAP members who provided input. SEAP's structure also allows for public comments, which were exercised at the meetings, providing external stakeholder feedback.</w:t>
      </w:r>
      <w:r w:rsidRPr="00781112">
        <w:rPr>
          <w:rFonts w:cs="Arial"/>
          <w:color w:val="000000" w:themeColor="text1"/>
          <w:szCs w:val="16"/>
        </w:rPr>
        <w:br/>
      </w:r>
      <w:r w:rsidRPr="00781112">
        <w:rPr>
          <w:rFonts w:cs="Arial"/>
          <w:color w:val="000000" w:themeColor="text1"/>
          <w:szCs w:val="16"/>
        </w:rPr>
        <w:br/>
        <w:t>The LDOE set targets based on feedback, historical data, and whether previous targets set were met. LDOE will continue to monitor data, targets, and changes to Indicator methodology, and may revise targets in the future, as necessary. Any revisions will incorporate stakeholder feedback, including, but not limited to, SEAP.</w:t>
      </w:r>
    </w:p>
    <w:p w14:paraId="5F0F979C" w14:textId="2A86F023" w:rsidR="000A2C83" w:rsidRPr="00781112" w:rsidRDefault="002B7490" w:rsidP="000A2C83">
      <w:pPr>
        <w:rPr>
          <w:rFonts w:cs="Arial"/>
          <w:color w:val="000000" w:themeColor="text1"/>
          <w:szCs w:val="16"/>
        </w:rPr>
      </w:pPr>
      <w:r w:rsidRPr="00781112">
        <w:rPr>
          <w:rFonts w:cs="Arial"/>
          <w:color w:val="000000" w:themeColor="text1"/>
          <w:szCs w:val="16"/>
        </w:rPr>
        <w:t>Target setting for this indicator was integrated into the overall stakeholder engagement strategy. Please see the "stakeholder involvement" section on the introduction page for more information.</w:t>
      </w:r>
    </w:p>
    <w:p w14:paraId="2C7ACE11" w14:textId="77777777" w:rsidR="00E8514E" w:rsidRPr="00781112" w:rsidRDefault="00E8514E" w:rsidP="000A2C83">
      <w:pPr>
        <w:rPr>
          <w:rFonts w:cs="Arial"/>
          <w:color w:val="000000" w:themeColor="text1"/>
          <w:szCs w:val="16"/>
        </w:rPr>
      </w:pPr>
    </w:p>
    <w:p w14:paraId="48B9C9FE" w14:textId="3C4BDA67" w:rsidR="008E31C4" w:rsidRPr="00781112" w:rsidRDefault="008E31C4" w:rsidP="004369B2">
      <w:pPr>
        <w:rPr>
          <w:b/>
          <w:color w:val="000000" w:themeColor="text1"/>
        </w:rPr>
      </w:pPr>
      <w:r w:rsidRPr="00781112">
        <w:rPr>
          <w:b/>
          <w:color w:val="000000" w:themeColor="text1"/>
        </w:rPr>
        <w:lastRenderedPageBreak/>
        <w:t>Historical Data</w:t>
      </w:r>
    </w:p>
    <w:tbl>
      <w:tblPr>
        <w:tblStyle w:val="TableGrid"/>
        <w:tblW w:w="0" w:type="auto"/>
        <w:tblLayout w:type="fixed"/>
        <w:tblLook w:val="04A0" w:firstRow="1" w:lastRow="0" w:firstColumn="1" w:lastColumn="0" w:noHBand="0" w:noVBand="1"/>
        <w:tblCaption w:val="B16BASELINEDATA"/>
      </w:tblPr>
      <w:tblGrid>
        <w:gridCol w:w="1797"/>
        <w:gridCol w:w="1798"/>
      </w:tblGrid>
      <w:tr w:rsidR="00D75351" w:rsidRPr="00781112" w14:paraId="57AEABC0" w14:textId="77777777" w:rsidTr="00123D76">
        <w:trPr>
          <w:trHeight w:val="311"/>
          <w:tblHeader/>
        </w:trPr>
        <w:tc>
          <w:tcPr>
            <w:tcW w:w="1797" w:type="dxa"/>
          </w:tcPr>
          <w:p w14:paraId="38CE882B" w14:textId="77777777" w:rsidR="00D75351" w:rsidRPr="00781112" w:rsidRDefault="00D75351" w:rsidP="00123D76">
            <w:pPr>
              <w:jc w:val="center"/>
              <w:rPr>
                <w:b/>
                <w:color w:val="000000" w:themeColor="text1"/>
              </w:rPr>
            </w:pPr>
            <w:r w:rsidRPr="00781112">
              <w:rPr>
                <w:rFonts w:cs="Arial"/>
                <w:b/>
                <w:color w:val="000000" w:themeColor="text1"/>
                <w:szCs w:val="16"/>
              </w:rPr>
              <w:t>Baseline Year</w:t>
            </w:r>
          </w:p>
        </w:tc>
        <w:tc>
          <w:tcPr>
            <w:tcW w:w="1798" w:type="dxa"/>
          </w:tcPr>
          <w:p w14:paraId="664A9E7A" w14:textId="77777777" w:rsidR="00D75351" w:rsidRPr="00781112" w:rsidRDefault="00D75351" w:rsidP="00123D76">
            <w:pPr>
              <w:jc w:val="center"/>
              <w:rPr>
                <w:b/>
                <w:color w:val="000000" w:themeColor="text1"/>
              </w:rPr>
            </w:pPr>
            <w:r w:rsidRPr="00781112">
              <w:rPr>
                <w:b/>
                <w:color w:val="000000" w:themeColor="text1"/>
              </w:rPr>
              <w:t>Baseline Data</w:t>
            </w:r>
          </w:p>
        </w:tc>
      </w:tr>
      <w:tr w:rsidR="00D75351" w:rsidRPr="00781112" w14:paraId="2B59BCB7" w14:textId="77777777" w:rsidTr="00123D76">
        <w:trPr>
          <w:trHeight w:val="311"/>
        </w:trPr>
        <w:tc>
          <w:tcPr>
            <w:tcW w:w="1797" w:type="dxa"/>
            <w:vAlign w:val="center"/>
          </w:tcPr>
          <w:p w14:paraId="62FFC123" w14:textId="008A4386" w:rsidR="00D75351" w:rsidRPr="00781112" w:rsidRDefault="00D75351" w:rsidP="00123D76">
            <w:pPr>
              <w:jc w:val="center"/>
              <w:rPr>
                <w:bCs/>
                <w:color w:val="000000" w:themeColor="text1"/>
              </w:rPr>
            </w:pPr>
            <w:r w:rsidRPr="00781112">
              <w:rPr>
                <w:bCs/>
                <w:color w:val="000000" w:themeColor="text1"/>
              </w:rPr>
              <w:t>2005</w:t>
            </w:r>
          </w:p>
        </w:tc>
        <w:tc>
          <w:tcPr>
            <w:tcW w:w="1798" w:type="dxa"/>
            <w:vAlign w:val="center"/>
          </w:tcPr>
          <w:p w14:paraId="08A13422" w14:textId="52DBDA3E" w:rsidR="00D75351" w:rsidRPr="00781112" w:rsidRDefault="00D75351" w:rsidP="00123D76">
            <w:pPr>
              <w:jc w:val="center"/>
              <w:rPr>
                <w:bCs/>
                <w:color w:val="000000" w:themeColor="text1"/>
              </w:rPr>
            </w:pPr>
            <w:r w:rsidRPr="00781112">
              <w:rPr>
                <w:bCs/>
                <w:color w:val="000000" w:themeColor="text1"/>
              </w:rPr>
              <w:t>81.80%</w:t>
            </w:r>
          </w:p>
        </w:tc>
      </w:tr>
    </w:tbl>
    <w:p w14:paraId="450682C0" w14:textId="77777777" w:rsidR="00D75351" w:rsidRPr="00781112" w:rsidRDefault="00D75351"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HISTDATA"/>
      </w:tblPr>
      <w:tblGrid>
        <w:gridCol w:w="1615"/>
        <w:gridCol w:w="1799"/>
        <w:gridCol w:w="1981"/>
        <w:gridCol w:w="1798"/>
        <w:gridCol w:w="1709"/>
        <w:gridCol w:w="1888"/>
      </w:tblGrid>
      <w:tr w:rsidR="005C29F8" w:rsidRPr="00781112" w14:paraId="3061AAFC" w14:textId="77777777" w:rsidTr="004B2960">
        <w:trPr>
          <w:trHeight w:val="350"/>
        </w:trPr>
        <w:tc>
          <w:tcPr>
            <w:tcW w:w="748" w:type="pct"/>
            <w:tcBorders>
              <w:bottom w:val="single" w:sz="4" w:space="0" w:color="auto"/>
            </w:tcBorders>
            <w:shd w:val="clear" w:color="auto" w:fill="auto"/>
          </w:tcPr>
          <w:p w14:paraId="6D321354" w14:textId="77777777" w:rsidR="008E31C4" w:rsidRPr="00781112" w:rsidRDefault="008E31C4"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351C61C5" w14:textId="1A27A18C" w:rsidR="008E31C4" w:rsidRPr="00781112" w:rsidRDefault="002B7490" w:rsidP="008E31C4">
            <w:pPr>
              <w:jc w:val="center"/>
              <w:rPr>
                <w:rFonts w:cs="Arial"/>
                <w:b/>
                <w:color w:val="000000" w:themeColor="text1"/>
                <w:szCs w:val="16"/>
              </w:rPr>
            </w:pPr>
            <w:r w:rsidRPr="00781112">
              <w:rPr>
                <w:rFonts w:cs="Arial"/>
                <w:b/>
                <w:color w:val="000000" w:themeColor="text1"/>
                <w:szCs w:val="16"/>
              </w:rPr>
              <w:t>2015</w:t>
            </w:r>
          </w:p>
        </w:tc>
        <w:tc>
          <w:tcPr>
            <w:tcW w:w="918" w:type="pct"/>
            <w:shd w:val="clear" w:color="auto" w:fill="auto"/>
          </w:tcPr>
          <w:p w14:paraId="1CDF9DE8" w14:textId="0FE9038E" w:rsidR="008E31C4"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49B990DE" w14:textId="2B6E5021" w:rsidR="008E31C4"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792" w:type="pct"/>
            <w:shd w:val="clear" w:color="auto" w:fill="auto"/>
          </w:tcPr>
          <w:p w14:paraId="6EF76857" w14:textId="0F124C26" w:rsidR="008E31C4"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75" w:type="pct"/>
            <w:shd w:val="clear" w:color="auto" w:fill="auto"/>
          </w:tcPr>
          <w:p w14:paraId="246ACDB0" w14:textId="7F251A7E" w:rsidR="008E31C4" w:rsidRPr="00781112" w:rsidRDefault="002B7490" w:rsidP="008E31C4">
            <w:pPr>
              <w:jc w:val="center"/>
              <w:rPr>
                <w:rFonts w:cs="Arial"/>
                <w:b/>
                <w:color w:val="000000" w:themeColor="text1"/>
                <w:szCs w:val="16"/>
              </w:rPr>
            </w:pPr>
            <w:r w:rsidRPr="00781112">
              <w:rPr>
                <w:rFonts w:cs="Arial"/>
                <w:b/>
                <w:color w:val="000000" w:themeColor="text1"/>
                <w:szCs w:val="16"/>
              </w:rPr>
              <w:t>2019</w:t>
            </w:r>
          </w:p>
        </w:tc>
      </w:tr>
      <w:tr w:rsidR="005C29F8" w:rsidRPr="00781112" w14:paraId="2A876A9F" w14:textId="77777777" w:rsidTr="004B2960">
        <w:trPr>
          <w:trHeight w:val="357"/>
        </w:trPr>
        <w:tc>
          <w:tcPr>
            <w:tcW w:w="748" w:type="pct"/>
            <w:shd w:val="clear" w:color="auto" w:fill="auto"/>
          </w:tcPr>
          <w:p w14:paraId="2DE95B6B" w14:textId="04DB6250" w:rsidR="008E31C4" w:rsidRPr="00781112" w:rsidRDefault="008E31C4" w:rsidP="008E31C4">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6C64D17D" w14:textId="6F575CE5" w:rsidR="008E31C4" w:rsidRPr="00781112" w:rsidRDefault="002B7490">
            <w:pPr>
              <w:jc w:val="center"/>
              <w:rPr>
                <w:rFonts w:cs="Arial"/>
                <w:color w:val="000000" w:themeColor="text1"/>
                <w:szCs w:val="16"/>
              </w:rPr>
            </w:pPr>
            <w:r w:rsidRPr="00781112">
              <w:rPr>
                <w:rFonts w:cs="Arial"/>
                <w:color w:val="000000" w:themeColor="text1"/>
                <w:szCs w:val="16"/>
              </w:rPr>
              <w:t>82.00%</w:t>
            </w:r>
          </w:p>
        </w:tc>
        <w:tc>
          <w:tcPr>
            <w:tcW w:w="918" w:type="pct"/>
            <w:shd w:val="clear" w:color="auto" w:fill="auto"/>
          </w:tcPr>
          <w:p w14:paraId="72C59C65" w14:textId="44E721D8" w:rsidR="008E31C4" w:rsidRPr="00781112" w:rsidRDefault="002B7490">
            <w:pPr>
              <w:jc w:val="center"/>
              <w:rPr>
                <w:rFonts w:cs="Arial"/>
                <w:color w:val="000000" w:themeColor="text1"/>
                <w:szCs w:val="16"/>
              </w:rPr>
            </w:pPr>
            <w:r w:rsidRPr="00781112">
              <w:rPr>
                <w:rFonts w:cs="Arial"/>
                <w:color w:val="000000" w:themeColor="text1"/>
                <w:szCs w:val="16"/>
              </w:rPr>
              <w:t>82.00%</w:t>
            </w:r>
          </w:p>
        </w:tc>
        <w:tc>
          <w:tcPr>
            <w:tcW w:w="833" w:type="pct"/>
            <w:shd w:val="clear" w:color="auto" w:fill="auto"/>
            <w:vAlign w:val="center"/>
          </w:tcPr>
          <w:p w14:paraId="220DD5CA" w14:textId="720A36A7" w:rsidR="008E31C4" w:rsidRPr="00781112" w:rsidRDefault="002B7490">
            <w:pPr>
              <w:jc w:val="center"/>
              <w:rPr>
                <w:rFonts w:cs="Arial"/>
                <w:color w:val="000000" w:themeColor="text1"/>
                <w:szCs w:val="16"/>
              </w:rPr>
            </w:pPr>
            <w:r w:rsidRPr="00781112">
              <w:rPr>
                <w:rFonts w:cs="Arial"/>
                <w:color w:val="000000" w:themeColor="text1"/>
                <w:szCs w:val="16"/>
              </w:rPr>
              <w:t>82.00%</w:t>
            </w:r>
          </w:p>
        </w:tc>
        <w:tc>
          <w:tcPr>
            <w:tcW w:w="792" w:type="pct"/>
            <w:shd w:val="clear" w:color="auto" w:fill="auto"/>
            <w:vAlign w:val="center"/>
          </w:tcPr>
          <w:p w14:paraId="07CF6D0B" w14:textId="0CDFA70C" w:rsidR="008E31C4" w:rsidRPr="00781112" w:rsidRDefault="002B7490">
            <w:pPr>
              <w:jc w:val="center"/>
              <w:rPr>
                <w:rFonts w:cs="Arial"/>
                <w:color w:val="000000" w:themeColor="text1"/>
                <w:szCs w:val="16"/>
              </w:rPr>
            </w:pPr>
            <w:r w:rsidRPr="00781112">
              <w:rPr>
                <w:rFonts w:cs="Arial"/>
                <w:color w:val="000000" w:themeColor="text1"/>
                <w:szCs w:val="16"/>
              </w:rPr>
              <w:t>82.00%</w:t>
            </w:r>
          </w:p>
        </w:tc>
        <w:tc>
          <w:tcPr>
            <w:tcW w:w="875" w:type="pct"/>
            <w:shd w:val="clear" w:color="auto" w:fill="auto"/>
            <w:vAlign w:val="center"/>
          </w:tcPr>
          <w:p w14:paraId="3B96FD7D" w14:textId="7B182CEE" w:rsidR="008E31C4" w:rsidRPr="00781112" w:rsidRDefault="002B7490">
            <w:pPr>
              <w:jc w:val="center"/>
              <w:rPr>
                <w:rFonts w:cs="Arial"/>
                <w:color w:val="000000" w:themeColor="text1"/>
                <w:szCs w:val="16"/>
              </w:rPr>
            </w:pPr>
            <w:r w:rsidRPr="00781112">
              <w:rPr>
                <w:rFonts w:cs="Arial"/>
                <w:color w:val="000000" w:themeColor="text1"/>
                <w:szCs w:val="16"/>
              </w:rPr>
              <w:t>82.00%</w:t>
            </w:r>
          </w:p>
        </w:tc>
      </w:tr>
      <w:tr w:rsidR="005C29F8" w:rsidRPr="00781112" w14:paraId="34F84ECE" w14:textId="77777777" w:rsidTr="004B2960">
        <w:trPr>
          <w:trHeight w:val="85"/>
        </w:trPr>
        <w:tc>
          <w:tcPr>
            <w:tcW w:w="748" w:type="pct"/>
            <w:shd w:val="clear" w:color="auto" w:fill="auto"/>
          </w:tcPr>
          <w:p w14:paraId="281210CF" w14:textId="77777777" w:rsidR="008E31C4" w:rsidRPr="00781112" w:rsidRDefault="008E31C4"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81B8DC5" w14:textId="4F71DCFC" w:rsidR="008E31C4" w:rsidRPr="00781112" w:rsidRDefault="002B7490">
            <w:pPr>
              <w:jc w:val="center"/>
              <w:rPr>
                <w:rFonts w:cs="Arial"/>
                <w:color w:val="000000" w:themeColor="text1"/>
                <w:szCs w:val="16"/>
              </w:rPr>
            </w:pPr>
            <w:r w:rsidRPr="00781112">
              <w:rPr>
                <w:rFonts w:cs="Arial"/>
                <w:color w:val="000000" w:themeColor="text1"/>
                <w:szCs w:val="16"/>
              </w:rPr>
              <w:t>33.33%</w:t>
            </w:r>
          </w:p>
        </w:tc>
        <w:tc>
          <w:tcPr>
            <w:tcW w:w="918" w:type="pct"/>
            <w:shd w:val="clear" w:color="auto" w:fill="auto"/>
          </w:tcPr>
          <w:p w14:paraId="341A9DBA" w14:textId="51769052" w:rsidR="008E31C4" w:rsidRPr="00781112" w:rsidRDefault="002B7490">
            <w:pPr>
              <w:jc w:val="center"/>
              <w:rPr>
                <w:rFonts w:cs="Arial"/>
                <w:color w:val="000000" w:themeColor="text1"/>
                <w:szCs w:val="16"/>
              </w:rPr>
            </w:pPr>
            <w:r w:rsidRPr="00781112">
              <w:rPr>
                <w:rFonts w:cs="Arial"/>
                <w:color w:val="000000" w:themeColor="text1"/>
                <w:szCs w:val="16"/>
              </w:rPr>
              <w:t>71.43%</w:t>
            </w:r>
          </w:p>
        </w:tc>
        <w:tc>
          <w:tcPr>
            <w:tcW w:w="833" w:type="pct"/>
            <w:tcBorders>
              <w:bottom w:val="single" w:sz="4" w:space="0" w:color="auto"/>
            </w:tcBorders>
            <w:shd w:val="clear" w:color="auto" w:fill="auto"/>
            <w:vAlign w:val="center"/>
          </w:tcPr>
          <w:p w14:paraId="7C21B645" w14:textId="348DEE4D" w:rsidR="008E31C4" w:rsidRPr="00781112" w:rsidRDefault="002B7490">
            <w:pPr>
              <w:jc w:val="center"/>
              <w:rPr>
                <w:rFonts w:cs="Arial"/>
                <w:color w:val="000000" w:themeColor="text1"/>
                <w:szCs w:val="16"/>
              </w:rPr>
            </w:pPr>
            <w:r w:rsidRPr="00781112">
              <w:rPr>
                <w:rFonts w:cs="Arial"/>
                <w:color w:val="000000" w:themeColor="text1"/>
                <w:szCs w:val="16"/>
              </w:rPr>
              <w:t>50.00%</w:t>
            </w:r>
          </w:p>
        </w:tc>
        <w:tc>
          <w:tcPr>
            <w:tcW w:w="792" w:type="pct"/>
            <w:tcBorders>
              <w:bottom w:val="single" w:sz="4" w:space="0" w:color="auto"/>
            </w:tcBorders>
            <w:shd w:val="clear" w:color="auto" w:fill="auto"/>
            <w:vAlign w:val="center"/>
          </w:tcPr>
          <w:p w14:paraId="345A5CC5" w14:textId="67CE713B" w:rsidR="008E31C4" w:rsidRPr="00781112" w:rsidRDefault="002B7490">
            <w:pPr>
              <w:jc w:val="center"/>
              <w:rPr>
                <w:rFonts w:cs="Arial"/>
                <w:color w:val="000000" w:themeColor="text1"/>
                <w:szCs w:val="16"/>
              </w:rPr>
            </w:pPr>
            <w:r w:rsidRPr="00781112">
              <w:rPr>
                <w:rFonts w:cs="Arial"/>
                <w:color w:val="000000" w:themeColor="text1"/>
                <w:szCs w:val="16"/>
              </w:rPr>
              <w:t>70.59%</w:t>
            </w:r>
          </w:p>
        </w:tc>
        <w:tc>
          <w:tcPr>
            <w:tcW w:w="875" w:type="pct"/>
            <w:tcBorders>
              <w:bottom w:val="single" w:sz="4" w:space="0" w:color="auto"/>
            </w:tcBorders>
            <w:shd w:val="clear" w:color="auto" w:fill="auto"/>
            <w:vAlign w:val="center"/>
          </w:tcPr>
          <w:p w14:paraId="09A5B408" w14:textId="4B0EB3D1" w:rsidR="008E31C4" w:rsidRPr="00781112" w:rsidRDefault="002B7490">
            <w:pPr>
              <w:jc w:val="center"/>
              <w:rPr>
                <w:rFonts w:cs="Arial"/>
                <w:color w:val="000000" w:themeColor="text1"/>
                <w:szCs w:val="16"/>
              </w:rPr>
            </w:pPr>
            <w:r w:rsidRPr="00781112">
              <w:rPr>
                <w:rFonts w:cs="Arial"/>
                <w:color w:val="000000" w:themeColor="text1"/>
                <w:szCs w:val="16"/>
              </w:rPr>
              <w:t>72.73%</w:t>
            </w:r>
          </w:p>
        </w:tc>
      </w:tr>
    </w:tbl>
    <w:p w14:paraId="2B5B5701" w14:textId="2BB5836C" w:rsidR="00DA3157" w:rsidRPr="00781112" w:rsidRDefault="00DA3157">
      <w:pPr>
        <w:rPr>
          <w:color w:val="000000" w:themeColor="text1"/>
        </w:rPr>
      </w:pPr>
    </w:p>
    <w:p w14:paraId="0F09B55F" w14:textId="55F1767C" w:rsidR="008E31C4" w:rsidRPr="00781112" w:rsidRDefault="008E31C4" w:rsidP="004369B2">
      <w:pPr>
        <w:rPr>
          <w:color w:val="000000" w:themeColor="text1"/>
        </w:rPr>
      </w:pPr>
      <w:r w:rsidRPr="00781112">
        <w:rPr>
          <w:b/>
          <w:color w:val="000000" w:themeColor="text1"/>
        </w:rPr>
        <w:t>Targets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TARGETSOPT1"/>
      </w:tblPr>
      <w:tblGrid>
        <w:gridCol w:w="771"/>
        <w:gridCol w:w="1684"/>
        <w:gridCol w:w="1684"/>
        <w:gridCol w:w="1684"/>
        <w:gridCol w:w="1683"/>
        <w:gridCol w:w="1683"/>
        <w:gridCol w:w="1683"/>
      </w:tblGrid>
      <w:tr w:rsidR="00C91F30" w:rsidRPr="00781112" w14:paraId="7D6724D3" w14:textId="3FE2AE32" w:rsidTr="004B2960">
        <w:trPr>
          <w:trHeight w:val="161"/>
        </w:trPr>
        <w:tc>
          <w:tcPr>
            <w:tcW w:w="354" w:type="pct"/>
            <w:tcBorders>
              <w:bottom w:val="single" w:sz="4" w:space="0" w:color="auto"/>
            </w:tcBorders>
            <w:shd w:val="clear" w:color="auto" w:fill="auto"/>
          </w:tcPr>
          <w:p w14:paraId="027FBB7B" w14:textId="77777777" w:rsidR="00C91F30" w:rsidRPr="00781112" w:rsidRDefault="00C91F30" w:rsidP="00C91F30">
            <w:pPr>
              <w:jc w:val="center"/>
              <w:rPr>
                <w:b/>
                <w:color w:val="000000" w:themeColor="text1"/>
              </w:rPr>
            </w:pPr>
            <w:r w:rsidRPr="00781112">
              <w:rPr>
                <w:b/>
                <w:color w:val="000000" w:themeColor="text1"/>
              </w:rPr>
              <w:t>FFY</w:t>
            </w:r>
          </w:p>
        </w:tc>
        <w:tc>
          <w:tcPr>
            <w:tcW w:w="774" w:type="pct"/>
            <w:shd w:val="clear" w:color="auto" w:fill="auto"/>
          </w:tcPr>
          <w:p w14:paraId="79481979" w14:textId="1C95D22E" w:rsidR="00C91F30" w:rsidRPr="00781112" w:rsidRDefault="00C91F30" w:rsidP="00C91F30">
            <w:pPr>
              <w:jc w:val="center"/>
              <w:rPr>
                <w:b/>
                <w:color w:val="000000" w:themeColor="text1"/>
              </w:rPr>
            </w:pPr>
            <w:r w:rsidRPr="00781112">
              <w:rPr>
                <w:b/>
                <w:color w:val="000000" w:themeColor="text1"/>
              </w:rPr>
              <w:t>2020</w:t>
            </w:r>
          </w:p>
        </w:tc>
        <w:tc>
          <w:tcPr>
            <w:tcW w:w="774" w:type="pct"/>
          </w:tcPr>
          <w:p w14:paraId="7641993D" w14:textId="318DCACC" w:rsidR="00C91F30" w:rsidRPr="00781112" w:rsidRDefault="00C91F30" w:rsidP="00C91F30">
            <w:pPr>
              <w:jc w:val="center"/>
              <w:rPr>
                <w:b/>
                <w:color w:val="000000" w:themeColor="text1"/>
              </w:rPr>
            </w:pPr>
            <w:r w:rsidRPr="00781112">
              <w:rPr>
                <w:rFonts w:cs="Arial"/>
                <w:b/>
                <w:color w:val="000000" w:themeColor="text1"/>
                <w:szCs w:val="16"/>
              </w:rPr>
              <w:t>2021</w:t>
            </w:r>
          </w:p>
        </w:tc>
        <w:tc>
          <w:tcPr>
            <w:tcW w:w="774" w:type="pct"/>
          </w:tcPr>
          <w:p w14:paraId="4DA0BAA3" w14:textId="27A9B6F2" w:rsidR="00C91F30" w:rsidRPr="00781112" w:rsidRDefault="00C91F30" w:rsidP="00C91F30">
            <w:pPr>
              <w:jc w:val="center"/>
              <w:rPr>
                <w:b/>
                <w:color w:val="000000" w:themeColor="text1"/>
              </w:rPr>
            </w:pPr>
            <w:r w:rsidRPr="00781112">
              <w:rPr>
                <w:rFonts w:cs="Arial"/>
                <w:b/>
                <w:color w:val="000000" w:themeColor="text1"/>
                <w:szCs w:val="16"/>
              </w:rPr>
              <w:t>2022</w:t>
            </w:r>
          </w:p>
        </w:tc>
        <w:tc>
          <w:tcPr>
            <w:tcW w:w="774" w:type="pct"/>
          </w:tcPr>
          <w:p w14:paraId="2A24D443" w14:textId="34DC3CA7" w:rsidR="00C91F30" w:rsidRPr="00781112" w:rsidRDefault="00C91F30" w:rsidP="00C91F30">
            <w:pPr>
              <w:jc w:val="center"/>
              <w:rPr>
                <w:b/>
                <w:color w:val="000000" w:themeColor="text1"/>
              </w:rPr>
            </w:pPr>
            <w:r w:rsidRPr="00781112">
              <w:rPr>
                <w:rFonts w:cs="Arial"/>
                <w:b/>
                <w:color w:val="000000" w:themeColor="text1"/>
                <w:szCs w:val="16"/>
              </w:rPr>
              <w:t>2023</w:t>
            </w:r>
          </w:p>
        </w:tc>
        <w:tc>
          <w:tcPr>
            <w:tcW w:w="774" w:type="pct"/>
          </w:tcPr>
          <w:p w14:paraId="61EFC808" w14:textId="000FAB3D" w:rsidR="00C91F30" w:rsidRPr="00781112" w:rsidRDefault="00C91F30" w:rsidP="00C91F30">
            <w:pPr>
              <w:jc w:val="center"/>
              <w:rPr>
                <w:b/>
                <w:color w:val="000000" w:themeColor="text1"/>
              </w:rPr>
            </w:pPr>
            <w:r w:rsidRPr="00781112">
              <w:rPr>
                <w:rFonts w:cs="Arial"/>
                <w:b/>
                <w:color w:val="000000" w:themeColor="text1"/>
                <w:szCs w:val="16"/>
              </w:rPr>
              <w:t>2024</w:t>
            </w:r>
          </w:p>
        </w:tc>
        <w:tc>
          <w:tcPr>
            <w:tcW w:w="774" w:type="pct"/>
          </w:tcPr>
          <w:p w14:paraId="46D9D5DD" w14:textId="7428EB18" w:rsidR="00C91F30" w:rsidRPr="00781112" w:rsidRDefault="00C91F30" w:rsidP="00C91F30">
            <w:pPr>
              <w:jc w:val="center"/>
              <w:rPr>
                <w:b/>
                <w:color w:val="000000" w:themeColor="text1"/>
              </w:rPr>
            </w:pPr>
            <w:r w:rsidRPr="00781112">
              <w:rPr>
                <w:rFonts w:cs="Arial"/>
                <w:b/>
                <w:color w:val="000000" w:themeColor="text1"/>
                <w:szCs w:val="16"/>
              </w:rPr>
              <w:t>2025</w:t>
            </w:r>
          </w:p>
        </w:tc>
      </w:tr>
      <w:tr w:rsidR="00C91F30" w:rsidRPr="00781112" w14:paraId="3CA53C0F" w14:textId="2DEE5BE6" w:rsidTr="004B2960">
        <w:trPr>
          <w:trHeight w:val="60"/>
        </w:trPr>
        <w:tc>
          <w:tcPr>
            <w:tcW w:w="354" w:type="pct"/>
            <w:shd w:val="clear" w:color="auto" w:fill="auto"/>
          </w:tcPr>
          <w:p w14:paraId="78FC9CAC" w14:textId="6980A1CA" w:rsidR="00C91F30" w:rsidRPr="00781112" w:rsidRDefault="00C91F30" w:rsidP="00C91F30">
            <w:pPr>
              <w:jc w:val="center"/>
              <w:rPr>
                <w:rFonts w:cs="Arial"/>
                <w:color w:val="000000" w:themeColor="text1"/>
                <w:szCs w:val="16"/>
              </w:rPr>
            </w:pPr>
            <w:r w:rsidRPr="00781112">
              <w:rPr>
                <w:rFonts w:cs="Arial"/>
                <w:color w:val="000000" w:themeColor="text1"/>
                <w:szCs w:val="16"/>
              </w:rPr>
              <w:t>Target &gt;=</w:t>
            </w:r>
          </w:p>
        </w:tc>
        <w:tc>
          <w:tcPr>
            <w:tcW w:w="774" w:type="pct"/>
            <w:shd w:val="clear" w:color="auto" w:fill="auto"/>
            <w:vAlign w:val="center"/>
          </w:tcPr>
          <w:p w14:paraId="0E137397" w14:textId="06CBC1FD" w:rsidR="00C91F30" w:rsidRPr="00781112" w:rsidRDefault="00C91F30" w:rsidP="00C91F30">
            <w:pPr>
              <w:jc w:val="center"/>
              <w:rPr>
                <w:rFonts w:cs="Arial"/>
                <w:color w:val="000000" w:themeColor="text1"/>
                <w:szCs w:val="16"/>
              </w:rPr>
            </w:pPr>
            <w:r w:rsidRPr="00781112">
              <w:rPr>
                <w:rFonts w:cs="Arial"/>
                <w:color w:val="000000" w:themeColor="text1"/>
                <w:szCs w:val="16"/>
              </w:rPr>
              <w:t>82.00%</w:t>
            </w:r>
          </w:p>
        </w:tc>
        <w:tc>
          <w:tcPr>
            <w:tcW w:w="774" w:type="pct"/>
          </w:tcPr>
          <w:p w14:paraId="2C484D83" w14:textId="77BCE060" w:rsidR="00C91F30" w:rsidRPr="00781112" w:rsidRDefault="00C91F30" w:rsidP="00C91F30">
            <w:pPr>
              <w:jc w:val="center"/>
              <w:rPr>
                <w:rFonts w:cs="Arial"/>
                <w:color w:val="000000" w:themeColor="text1"/>
                <w:szCs w:val="16"/>
              </w:rPr>
            </w:pPr>
            <w:r w:rsidRPr="00781112">
              <w:rPr>
                <w:color w:val="000000" w:themeColor="text1"/>
                <w:szCs w:val="16"/>
              </w:rPr>
              <w:t>82.00%</w:t>
            </w:r>
          </w:p>
        </w:tc>
        <w:tc>
          <w:tcPr>
            <w:tcW w:w="774" w:type="pct"/>
          </w:tcPr>
          <w:p w14:paraId="6CD274F3" w14:textId="076582AE" w:rsidR="00C91F30" w:rsidRPr="00781112" w:rsidRDefault="00C91F30" w:rsidP="00C91F30">
            <w:pPr>
              <w:jc w:val="center"/>
              <w:rPr>
                <w:rFonts w:cs="Arial"/>
                <w:color w:val="000000" w:themeColor="text1"/>
                <w:szCs w:val="16"/>
              </w:rPr>
            </w:pPr>
            <w:r w:rsidRPr="00781112">
              <w:rPr>
                <w:color w:val="000000" w:themeColor="text1"/>
                <w:szCs w:val="16"/>
              </w:rPr>
              <w:t>82.00%</w:t>
            </w:r>
          </w:p>
        </w:tc>
        <w:tc>
          <w:tcPr>
            <w:tcW w:w="774" w:type="pct"/>
          </w:tcPr>
          <w:p w14:paraId="60DD90BA" w14:textId="5816204A" w:rsidR="00C91F30" w:rsidRPr="00781112" w:rsidRDefault="00C91F30" w:rsidP="00C91F30">
            <w:pPr>
              <w:jc w:val="center"/>
              <w:rPr>
                <w:rFonts w:cs="Arial"/>
                <w:color w:val="000000" w:themeColor="text1"/>
                <w:szCs w:val="16"/>
              </w:rPr>
            </w:pPr>
            <w:r w:rsidRPr="00781112">
              <w:rPr>
                <w:color w:val="000000" w:themeColor="text1"/>
                <w:szCs w:val="16"/>
              </w:rPr>
              <w:t>82.00%</w:t>
            </w:r>
          </w:p>
        </w:tc>
        <w:tc>
          <w:tcPr>
            <w:tcW w:w="774" w:type="pct"/>
          </w:tcPr>
          <w:p w14:paraId="2F06128D" w14:textId="63E3880D" w:rsidR="00C91F30" w:rsidRPr="00781112" w:rsidRDefault="00C91F30" w:rsidP="00C91F30">
            <w:pPr>
              <w:jc w:val="center"/>
              <w:rPr>
                <w:rFonts w:cs="Arial"/>
                <w:color w:val="000000" w:themeColor="text1"/>
                <w:szCs w:val="16"/>
              </w:rPr>
            </w:pPr>
            <w:r w:rsidRPr="00781112">
              <w:rPr>
                <w:color w:val="000000" w:themeColor="text1"/>
                <w:szCs w:val="16"/>
              </w:rPr>
              <w:t>82.00%</w:t>
            </w:r>
          </w:p>
        </w:tc>
        <w:tc>
          <w:tcPr>
            <w:tcW w:w="774" w:type="pct"/>
          </w:tcPr>
          <w:p w14:paraId="1702830B" w14:textId="0747B6E8" w:rsidR="00C91F30" w:rsidRPr="00781112" w:rsidRDefault="00C91F30" w:rsidP="00C91F30">
            <w:pPr>
              <w:jc w:val="center"/>
              <w:rPr>
                <w:rFonts w:cs="Arial"/>
                <w:color w:val="000000" w:themeColor="text1"/>
                <w:szCs w:val="16"/>
              </w:rPr>
            </w:pPr>
            <w:r w:rsidRPr="00781112">
              <w:rPr>
                <w:color w:val="000000" w:themeColor="text1"/>
                <w:szCs w:val="16"/>
              </w:rPr>
              <w:t>82.00%</w:t>
            </w:r>
          </w:p>
        </w:tc>
      </w:tr>
    </w:tbl>
    <w:p w14:paraId="3BC65958" w14:textId="77777777" w:rsidR="00DA3157" w:rsidRPr="00781112" w:rsidRDefault="00DA3157" w:rsidP="004369B2">
      <w:pPr>
        <w:rPr>
          <w:color w:val="000000" w:themeColor="text1"/>
        </w:rPr>
      </w:pPr>
    </w:p>
    <w:p w14:paraId="29FDEA16" w14:textId="5882749D" w:rsidR="008E31C4" w:rsidRPr="00781112" w:rsidRDefault="00806C75">
      <w:pPr>
        <w:rPr>
          <w:b/>
          <w:color w:val="000000" w:themeColor="text1"/>
        </w:rPr>
      </w:pPr>
      <w:r w:rsidRPr="00781112">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6CFFYAPRDATA1OPT1"/>
      </w:tblPr>
      <w:tblGrid>
        <w:gridCol w:w="1438"/>
        <w:gridCol w:w="1437"/>
        <w:gridCol w:w="1405"/>
        <w:gridCol w:w="1107"/>
        <w:gridCol w:w="1640"/>
        <w:gridCol w:w="1290"/>
        <w:gridCol w:w="1256"/>
        <w:gridCol w:w="1217"/>
      </w:tblGrid>
      <w:tr w:rsidR="005C29F8" w:rsidRPr="00781112" w14:paraId="30B18EC1" w14:textId="77777777" w:rsidTr="0033429D">
        <w:trPr>
          <w:trHeight w:val="354"/>
          <w:tblHeader/>
        </w:trPr>
        <w:tc>
          <w:tcPr>
            <w:tcW w:w="666" w:type="pct"/>
            <w:shd w:val="clear" w:color="auto" w:fill="auto"/>
          </w:tcPr>
          <w:p w14:paraId="2285C16D" w14:textId="593BA89E" w:rsidR="00ED71A6" w:rsidRPr="00781112" w:rsidRDefault="00ED71A6" w:rsidP="00ED71A6">
            <w:pPr>
              <w:jc w:val="center"/>
              <w:rPr>
                <w:rFonts w:cs="Arial"/>
                <w:b/>
                <w:color w:val="000000" w:themeColor="text1"/>
                <w:szCs w:val="16"/>
              </w:rPr>
            </w:pPr>
            <w:r w:rsidRPr="00781112">
              <w:rPr>
                <w:rFonts w:cs="Arial"/>
                <w:b/>
                <w:color w:val="000000" w:themeColor="text1"/>
                <w:szCs w:val="16"/>
              </w:rPr>
              <w:t>2.1.a.i Mediation agreements related to due process complaints</w:t>
            </w:r>
          </w:p>
        </w:tc>
        <w:tc>
          <w:tcPr>
            <w:tcW w:w="666" w:type="pct"/>
            <w:shd w:val="clear" w:color="auto" w:fill="auto"/>
            <w:vAlign w:val="bottom"/>
          </w:tcPr>
          <w:p w14:paraId="0D0A1148" w14:textId="5AB9157D" w:rsidR="00ED71A6" w:rsidRPr="00781112" w:rsidRDefault="00ED71A6" w:rsidP="00ED71A6">
            <w:pPr>
              <w:jc w:val="center"/>
              <w:rPr>
                <w:rFonts w:cs="Arial"/>
                <w:b/>
                <w:color w:val="000000" w:themeColor="text1"/>
                <w:szCs w:val="16"/>
              </w:rPr>
            </w:pPr>
            <w:r w:rsidRPr="00781112">
              <w:rPr>
                <w:rFonts w:cs="Arial"/>
                <w:b/>
                <w:color w:val="000000" w:themeColor="text1"/>
                <w:szCs w:val="16"/>
              </w:rPr>
              <w:t>2.1.b.i Mediation agreements not related to due process complaints</w:t>
            </w:r>
          </w:p>
        </w:tc>
        <w:tc>
          <w:tcPr>
            <w:tcW w:w="651" w:type="pct"/>
            <w:shd w:val="clear" w:color="auto" w:fill="auto"/>
            <w:vAlign w:val="bottom"/>
          </w:tcPr>
          <w:p w14:paraId="5645AEFA" w14:textId="3277104A" w:rsidR="00ED71A6" w:rsidRPr="00781112" w:rsidRDefault="00ED71A6" w:rsidP="00ED71A6">
            <w:pPr>
              <w:jc w:val="center"/>
              <w:rPr>
                <w:rFonts w:cs="Arial"/>
                <w:b/>
                <w:color w:val="000000" w:themeColor="text1"/>
                <w:szCs w:val="16"/>
              </w:rPr>
            </w:pPr>
            <w:r w:rsidRPr="00781112">
              <w:rPr>
                <w:rFonts w:cs="Arial"/>
                <w:b/>
                <w:color w:val="000000" w:themeColor="text1"/>
                <w:szCs w:val="16"/>
              </w:rPr>
              <w:t>2.1 Number of mediations held</w:t>
            </w:r>
          </w:p>
        </w:tc>
        <w:tc>
          <w:tcPr>
            <w:tcW w:w="513" w:type="pct"/>
            <w:shd w:val="clear" w:color="auto" w:fill="auto"/>
            <w:vAlign w:val="bottom"/>
          </w:tcPr>
          <w:p w14:paraId="4A569306" w14:textId="1FC08F11" w:rsidR="00ED71A6" w:rsidRPr="00781112" w:rsidRDefault="00F6415A" w:rsidP="00ED71A6">
            <w:pPr>
              <w:jc w:val="center"/>
              <w:rPr>
                <w:rFonts w:cs="Arial"/>
                <w:b/>
                <w:color w:val="000000" w:themeColor="text1"/>
                <w:szCs w:val="16"/>
              </w:rPr>
            </w:pPr>
            <w:r w:rsidRPr="00781112">
              <w:rPr>
                <w:rFonts w:cs="Arial"/>
                <w:b/>
                <w:color w:val="000000" w:themeColor="text1"/>
                <w:szCs w:val="16"/>
              </w:rPr>
              <w:t>FFY 2019 Data</w:t>
            </w:r>
          </w:p>
        </w:tc>
        <w:tc>
          <w:tcPr>
            <w:tcW w:w="760" w:type="pct"/>
            <w:shd w:val="clear" w:color="auto" w:fill="auto"/>
            <w:vAlign w:val="bottom"/>
          </w:tcPr>
          <w:p w14:paraId="76531DBA" w14:textId="393D4576" w:rsidR="00ED71A6" w:rsidRPr="00781112" w:rsidRDefault="00806C75" w:rsidP="00ED71A6">
            <w:pPr>
              <w:jc w:val="center"/>
              <w:rPr>
                <w:rFonts w:cs="Arial"/>
                <w:b/>
                <w:color w:val="000000" w:themeColor="text1"/>
                <w:szCs w:val="16"/>
              </w:rPr>
            </w:pPr>
            <w:r w:rsidRPr="00781112">
              <w:rPr>
                <w:rFonts w:cs="Arial"/>
                <w:b/>
                <w:color w:val="000000" w:themeColor="text1"/>
                <w:szCs w:val="16"/>
              </w:rPr>
              <w:t>FFY 2020 Target</w:t>
            </w:r>
          </w:p>
        </w:tc>
        <w:tc>
          <w:tcPr>
            <w:tcW w:w="598" w:type="pct"/>
            <w:shd w:val="clear" w:color="auto" w:fill="auto"/>
            <w:vAlign w:val="bottom"/>
          </w:tcPr>
          <w:p w14:paraId="6DA84C86" w14:textId="7E9E81E0" w:rsidR="00ED71A6" w:rsidRPr="00781112" w:rsidRDefault="00806C75" w:rsidP="00ED71A6">
            <w:pPr>
              <w:jc w:val="center"/>
              <w:rPr>
                <w:rFonts w:cs="Arial"/>
                <w:b/>
                <w:color w:val="000000" w:themeColor="text1"/>
                <w:szCs w:val="16"/>
              </w:rPr>
            </w:pPr>
            <w:r w:rsidRPr="00781112">
              <w:rPr>
                <w:rFonts w:cs="Arial"/>
                <w:b/>
                <w:color w:val="000000" w:themeColor="text1"/>
                <w:szCs w:val="16"/>
              </w:rPr>
              <w:t>FFY 2020 Data</w:t>
            </w:r>
          </w:p>
        </w:tc>
        <w:tc>
          <w:tcPr>
            <w:tcW w:w="582" w:type="pct"/>
            <w:shd w:val="clear" w:color="auto" w:fill="auto"/>
            <w:vAlign w:val="bottom"/>
          </w:tcPr>
          <w:p w14:paraId="6C8C9681" w14:textId="77777777" w:rsidR="00ED71A6" w:rsidRPr="00781112" w:rsidRDefault="00ED71A6" w:rsidP="00ED71A6">
            <w:pPr>
              <w:jc w:val="center"/>
              <w:rPr>
                <w:rFonts w:cs="Arial"/>
                <w:b/>
                <w:color w:val="000000" w:themeColor="text1"/>
                <w:szCs w:val="16"/>
              </w:rPr>
            </w:pPr>
            <w:r w:rsidRPr="00781112">
              <w:rPr>
                <w:rFonts w:cs="Arial"/>
                <w:b/>
                <w:color w:val="000000" w:themeColor="text1"/>
                <w:szCs w:val="16"/>
              </w:rPr>
              <w:t>Status</w:t>
            </w:r>
          </w:p>
        </w:tc>
        <w:tc>
          <w:tcPr>
            <w:tcW w:w="564" w:type="pct"/>
            <w:shd w:val="clear" w:color="auto" w:fill="auto"/>
            <w:vAlign w:val="bottom"/>
          </w:tcPr>
          <w:p w14:paraId="6876CD5E" w14:textId="77777777" w:rsidR="00ED71A6" w:rsidRPr="00781112" w:rsidRDefault="00ED71A6" w:rsidP="00ED71A6">
            <w:pPr>
              <w:jc w:val="center"/>
              <w:rPr>
                <w:rFonts w:cs="Arial"/>
                <w:b/>
                <w:color w:val="000000" w:themeColor="text1"/>
                <w:szCs w:val="16"/>
              </w:rPr>
            </w:pPr>
            <w:r w:rsidRPr="00781112">
              <w:rPr>
                <w:rFonts w:cs="Arial"/>
                <w:b/>
                <w:color w:val="000000" w:themeColor="text1"/>
                <w:szCs w:val="16"/>
              </w:rPr>
              <w:t>Slippage</w:t>
            </w:r>
          </w:p>
        </w:tc>
      </w:tr>
      <w:tr w:rsidR="005C29F8" w:rsidRPr="00781112" w14:paraId="580CADA4" w14:textId="77777777" w:rsidTr="00326814">
        <w:trPr>
          <w:trHeight w:val="361"/>
        </w:trPr>
        <w:tc>
          <w:tcPr>
            <w:tcW w:w="666" w:type="pct"/>
            <w:shd w:val="clear" w:color="auto" w:fill="auto"/>
          </w:tcPr>
          <w:p w14:paraId="229DBD16" w14:textId="3985AF14" w:rsidR="00ED71A6" w:rsidRPr="00781112" w:rsidRDefault="002B7490" w:rsidP="004369B2">
            <w:pPr>
              <w:jc w:val="center"/>
              <w:rPr>
                <w:rFonts w:cs="Arial"/>
                <w:color w:val="000000" w:themeColor="text1"/>
                <w:szCs w:val="16"/>
              </w:rPr>
            </w:pPr>
            <w:r w:rsidRPr="00781112">
              <w:rPr>
                <w:rFonts w:cs="Arial"/>
                <w:color w:val="000000" w:themeColor="text1"/>
                <w:szCs w:val="16"/>
              </w:rPr>
              <w:t>4</w:t>
            </w:r>
          </w:p>
        </w:tc>
        <w:tc>
          <w:tcPr>
            <w:tcW w:w="666" w:type="pct"/>
            <w:shd w:val="clear" w:color="auto" w:fill="auto"/>
          </w:tcPr>
          <w:p w14:paraId="26BE4267" w14:textId="64153881" w:rsidR="00ED71A6" w:rsidRPr="00781112" w:rsidRDefault="002B7490" w:rsidP="004369B2">
            <w:pPr>
              <w:jc w:val="center"/>
              <w:rPr>
                <w:rFonts w:cs="Arial"/>
                <w:color w:val="000000" w:themeColor="text1"/>
                <w:szCs w:val="16"/>
              </w:rPr>
            </w:pPr>
            <w:r w:rsidRPr="00781112">
              <w:rPr>
                <w:rFonts w:cs="Arial"/>
                <w:color w:val="000000" w:themeColor="text1"/>
                <w:szCs w:val="16"/>
              </w:rPr>
              <w:t>1</w:t>
            </w:r>
          </w:p>
        </w:tc>
        <w:tc>
          <w:tcPr>
            <w:tcW w:w="651" w:type="pct"/>
            <w:shd w:val="clear" w:color="auto" w:fill="auto"/>
            <w:vAlign w:val="center"/>
          </w:tcPr>
          <w:p w14:paraId="6C063D69" w14:textId="6595E94B" w:rsidR="00ED71A6" w:rsidRPr="00781112" w:rsidRDefault="002B7490" w:rsidP="004369B2">
            <w:pPr>
              <w:jc w:val="center"/>
              <w:rPr>
                <w:rFonts w:cs="Arial"/>
                <w:color w:val="000000" w:themeColor="text1"/>
                <w:szCs w:val="16"/>
              </w:rPr>
            </w:pPr>
            <w:r w:rsidRPr="00781112">
              <w:rPr>
                <w:rFonts w:cs="Arial"/>
                <w:color w:val="000000" w:themeColor="text1"/>
                <w:szCs w:val="16"/>
              </w:rPr>
              <w:t>11</w:t>
            </w:r>
          </w:p>
        </w:tc>
        <w:tc>
          <w:tcPr>
            <w:tcW w:w="513" w:type="pct"/>
            <w:shd w:val="clear" w:color="auto" w:fill="auto"/>
          </w:tcPr>
          <w:p w14:paraId="466ED6BC" w14:textId="5349E9C8" w:rsidR="00ED71A6" w:rsidRPr="00781112" w:rsidRDefault="002B7490" w:rsidP="004369B2">
            <w:pPr>
              <w:jc w:val="center"/>
              <w:rPr>
                <w:rFonts w:cs="Arial"/>
                <w:color w:val="000000" w:themeColor="text1"/>
                <w:szCs w:val="16"/>
              </w:rPr>
            </w:pPr>
            <w:r w:rsidRPr="00781112">
              <w:rPr>
                <w:rFonts w:cs="Arial"/>
                <w:color w:val="000000" w:themeColor="text1"/>
                <w:szCs w:val="16"/>
              </w:rPr>
              <w:t>72.73%</w:t>
            </w:r>
          </w:p>
        </w:tc>
        <w:tc>
          <w:tcPr>
            <w:tcW w:w="760" w:type="pct"/>
            <w:shd w:val="clear" w:color="auto" w:fill="auto"/>
          </w:tcPr>
          <w:p w14:paraId="2530D239" w14:textId="21181E1F" w:rsidR="00ED71A6" w:rsidRPr="00781112" w:rsidRDefault="002B7490" w:rsidP="004369B2">
            <w:pPr>
              <w:jc w:val="center"/>
              <w:rPr>
                <w:rFonts w:cs="Arial"/>
                <w:color w:val="000000" w:themeColor="text1"/>
                <w:szCs w:val="16"/>
              </w:rPr>
            </w:pPr>
            <w:r w:rsidRPr="00781112">
              <w:rPr>
                <w:rFonts w:cs="Arial"/>
                <w:color w:val="000000" w:themeColor="text1"/>
                <w:szCs w:val="16"/>
              </w:rPr>
              <w:t>82.00%</w:t>
            </w:r>
          </w:p>
        </w:tc>
        <w:tc>
          <w:tcPr>
            <w:tcW w:w="598" w:type="pct"/>
            <w:shd w:val="clear" w:color="auto" w:fill="auto"/>
          </w:tcPr>
          <w:p w14:paraId="5CFDAC12" w14:textId="030BF46B" w:rsidR="00ED71A6" w:rsidRPr="00781112" w:rsidRDefault="002B7490" w:rsidP="004369B2">
            <w:pPr>
              <w:jc w:val="center"/>
              <w:rPr>
                <w:rFonts w:cs="Arial"/>
                <w:color w:val="000000" w:themeColor="text1"/>
                <w:szCs w:val="16"/>
              </w:rPr>
            </w:pPr>
            <w:r w:rsidRPr="00781112">
              <w:rPr>
                <w:rFonts w:cs="Arial"/>
                <w:color w:val="000000" w:themeColor="text1"/>
                <w:szCs w:val="16"/>
              </w:rPr>
              <w:t>45.45%</w:t>
            </w:r>
          </w:p>
        </w:tc>
        <w:tc>
          <w:tcPr>
            <w:tcW w:w="582" w:type="pct"/>
            <w:shd w:val="clear" w:color="auto" w:fill="auto"/>
          </w:tcPr>
          <w:p w14:paraId="0ABF26CD" w14:textId="7C384528" w:rsidR="00ED71A6"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564" w:type="pct"/>
            <w:shd w:val="clear" w:color="auto" w:fill="auto"/>
          </w:tcPr>
          <w:p w14:paraId="62404E67" w14:textId="522FE20B" w:rsidR="00ED71A6" w:rsidRPr="00781112" w:rsidRDefault="002B7490" w:rsidP="004369B2">
            <w:pPr>
              <w:jc w:val="center"/>
              <w:rPr>
                <w:rFonts w:cs="Arial"/>
                <w:color w:val="000000" w:themeColor="text1"/>
                <w:szCs w:val="16"/>
              </w:rPr>
            </w:pPr>
            <w:r w:rsidRPr="00781112">
              <w:rPr>
                <w:rFonts w:cs="Arial"/>
                <w:color w:val="000000" w:themeColor="text1"/>
                <w:szCs w:val="16"/>
              </w:rPr>
              <w:t>Slippage</w:t>
            </w:r>
          </w:p>
        </w:tc>
      </w:tr>
    </w:tbl>
    <w:p w14:paraId="03422290" w14:textId="77777777" w:rsidR="00BB79DA" w:rsidRPr="00781112" w:rsidRDefault="00BB79DA">
      <w:pPr>
        <w:rPr>
          <w:color w:val="000000" w:themeColor="text1"/>
        </w:rPr>
      </w:pPr>
    </w:p>
    <w:p w14:paraId="24CDA891" w14:textId="493C5E97" w:rsidR="0059249C" w:rsidRPr="00781112" w:rsidRDefault="00293C7E" w:rsidP="0059249C">
      <w:pPr>
        <w:rPr>
          <w:rFonts w:cs="Arial"/>
          <w:b/>
          <w:i/>
          <w:color w:val="000000" w:themeColor="text1"/>
          <w:szCs w:val="16"/>
        </w:rPr>
      </w:pPr>
      <w:r w:rsidRPr="00781112">
        <w:rPr>
          <w:rFonts w:cs="Arial"/>
          <w:b/>
          <w:color w:val="000000" w:themeColor="text1"/>
          <w:szCs w:val="16"/>
        </w:rPr>
        <w:t>Provide reasons for slippage, if applicable</w:t>
      </w:r>
    </w:p>
    <w:p w14:paraId="79351ACD" w14:textId="4DA6F153" w:rsidR="00293C7E" w:rsidRPr="00781112" w:rsidRDefault="002B7490" w:rsidP="007D435F">
      <w:pPr>
        <w:rPr>
          <w:rFonts w:cs="Arial"/>
          <w:color w:val="000000" w:themeColor="text1"/>
          <w:szCs w:val="16"/>
        </w:rPr>
      </w:pPr>
      <w:r w:rsidRPr="00781112">
        <w:rPr>
          <w:rFonts w:cs="Arial"/>
          <w:color w:val="000000" w:themeColor="text1"/>
          <w:szCs w:val="16"/>
        </w:rPr>
        <w:t>Due to the relatively small number of overall cases, the LDOE expects year to year variance in the percent of mediation requests that resulted in mediation agreements. LDOE is committed to assisting schools and parents in their efforts to resolve disagreements in the least adversarial manner possible. Therefore, LDOE has developed several processes, including those described below, for resolving disagreements about the provision of a free appropriate public education, payment for services obtained, or a child's eligibility, evaluation, level of services, or placement.</w:t>
      </w:r>
      <w:r w:rsidRPr="00781112">
        <w:rPr>
          <w:rFonts w:cs="Arial"/>
          <w:color w:val="000000" w:themeColor="text1"/>
          <w:szCs w:val="16"/>
        </w:rPr>
        <w:br/>
      </w:r>
      <w:r w:rsidRPr="00781112">
        <w:rPr>
          <w:rFonts w:cs="Arial"/>
          <w:color w:val="000000" w:themeColor="text1"/>
          <w:szCs w:val="16"/>
        </w:rPr>
        <w:br/>
        <w:t>IEP FACILITATION</w:t>
      </w:r>
      <w:r w:rsidRPr="00781112">
        <w:rPr>
          <w:rFonts w:cs="Arial"/>
          <w:color w:val="000000" w:themeColor="text1"/>
          <w:szCs w:val="16"/>
        </w:rPr>
        <w:br/>
        <w:t>IEP facilitation is available to parents and school systems. Typically, an IEP Facilitator is brought in when parents and school system staff are having difficulties communicating with one another regarding the needs of the student. The IEP Facilitator is an independent professional, trained to assist in creating an atmosphere for fair communication who also oversees the successful drafting of an IEP for the student. Either the parent or the school system can request IEP facilitation; however, since the process is voluntary, both sides must agree to participate. The process can be initiated by request to the Legal Division of the State Department of Education, and the service is provided at no cost to the parent or the school system.</w:t>
      </w:r>
      <w:r w:rsidRPr="00781112">
        <w:rPr>
          <w:rFonts w:cs="Arial"/>
          <w:color w:val="000000" w:themeColor="text1"/>
          <w:szCs w:val="16"/>
        </w:rPr>
        <w:br/>
      </w:r>
      <w:r w:rsidRPr="00781112">
        <w:rPr>
          <w:rFonts w:cs="Arial"/>
          <w:color w:val="000000" w:themeColor="text1"/>
          <w:szCs w:val="16"/>
        </w:rPr>
        <w:br/>
        <w:t>INFORMAL COMPLAINTS/EARLY RESOLUTION PROCESS</w:t>
      </w:r>
      <w:r w:rsidRPr="00781112">
        <w:rPr>
          <w:rFonts w:cs="Arial"/>
          <w:color w:val="000000" w:themeColor="text1"/>
          <w:szCs w:val="16"/>
        </w:rPr>
        <w:br/>
        <w:t>Parents of children with disabilities may file informal complaints. The implementation of the informal complaint/Early Resolution Process (ERP) draws on the traditional model of parents and school systems working cooperatively in the educational interest of children to achieve their shared goals of meeting the educational needs of students with disabilities.</w:t>
      </w:r>
      <w:r w:rsidRPr="00781112">
        <w:rPr>
          <w:rFonts w:cs="Arial"/>
          <w:color w:val="000000" w:themeColor="text1"/>
          <w:szCs w:val="16"/>
        </w:rPr>
        <w:br/>
      </w:r>
      <w:r w:rsidRPr="00781112">
        <w:rPr>
          <w:rFonts w:cs="Arial"/>
          <w:color w:val="000000" w:themeColor="text1"/>
          <w:szCs w:val="16"/>
        </w:rPr>
        <w:br/>
        <w:t>FORMAL COMPLAINT INVESTIGATION</w:t>
      </w:r>
      <w:r w:rsidRPr="00781112">
        <w:rPr>
          <w:rFonts w:cs="Arial"/>
          <w:color w:val="000000" w:themeColor="text1"/>
          <w:szCs w:val="16"/>
        </w:rPr>
        <w:br/>
        <w:t>A parent, adult student, individual, or organization may file a signed written request with LDOE to begin a formal complaint investigation. Formal complaint investigation procedures are developed under the supervisory jurisdiction of the LDOE to address allegations that a school system is violating a requirement of Part B of the IDEA. The formal complaint investigation request is also limited by regulations to action(s) occurring within one year before the formal complaint was filed.</w:t>
      </w:r>
      <w:r w:rsidRPr="00781112">
        <w:rPr>
          <w:rFonts w:cs="Arial"/>
          <w:color w:val="000000" w:themeColor="text1"/>
          <w:szCs w:val="16"/>
        </w:rPr>
        <w:br/>
      </w:r>
      <w:r w:rsidRPr="00781112">
        <w:rPr>
          <w:rFonts w:cs="Arial"/>
          <w:color w:val="000000" w:themeColor="text1"/>
          <w:szCs w:val="16"/>
        </w:rPr>
        <w:br/>
        <w:t>MEDIATION</w:t>
      </w:r>
      <w:r w:rsidRPr="00781112">
        <w:rPr>
          <w:rFonts w:cs="Arial"/>
          <w:color w:val="000000" w:themeColor="text1"/>
          <w:szCs w:val="16"/>
        </w:rPr>
        <w:br/>
        <w:t>Mediation is available to resolve a disagreement between parents and the school systems regarding the identification, evaluation, placement, services, or the provision of a FAPE to a child with a disability. Parents or school systems may request mediation independent of, before, at the same time, or after requesting a due process hearing or complaint investigation. Requesting mediation will not prevent or delay a due process hearing or complaint investigation, and participating in mediation will not impair or waive any other rights of parents.</w:t>
      </w:r>
      <w:r w:rsidRPr="00781112">
        <w:rPr>
          <w:rFonts w:cs="Arial"/>
          <w:color w:val="000000" w:themeColor="text1"/>
          <w:szCs w:val="16"/>
        </w:rPr>
        <w:br/>
      </w:r>
      <w:r w:rsidRPr="00781112">
        <w:rPr>
          <w:rFonts w:cs="Arial"/>
          <w:color w:val="000000" w:themeColor="text1"/>
          <w:szCs w:val="16"/>
        </w:rPr>
        <w:br/>
        <w:t>Mediation is a method for discussing and resolving disagreements between parents and school systems with the help of an impartial third person who has been trained in effective mediation techniques. Mediation is a voluntary process, and all parties must agree to participate in order for the mediation session to occur. The mediation sessions are scheduled in a timely manner and held in a location that is convenient to the parties in the dispute. Mediation services are provided by LDOE at no cost to parents and school systems.</w:t>
      </w:r>
      <w:r w:rsidRPr="00781112">
        <w:rPr>
          <w:rFonts w:cs="Arial"/>
          <w:color w:val="000000" w:themeColor="text1"/>
          <w:szCs w:val="16"/>
        </w:rPr>
        <w:br/>
      </w:r>
      <w:r w:rsidRPr="00781112">
        <w:rPr>
          <w:rFonts w:cs="Arial"/>
          <w:color w:val="000000" w:themeColor="text1"/>
          <w:szCs w:val="16"/>
        </w:rPr>
        <w:br/>
        <w:t>A mediator does not make decisions; instead, he or she facilitates discussion and decision-making. The discussions in a mediation session are confidential and may not be used as evidence in subsequent due process hearings or civil court proceedings. If the mediation process results in full or partial agreement, the mediator will prepare a written mediation agreement that must be signed by both parties. In addition to describing agreements made in the course of mediation, the mediation agreement will state that all discussions that occurred during the mediation are confidential and may not be used as evidence in a due process hearing or civil court proceeding. The signed agreement shall be legally binding on both parties and enforceable in a court of competent jurisdiction.</w:t>
      </w:r>
      <w:r w:rsidRPr="00781112">
        <w:rPr>
          <w:rFonts w:cs="Arial"/>
          <w:color w:val="000000" w:themeColor="text1"/>
          <w:szCs w:val="16"/>
        </w:rPr>
        <w:br/>
      </w:r>
      <w:r w:rsidRPr="00781112">
        <w:rPr>
          <w:rFonts w:cs="Arial"/>
          <w:color w:val="000000" w:themeColor="text1"/>
          <w:szCs w:val="16"/>
        </w:rPr>
        <w:br/>
        <w:t>DUE PROCESS HEARING</w:t>
      </w:r>
      <w:r w:rsidRPr="00781112">
        <w:rPr>
          <w:rFonts w:cs="Arial"/>
          <w:color w:val="000000" w:themeColor="text1"/>
          <w:szCs w:val="16"/>
        </w:rPr>
        <w:br/>
        <w:t xml:space="preserve">A due process hearing is a formal proceeding in which evidence is presented to an administrative law judge (ALJ) to resolve a dispute between the </w:t>
      </w:r>
      <w:r w:rsidRPr="00781112">
        <w:rPr>
          <w:rFonts w:cs="Arial"/>
          <w:color w:val="000000" w:themeColor="text1"/>
          <w:szCs w:val="16"/>
        </w:rPr>
        <w:lastRenderedPageBreak/>
        <w:t>parents of a child with a disability and the school system regarding the identification, evaluation, eligibility, or placement of or the provision of a free appropriate public education to a child with a disability. Only the parent of a child with a disability, an attorney representing the parent, or a school system may request a due process hearing regarding a student with a disability within one year of the date that the alleged action forming the basis of the hearing request was known or should have been known. This one-year limit does not apply if the parents were prevented from requesting the hearing because the school system specifically misrepresented that it had resolved the problem or the school system withheld pertinent information that it was required to provide under the Individuals with Disabilities Act (IDEA).</w:t>
      </w:r>
      <w:r w:rsidRPr="00781112">
        <w:rPr>
          <w:rFonts w:cs="Arial"/>
          <w:color w:val="000000" w:themeColor="text1"/>
          <w:szCs w:val="16"/>
        </w:rPr>
        <w:br/>
      </w:r>
      <w:r w:rsidRPr="00781112">
        <w:rPr>
          <w:rFonts w:cs="Arial"/>
          <w:color w:val="000000" w:themeColor="text1"/>
          <w:szCs w:val="16"/>
        </w:rPr>
        <w:br/>
        <w:t>Once a request for a hearing is received, LDOE will issue an acknowledgement of receipt and forward the request to the Division of Administrative Law, an independent state agency that conducts due process hearings for LDOE. The Division of Administrative Law will assign an ALJ to the case, and he or she will be provided with a copy of the hearing request. Otherwise, the request remains confidential. The ALJ will then coordinate a prehearing conference to discuss the hearing process and establish a schedule for activities related to the hearing. Please see attachment for the Introduction for additional information.</w:t>
      </w:r>
    </w:p>
    <w:p w14:paraId="7653BA1E" w14:textId="77777777"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609BD927" w14:textId="47FAE461" w:rsidR="00293C7E" w:rsidRPr="00781112" w:rsidRDefault="00293C7E" w:rsidP="007D435F">
      <w:pPr>
        <w:rPr>
          <w:rFonts w:cs="Arial"/>
          <w:color w:val="000000" w:themeColor="text1"/>
          <w:szCs w:val="16"/>
        </w:rPr>
      </w:pPr>
    </w:p>
    <w:p w14:paraId="01544738" w14:textId="0D3ECCB4" w:rsidR="00293C7E" w:rsidRPr="00781112" w:rsidRDefault="001C46DC" w:rsidP="00123D76">
      <w:pPr>
        <w:pStyle w:val="Heading2"/>
      </w:pPr>
      <w:r w:rsidRPr="00781112">
        <w:t>16</w:t>
      </w:r>
      <w:r w:rsidR="001D508D" w:rsidRPr="00781112">
        <w:t xml:space="preserve"> </w:t>
      </w:r>
      <w:r w:rsidRPr="00781112">
        <w:t xml:space="preserve">- </w:t>
      </w:r>
      <w:r w:rsidR="00293C7E" w:rsidRPr="00781112">
        <w:t>Prior FFY Required Actions</w:t>
      </w:r>
    </w:p>
    <w:p w14:paraId="7049B053" w14:textId="64040937" w:rsidR="009F69E7" w:rsidRPr="00781112" w:rsidRDefault="002B7490" w:rsidP="00293C7E">
      <w:pPr>
        <w:rPr>
          <w:rFonts w:cs="Arial"/>
          <w:color w:val="000000" w:themeColor="text1"/>
          <w:szCs w:val="16"/>
        </w:rPr>
      </w:pPr>
      <w:r w:rsidRPr="00781112">
        <w:rPr>
          <w:rFonts w:cs="Arial"/>
          <w:color w:val="000000" w:themeColor="text1"/>
          <w:szCs w:val="16"/>
        </w:rPr>
        <w:t>None</w:t>
      </w:r>
    </w:p>
    <w:p w14:paraId="169C5129" w14:textId="3D3FC1C0" w:rsidR="00913A33" w:rsidRPr="00781112" w:rsidRDefault="001C46DC" w:rsidP="00123D76">
      <w:pPr>
        <w:pStyle w:val="Heading2"/>
      </w:pPr>
      <w:r w:rsidRPr="00781112">
        <w:t>16 - OSEP Response</w:t>
      </w:r>
    </w:p>
    <w:p w14:paraId="5F7A0890" w14:textId="4F76A7D5" w:rsidR="00293C7E" w:rsidRPr="00781112" w:rsidRDefault="002B7490" w:rsidP="001F692C">
      <w:pPr>
        <w:rPr>
          <w:rFonts w:cs="Arial"/>
          <w:color w:val="000000" w:themeColor="text1"/>
          <w:szCs w:val="16"/>
        </w:rPr>
      </w:pPr>
      <w:r w:rsidRPr="00781112">
        <w:rPr>
          <w:rFonts w:cs="Arial"/>
          <w:color w:val="000000" w:themeColor="text1"/>
          <w:szCs w:val="16"/>
        </w:rPr>
        <w:t>The State provided targets for this indicator, and OSEP accepts those targets.</w:t>
      </w:r>
    </w:p>
    <w:p w14:paraId="55A8CDDB" w14:textId="51F8AA9B" w:rsidR="00913A33" w:rsidRPr="00781112" w:rsidRDefault="001C46DC" w:rsidP="00123D76">
      <w:pPr>
        <w:pStyle w:val="Heading2"/>
      </w:pPr>
      <w:r w:rsidRPr="00781112">
        <w:t>16 - Required Actions</w:t>
      </w:r>
    </w:p>
    <w:p w14:paraId="72813E4E" w14:textId="532E1944" w:rsidR="00293C7E" w:rsidRPr="00781112" w:rsidRDefault="00293C7E" w:rsidP="001F692C">
      <w:pPr>
        <w:rPr>
          <w:rFonts w:cs="Arial"/>
          <w:color w:val="000000" w:themeColor="text1"/>
          <w:szCs w:val="16"/>
        </w:rPr>
      </w:pPr>
    </w:p>
    <w:p w14:paraId="79966887" w14:textId="11440645" w:rsidR="00755AF7" w:rsidRPr="00781112" w:rsidRDefault="00755AF7">
      <w:pPr>
        <w:spacing w:before="0" w:after="200" w:line="276" w:lineRule="auto"/>
        <w:rPr>
          <w:rFonts w:cs="Arial"/>
          <w:color w:val="000000" w:themeColor="text1"/>
          <w:szCs w:val="16"/>
        </w:rPr>
      </w:pPr>
    </w:p>
    <w:p w14:paraId="40F6AE64" w14:textId="77777777" w:rsidR="00AE1972" w:rsidRPr="00781112" w:rsidRDefault="00AE1972">
      <w:pPr>
        <w:spacing w:before="0" w:after="200" w:line="276" w:lineRule="auto"/>
        <w:rPr>
          <w:color w:val="000000" w:themeColor="text1"/>
        </w:rPr>
      </w:pPr>
      <w:r w:rsidRPr="00781112">
        <w:rPr>
          <w:color w:val="000000" w:themeColor="text1"/>
        </w:rPr>
        <w:br w:type="page"/>
      </w:r>
    </w:p>
    <w:p w14:paraId="528D0D37" w14:textId="5C401108" w:rsidR="00AE1972" w:rsidRPr="00781112" w:rsidRDefault="00AE1972" w:rsidP="00AE1972">
      <w:pPr>
        <w:pStyle w:val="Heading1"/>
        <w:rPr>
          <w:color w:val="000000" w:themeColor="text1"/>
        </w:rPr>
      </w:pPr>
      <w:r w:rsidRPr="00781112">
        <w:rPr>
          <w:color w:val="000000" w:themeColor="text1"/>
        </w:rPr>
        <w:lastRenderedPageBreak/>
        <w:t>Indicator 17: State Systemic Improvement Plan</w:t>
      </w:r>
    </w:p>
    <w:p w14:paraId="0840DD7C" w14:textId="77777777" w:rsidR="00AE1972" w:rsidRPr="00781112" w:rsidRDefault="00AE1972" w:rsidP="00AE1972">
      <w:pPr>
        <w:rPr>
          <w:color w:val="000000" w:themeColor="text1"/>
          <w:szCs w:val="20"/>
        </w:rPr>
      </w:pPr>
      <w:r w:rsidRPr="00781112">
        <w:rPr>
          <w:b/>
          <w:color w:val="000000" w:themeColor="text1"/>
          <w:sz w:val="20"/>
          <w:szCs w:val="20"/>
        </w:rPr>
        <w:t>Instructions and Measurement</w:t>
      </w:r>
    </w:p>
    <w:p w14:paraId="3B7DA41B" w14:textId="77777777" w:rsidR="00AE1972" w:rsidRPr="00781112" w:rsidRDefault="00AE1972" w:rsidP="00AE1972">
      <w:pPr>
        <w:rPr>
          <w:color w:val="000000" w:themeColor="text1"/>
          <w:szCs w:val="16"/>
        </w:rPr>
      </w:pPr>
      <w:r w:rsidRPr="00781112">
        <w:rPr>
          <w:b/>
          <w:color w:val="000000" w:themeColor="text1"/>
          <w:szCs w:val="16"/>
        </w:rPr>
        <w:t xml:space="preserve">Monitoring Priority: </w:t>
      </w:r>
      <w:r w:rsidRPr="00781112">
        <w:rPr>
          <w:color w:val="000000" w:themeColor="text1"/>
          <w:szCs w:val="16"/>
        </w:rPr>
        <w:t xml:space="preserve">General Supervision </w:t>
      </w:r>
    </w:p>
    <w:p w14:paraId="5E0D7347" w14:textId="77777777" w:rsidR="00AE1972" w:rsidRPr="00781112" w:rsidRDefault="00AE1972" w:rsidP="00AE1972">
      <w:pPr>
        <w:rPr>
          <w:b/>
          <w:color w:val="000000" w:themeColor="text1"/>
          <w:szCs w:val="16"/>
        </w:rPr>
      </w:pPr>
      <w:r w:rsidRPr="00781112">
        <w:rPr>
          <w:color w:val="000000" w:themeColor="text1"/>
          <w:szCs w:val="16"/>
        </w:rPr>
        <w:t>The State’s SPP/APR includes a State Systemic Improvement Plan (SSIP) that meets the requirements set forth for this indicator.</w:t>
      </w:r>
    </w:p>
    <w:p w14:paraId="450C51F8" w14:textId="77777777" w:rsidR="00AE1972" w:rsidRPr="00781112" w:rsidRDefault="00AE1972" w:rsidP="00AE1972">
      <w:pPr>
        <w:rPr>
          <w:b/>
          <w:color w:val="000000" w:themeColor="text1"/>
        </w:rPr>
      </w:pPr>
      <w:r w:rsidRPr="00781112">
        <w:rPr>
          <w:b/>
          <w:color w:val="000000" w:themeColor="text1"/>
        </w:rPr>
        <w:t>Measurement</w:t>
      </w:r>
    </w:p>
    <w:p w14:paraId="04B17582" w14:textId="6FB0482A" w:rsidR="00AE1972" w:rsidRPr="00781112" w:rsidRDefault="00AE1972" w:rsidP="00AE1972">
      <w:r w:rsidRPr="00781112">
        <w:t xml:space="preserve">The State’s SPP/APR includes an SSIP that is a comprehensive, ambitious, yet achievable multi-year plan for improving results </w:t>
      </w:r>
      <w:r w:rsidR="00002E37" w:rsidRPr="00651E83">
        <w:rPr>
          <w:rFonts w:cs="Arial"/>
          <w:szCs w:val="16"/>
        </w:rPr>
        <w:t xml:space="preserve">for </w:t>
      </w:r>
      <w:r w:rsidR="006B5750">
        <w:rPr>
          <w:rFonts w:cs="Arial"/>
          <w:szCs w:val="16"/>
        </w:rPr>
        <w:t>children</w:t>
      </w:r>
      <w:r w:rsidR="006B5750" w:rsidRPr="00651E83">
        <w:rPr>
          <w:rFonts w:cs="Arial"/>
          <w:szCs w:val="16"/>
        </w:rPr>
        <w:t xml:space="preserve"> </w:t>
      </w:r>
      <w:r w:rsidR="00002E37" w:rsidRPr="00651E83">
        <w:rPr>
          <w:rFonts w:cs="Arial"/>
          <w:szCs w:val="16"/>
        </w:rPr>
        <w:t>with disabilities</w:t>
      </w:r>
      <w:r w:rsidRPr="00781112">
        <w:t>. The SSIP includes each of the components described below.</w:t>
      </w:r>
    </w:p>
    <w:p w14:paraId="26F5AA9C" w14:textId="77777777" w:rsidR="00AE1972" w:rsidRPr="00781112" w:rsidRDefault="00AE1972" w:rsidP="00AE1972">
      <w:pPr>
        <w:rPr>
          <w:b/>
          <w:color w:val="000000" w:themeColor="text1"/>
        </w:rPr>
      </w:pPr>
      <w:r w:rsidRPr="00781112">
        <w:rPr>
          <w:b/>
          <w:color w:val="000000" w:themeColor="text1"/>
        </w:rPr>
        <w:t>Instructions</w:t>
      </w:r>
    </w:p>
    <w:p w14:paraId="399EE6DB" w14:textId="1CFF166B" w:rsidR="00AE1972" w:rsidRPr="00781112" w:rsidRDefault="00AE1972" w:rsidP="00AE1972">
      <w:r w:rsidRPr="00781112">
        <w:rPr>
          <w:b/>
          <w:iCs/>
          <w:u w:val="single"/>
        </w:rPr>
        <w:t>Baseline Data</w:t>
      </w:r>
      <w:r w:rsidRPr="00781112">
        <w:rPr>
          <w:b/>
          <w:i/>
        </w:rPr>
        <w:t>:</w:t>
      </w:r>
      <w:r w:rsidRPr="00781112">
        <w:t xml:space="preserve"> The State must provide baseline data that must be expressed as a percentage and which is aligned with the State-identified Measurable Result(s) for </w:t>
      </w:r>
      <w:r w:rsidR="00B00A11" w:rsidRPr="00781112">
        <w:rPr>
          <w:rFonts w:cs="Arial"/>
          <w:szCs w:val="16"/>
        </w:rPr>
        <w:t>Children with Disabilities.</w:t>
      </w:r>
    </w:p>
    <w:p w14:paraId="200B44A4" w14:textId="58CD5FAE" w:rsidR="00AE1972" w:rsidRPr="00781112" w:rsidRDefault="00AE1972" w:rsidP="00AE1972">
      <w:r w:rsidRPr="00781112">
        <w:rPr>
          <w:b/>
          <w:iCs/>
          <w:u w:val="single"/>
        </w:rPr>
        <w:t>Targets</w:t>
      </w:r>
      <w:r w:rsidRPr="00781112">
        <w:rPr>
          <w:b/>
          <w:i/>
        </w:rPr>
        <w:t>:</w:t>
      </w:r>
      <w:r w:rsidRPr="00781112">
        <w:t xml:space="preserve"> </w:t>
      </w:r>
      <w:r w:rsidR="00E101A7" w:rsidRPr="00781112">
        <w:rPr>
          <w:rFonts w:cs="Arial"/>
          <w:szCs w:val="16"/>
        </w:rPr>
        <w:t>In its FFY 2020 SPP/APR, due February 1, 2022, the State must provide measurable and rigorous targets (expressed as percentages) for each of the six years from FFY 2020 through FFY 2025. The State’s FFY 2025 target must demonstrate improvement over the State’s</w:t>
      </w:r>
      <w:r w:rsidR="00635660" w:rsidRPr="00635660">
        <w:rPr>
          <w:rFonts w:cs="Arial"/>
          <w:szCs w:val="16"/>
        </w:rPr>
        <w:t xml:space="preserve"> </w:t>
      </w:r>
      <w:r w:rsidR="00635660">
        <w:rPr>
          <w:rFonts w:cs="Arial"/>
          <w:szCs w:val="16"/>
        </w:rPr>
        <w:t>b</w:t>
      </w:r>
      <w:r w:rsidR="00E101A7" w:rsidRPr="00781112">
        <w:rPr>
          <w:rFonts w:cs="Arial"/>
          <w:szCs w:val="16"/>
        </w:rPr>
        <w:t>aseline data.</w:t>
      </w:r>
    </w:p>
    <w:p w14:paraId="6B54FC53" w14:textId="6B7D70E4" w:rsidR="00AE1972" w:rsidRPr="00781112" w:rsidRDefault="00AE1972" w:rsidP="00AE1972">
      <w:r w:rsidRPr="00781112">
        <w:rPr>
          <w:b/>
          <w:iCs/>
          <w:u w:val="single"/>
        </w:rPr>
        <w:t>Updated Data:</w:t>
      </w:r>
      <w:r w:rsidRPr="00781112">
        <w:t xml:space="preserve"> </w:t>
      </w:r>
      <w:r w:rsidR="00B00A11" w:rsidRPr="00781112">
        <w:rPr>
          <w:rFonts w:cs="Arial"/>
          <w:szCs w:val="16"/>
        </w:rPr>
        <w:t xml:space="preserve">In its FFYs 2020 through FFY 2025 SPPs/APRs, due February </w:t>
      </w:r>
      <w:r w:rsidR="00D14A1B" w:rsidRPr="00781112">
        <w:rPr>
          <w:rFonts w:cs="Arial"/>
          <w:szCs w:val="16"/>
        </w:rPr>
        <w:t xml:space="preserve">2, </w:t>
      </w:r>
      <w:r w:rsidR="00B00A11" w:rsidRPr="00781112">
        <w:rPr>
          <w:rFonts w:cs="Arial"/>
          <w:szCs w:val="16"/>
        </w:rPr>
        <w:t>2022, the State must provide updated data for that specific FFY (expressed as percentages) and that data must be aligned with the State-identified Measurable Result(s) for Children with Disabilities. In its FFYs 2020 through FFY 2025 SPPs/APRs, the State must report on whether it met its target.</w:t>
      </w:r>
    </w:p>
    <w:p w14:paraId="3660F78F" w14:textId="77777777" w:rsidR="00AE1972" w:rsidRPr="00781112" w:rsidRDefault="00AE1972" w:rsidP="00AE1972">
      <w:pPr>
        <w:pStyle w:val="Subhed"/>
      </w:pPr>
      <w:r w:rsidRPr="00781112">
        <w:t>Overview of the Three Phases of the SSIP</w:t>
      </w:r>
    </w:p>
    <w:p w14:paraId="41060915" w14:textId="1038334F" w:rsidR="00AE1972" w:rsidRPr="00781112" w:rsidRDefault="00B00A11" w:rsidP="00AE1972">
      <w:pPr>
        <w:rPr>
          <w:rFonts w:cs="Arial"/>
          <w:szCs w:val="16"/>
        </w:rPr>
      </w:pPr>
      <w:r w:rsidRPr="00781112">
        <w:rPr>
          <w:rFonts w:cs="Arial"/>
          <w:szCs w:val="16"/>
        </w:rPr>
        <w:t>It is of the utmost importance to improve results for children with disabilities by improving educational services, including special education and related services. Stakeholders, including parents of children with disabilities, local educational agencies, the State Advisory Panel, and others, are critical participants in improving results for children with disabilities and should be included in developing, implementing, evaluating, and revising the SSIP and included in establishing the State’s targets under Indicator 17. The SSIP should include information about stakeholder involvement in all three phases.</w:t>
      </w:r>
    </w:p>
    <w:p w14:paraId="1F974632" w14:textId="656B04EE" w:rsidR="00AE1972" w:rsidRPr="00781112" w:rsidRDefault="00AE1972" w:rsidP="00AE1972">
      <w:pPr>
        <w:pStyle w:val="Subhed"/>
        <w:rPr>
          <w:b w:val="0"/>
        </w:rPr>
      </w:pPr>
      <w:r w:rsidRPr="00781112">
        <w:rPr>
          <w:i/>
        </w:rPr>
        <w:t>Phase I: Analysis:</w:t>
      </w:r>
      <w:r w:rsidRPr="00781112">
        <w:rPr>
          <w:b w:val="0"/>
        </w:rPr>
        <w:t xml:space="preserve"> </w:t>
      </w:r>
    </w:p>
    <w:p w14:paraId="096C9E4B" w14:textId="77777777" w:rsidR="00AE1972" w:rsidRPr="00781112" w:rsidRDefault="00AE1972" w:rsidP="00AE1972">
      <w:pPr>
        <w:ind w:left="360"/>
      </w:pPr>
      <w:r w:rsidRPr="00781112">
        <w:t>- Data Analysis;</w:t>
      </w:r>
    </w:p>
    <w:p w14:paraId="27016A94" w14:textId="77777777" w:rsidR="00AE1972" w:rsidRPr="00781112" w:rsidRDefault="00AE1972" w:rsidP="00AE1972">
      <w:pPr>
        <w:ind w:left="360"/>
      </w:pPr>
      <w:r w:rsidRPr="00781112">
        <w:t>- Analysis of State Infrastructure to Support Improvement and Build Capacity;</w:t>
      </w:r>
    </w:p>
    <w:p w14:paraId="7C62869B" w14:textId="77122CAD" w:rsidR="00AE1972" w:rsidRPr="00781112" w:rsidRDefault="00AE1972" w:rsidP="00AE1972">
      <w:pPr>
        <w:ind w:left="360"/>
      </w:pPr>
      <w:r w:rsidRPr="00781112">
        <w:t xml:space="preserve">- State-identified Measurable Result(s) for </w:t>
      </w:r>
      <w:r w:rsidR="00B00A11" w:rsidRPr="00781112">
        <w:rPr>
          <w:rFonts w:cs="Arial"/>
          <w:szCs w:val="16"/>
        </w:rPr>
        <w:t>Children with Disabilities</w:t>
      </w:r>
      <w:r w:rsidRPr="00781112">
        <w:t>;</w:t>
      </w:r>
    </w:p>
    <w:p w14:paraId="6AD2D627" w14:textId="77777777" w:rsidR="00AE1972" w:rsidRPr="00781112" w:rsidRDefault="00AE1972" w:rsidP="00AE1972">
      <w:pPr>
        <w:ind w:left="360"/>
      </w:pPr>
      <w:r w:rsidRPr="00781112">
        <w:t>- Selection of Coherent Improvement Strategies; and</w:t>
      </w:r>
    </w:p>
    <w:p w14:paraId="356E7B19" w14:textId="77777777" w:rsidR="00AE1972" w:rsidRPr="00781112" w:rsidRDefault="00AE1972" w:rsidP="00AE1972">
      <w:pPr>
        <w:ind w:left="360"/>
      </w:pPr>
      <w:r w:rsidRPr="00781112">
        <w:t>- Theory of Action.</w:t>
      </w:r>
    </w:p>
    <w:p w14:paraId="6A753B55" w14:textId="47758674" w:rsidR="00AE1972" w:rsidRPr="00781112" w:rsidRDefault="00AE1972" w:rsidP="00AE1972">
      <w:pPr>
        <w:pStyle w:val="Subhed"/>
        <w:rPr>
          <w:b w:val="0"/>
        </w:rPr>
      </w:pPr>
      <w:r w:rsidRPr="00781112">
        <w:rPr>
          <w:i/>
        </w:rPr>
        <w:t>Phase II: Plan</w:t>
      </w:r>
      <w:r w:rsidRPr="00781112">
        <w:rPr>
          <w:b w:val="0"/>
        </w:rPr>
        <w:t xml:space="preserve"> (which, </w:t>
      </w:r>
      <w:r w:rsidR="00D14A1B" w:rsidRPr="00781112">
        <w:rPr>
          <w:b w:val="0"/>
        </w:rPr>
        <w:t xml:space="preserve">is </w:t>
      </w:r>
      <w:r w:rsidRPr="00781112">
        <w:rPr>
          <w:b w:val="0"/>
        </w:rPr>
        <w:t>in addition to the Phase I content (including any updates) outlined above:</w:t>
      </w:r>
    </w:p>
    <w:p w14:paraId="0A22BE99" w14:textId="77777777" w:rsidR="006B5750" w:rsidRDefault="00756B33" w:rsidP="008877E3">
      <w:pPr>
        <w:ind w:left="360"/>
      </w:pPr>
      <w:r w:rsidRPr="00781112">
        <w:t xml:space="preserve">- </w:t>
      </w:r>
      <w:r w:rsidR="00AE1972" w:rsidRPr="00781112">
        <w:t>Infrastructure Development;</w:t>
      </w:r>
    </w:p>
    <w:p w14:paraId="66997D61" w14:textId="59DC7764" w:rsidR="006B5750" w:rsidRDefault="006B5750" w:rsidP="008877E3">
      <w:pPr>
        <w:ind w:left="360"/>
      </w:pPr>
      <w:r>
        <w:t>- Support for local educational agency (LEA)</w:t>
      </w:r>
      <w:r w:rsidDel="006B5750">
        <w:t xml:space="preserve"> </w:t>
      </w:r>
      <w:r>
        <w:t>Implementation of Evidence-Based Practices; and</w:t>
      </w:r>
      <w:r w:rsidRPr="00781112">
        <w:t xml:space="preserve"> </w:t>
      </w:r>
    </w:p>
    <w:p w14:paraId="38176125" w14:textId="4276E770" w:rsidR="00AE1972" w:rsidRPr="00781112" w:rsidRDefault="00756B33" w:rsidP="008877E3">
      <w:pPr>
        <w:ind w:left="360"/>
      </w:pPr>
      <w:r w:rsidRPr="00781112">
        <w:t xml:space="preserve">- </w:t>
      </w:r>
      <w:r w:rsidR="00AE1972" w:rsidRPr="00781112">
        <w:t>Evaluation.</w:t>
      </w:r>
    </w:p>
    <w:p w14:paraId="73F6A460" w14:textId="05523F5F" w:rsidR="00AE1972" w:rsidRPr="00781112" w:rsidRDefault="00AE1972" w:rsidP="00AE1972">
      <w:pPr>
        <w:pStyle w:val="Subhed"/>
        <w:rPr>
          <w:b w:val="0"/>
        </w:rPr>
      </w:pPr>
      <w:r w:rsidRPr="00781112">
        <w:rPr>
          <w:i/>
        </w:rPr>
        <w:t>Phase III: Implementation and Evaluation</w:t>
      </w:r>
      <w:r w:rsidRPr="00781112">
        <w:rPr>
          <w:b w:val="0"/>
        </w:rPr>
        <w:t xml:space="preserve"> (which, </w:t>
      </w:r>
      <w:r w:rsidR="00D14A1B" w:rsidRPr="00781112">
        <w:rPr>
          <w:b w:val="0"/>
        </w:rPr>
        <w:t xml:space="preserve">is </w:t>
      </w:r>
      <w:r w:rsidRPr="00781112">
        <w:rPr>
          <w:b w:val="0"/>
        </w:rPr>
        <w:t>in addition to the Phase I and Phase II content (including any updates) outlined above:</w:t>
      </w:r>
    </w:p>
    <w:p w14:paraId="580CF235" w14:textId="77777777" w:rsidR="00AE1972" w:rsidRPr="00781112" w:rsidRDefault="00AE1972" w:rsidP="00AE1972">
      <w:pPr>
        <w:ind w:left="360"/>
      </w:pPr>
      <w:r w:rsidRPr="00781112">
        <w:t>- Results of Ongoing Evaluation and Revisions to the SSIP.</w:t>
      </w:r>
    </w:p>
    <w:p w14:paraId="03B4B47F" w14:textId="77777777" w:rsidR="00AE1972" w:rsidRPr="00781112" w:rsidRDefault="00AE1972" w:rsidP="00AE1972">
      <w:pPr>
        <w:rPr>
          <w:b/>
        </w:rPr>
      </w:pPr>
      <w:r w:rsidRPr="00781112">
        <w:rPr>
          <w:b/>
        </w:rPr>
        <w:t>Specific Content of Each Phase of the SSIP</w:t>
      </w:r>
    </w:p>
    <w:p w14:paraId="467D2C6D" w14:textId="3F55CFEA" w:rsidR="00AE1972" w:rsidRPr="00781112" w:rsidRDefault="00AE1972" w:rsidP="00AE1972">
      <w:r w:rsidRPr="00781112">
        <w:t>Refer to FFY 2013-2015 Measurement Table for detailed requirements of Phase I and Phase II SSIP submissions.</w:t>
      </w:r>
    </w:p>
    <w:p w14:paraId="4B1E2598" w14:textId="77777777" w:rsidR="00AE1972" w:rsidRPr="00781112" w:rsidRDefault="00AE1972" w:rsidP="00AE1972">
      <w:r w:rsidRPr="00781112">
        <w:t>Phase III should only include information from Phase I or Phase II if changes or revisions are being made by the State and/or if information previously required in Phase I or Phase II was not reported.</w:t>
      </w:r>
    </w:p>
    <w:p w14:paraId="5E950372" w14:textId="77777777" w:rsidR="00AE1972" w:rsidRPr="00781112" w:rsidRDefault="00AE1972" w:rsidP="00AE1972">
      <w:pPr>
        <w:rPr>
          <w:b/>
          <w:i/>
        </w:rPr>
      </w:pPr>
      <w:r w:rsidRPr="00781112">
        <w:rPr>
          <w:b/>
          <w:i/>
        </w:rPr>
        <w:t>Phase III: Implementation and Evaluation</w:t>
      </w:r>
    </w:p>
    <w:p w14:paraId="2ACE13F7" w14:textId="77777777" w:rsidR="00496EF6" w:rsidRPr="00781112" w:rsidRDefault="00496EF6" w:rsidP="00496EF6">
      <w:pPr>
        <w:rPr>
          <w:rFonts w:cs="Arial"/>
          <w:szCs w:val="16"/>
        </w:rPr>
      </w:pPr>
      <w:r w:rsidRPr="00781112">
        <w:rPr>
          <w:rFonts w:cs="Arial"/>
          <w:szCs w:val="16"/>
        </w:rPr>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Result(s) for Children with Disabilities (SiMR);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6BC324F8" w14:textId="77777777" w:rsidR="00AE1972" w:rsidRPr="00781112" w:rsidRDefault="00AE1972" w:rsidP="00AE1972">
      <w:pPr>
        <w:tabs>
          <w:tab w:val="left" w:pos="270"/>
          <w:tab w:val="left" w:pos="630"/>
        </w:tabs>
      </w:pPr>
      <w:r w:rsidRPr="00781112">
        <w:t xml:space="preserve">A. </w:t>
      </w:r>
      <w:r w:rsidRPr="00781112">
        <w:tab/>
        <w:t>Data Analysis</w:t>
      </w:r>
    </w:p>
    <w:p w14:paraId="7509FEFA" w14:textId="77777777" w:rsidR="000063AC" w:rsidRPr="00781112" w:rsidRDefault="000063AC" w:rsidP="000063AC">
      <w:pPr>
        <w:rPr>
          <w:rFonts w:cs="Arial"/>
          <w:szCs w:val="16"/>
        </w:rPr>
      </w:pPr>
      <w:r w:rsidRPr="00781112">
        <w:rPr>
          <w:rFonts w:cs="Arial"/>
          <w:szCs w:val="16"/>
        </w:rPr>
        <w:t>As required in the Instructions for the Indicator/Measurement, in its FFYs 2020 through 2025 SPP/APR, the State must report data for that specific FFY (expressed as actual numbers and percentages) that are aligned with the SiMR. The State must report on whether the State met its target. In addition, the State may report on any additional data (e.g., progress monitoring data) that were collected and analyzed that would suggest progress toward the SiMR. States using a subset of the population from the indicator (e.g., a sample, cohort model) should describe how data are collected and analyzed for the SiMR if that was not described in Phase I or Phase II of the SSIP.</w:t>
      </w:r>
    </w:p>
    <w:p w14:paraId="77280910" w14:textId="77777777" w:rsidR="00AE1972" w:rsidRPr="00781112" w:rsidRDefault="00AE1972" w:rsidP="00AE1972">
      <w:pPr>
        <w:tabs>
          <w:tab w:val="left" w:pos="360"/>
        </w:tabs>
      </w:pPr>
      <w:r w:rsidRPr="00781112">
        <w:t xml:space="preserve">B. </w:t>
      </w:r>
      <w:r w:rsidRPr="00781112">
        <w:tab/>
        <w:t>Phase III Implementation, Analysis and Evaluation</w:t>
      </w:r>
    </w:p>
    <w:p w14:paraId="55F09A01" w14:textId="5A162AE2" w:rsidR="00AE1972" w:rsidRPr="00781112" w:rsidRDefault="00AE1972" w:rsidP="00AE1972">
      <w:r w:rsidRPr="00781112">
        <w:t xml:space="preserve">The State must provide a narrative or graphic representation, e.g., a logic model, of the principal activities, measures and outcomes that were implemented since the State’s last SSIP submission (i.e., </w:t>
      </w:r>
      <w:r w:rsidR="00F302A0" w:rsidRPr="00781112">
        <w:t>Feb</w:t>
      </w:r>
      <w:r w:rsidRPr="00781112">
        <w:t xml:space="preserve"> 2021).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0A51077C" w14:textId="5AFE2A3A" w:rsidR="00AE1972" w:rsidRPr="00781112" w:rsidRDefault="00AE1972" w:rsidP="00AE1972">
      <w:r w:rsidRPr="00781112">
        <w:t>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The State must describe the next steps for each infrastructure improvement strategy and the anticipated outcomes to be attained during the next fiscal year (e.g., for the FFY 2020 APR, report on anticipated outcomes to be obtained during FFY 2021, i.e., July 1, 2021-June 30, 2022).</w:t>
      </w:r>
    </w:p>
    <w:p w14:paraId="6198E1D5" w14:textId="77777777" w:rsidR="00AE1972" w:rsidRPr="00781112" w:rsidRDefault="00AE1972" w:rsidP="00AE1972">
      <w:r w:rsidRPr="00781112">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SiMR by changing program/district policies, procedures, and/or practices, teacher/provider practices (i.e., behaviors), parent/caregiver outcomes, </w:t>
      </w:r>
      <w:r w:rsidRPr="00781112">
        <w:lastRenderedPageBreak/>
        <w:t>and/or child outcomes. Describe any additional data (i.e., progress monitoring data) that was collected to support the on-going use of the evidence-based practices and inform decision-making for the next year of SSIP implementation.</w:t>
      </w:r>
    </w:p>
    <w:p w14:paraId="411C94A7" w14:textId="77777777" w:rsidR="00AE1972" w:rsidRPr="00781112" w:rsidRDefault="00AE1972" w:rsidP="00AE1972">
      <w:pPr>
        <w:tabs>
          <w:tab w:val="left" w:pos="270"/>
        </w:tabs>
      </w:pPr>
      <w:r w:rsidRPr="00781112">
        <w:t xml:space="preserve">C. </w:t>
      </w:r>
      <w:r w:rsidRPr="00781112">
        <w:tab/>
        <w:t>Stakeholder Engagement</w:t>
      </w:r>
    </w:p>
    <w:p w14:paraId="007F9035" w14:textId="77777777" w:rsidR="00AE1972" w:rsidRPr="00781112" w:rsidRDefault="00AE1972" w:rsidP="00AE1972">
      <w:r w:rsidRPr="00781112">
        <w:t>The State must describe the specific strategies implemented to engage stakeholders in key improvement efforts and how the State addressed concerns, if any, raised by stakeholders through its engagement activities.</w:t>
      </w:r>
    </w:p>
    <w:p w14:paraId="38CBE3F2" w14:textId="77777777" w:rsidR="00AE1972" w:rsidRPr="00781112" w:rsidRDefault="00AE1972" w:rsidP="00AE1972">
      <w:r w:rsidRPr="00781112">
        <w:t>Additional Implementation Activities</w:t>
      </w:r>
    </w:p>
    <w:p w14:paraId="00F49894" w14:textId="77777777" w:rsidR="00AE1972" w:rsidRPr="00781112" w:rsidRDefault="00AE1972" w:rsidP="00AE1972">
      <w:r w:rsidRPr="00781112">
        <w:t>The State should identify any activities not already described that it intends to implement in the next fiscal year (e.g., for the FFY 2020 APR, report on activities it intends to implement in FFY 2021, i.e., July 1, 2021-June 30, 2022) including a timeline, anticipated data collection and measures, and expected outcomes that are related to the SiMR. The State should describe any newly identified barriers and include steps to address these barriers.</w:t>
      </w:r>
    </w:p>
    <w:p w14:paraId="428E26A7" w14:textId="6193C9E6" w:rsidR="00AE1972" w:rsidRPr="00781112" w:rsidRDefault="00AE1972" w:rsidP="00AE1972">
      <w:pPr>
        <w:pStyle w:val="Heading2"/>
      </w:pPr>
      <w:r w:rsidRPr="00781112">
        <w:t>1</w:t>
      </w:r>
      <w:r w:rsidR="00B90835" w:rsidRPr="00781112">
        <w:t>7</w:t>
      </w:r>
      <w:r w:rsidRPr="00781112">
        <w:t xml:space="preserve"> - Indicator Data</w:t>
      </w:r>
    </w:p>
    <w:p w14:paraId="626DBA0C" w14:textId="77777777" w:rsidR="00AE1972" w:rsidRPr="00781112" w:rsidRDefault="00AE1972" w:rsidP="00AE1972">
      <w:pPr>
        <w:rPr>
          <w:b/>
          <w:bCs/>
        </w:rPr>
      </w:pPr>
      <w:r w:rsidRPr="00781112">
        <w:rPr>
          <w:b/>
          <w:bCs/>
        </w:rPr>
        <w:t>Section A: Data Analysis</w:t>
      </w:r>
    </w:p>
    <w:p w14:paraId="26873A73" w14:textId="77777777" w:rsidR="00AE1972" w:rsidRPr="00781112" w:rsidRDefault="00AE1972" w:rsidP="00AE1972">
      <w:pPr>
        <w:rPr>
          <w:b/>
          <w:bCs/>
        </w:rPr>
      </w:pPr>
      <w:r w:rsidRPr="00781112">
        <w:rPr>
          <w:b/>
          <w:bCs/>
        </w:rPr>
        <w:t>What is the State-identified Measurable Result (SiMR)?</w:t>
      </w:r>
    </w:p>
    <w:p w14:paraId="2CDA0A52" w14:textId="1253220E" w:rsidR="00AE1972" w:rsidRPr="00781112" w:rsidRDefault="00AE1972" w:rsidP="00AE1972">
      <w:pPr>
        <w:rPr>
          <w:color w:val="000000" w:themeColor="text1"/>
        </w:rPr>
      </w:pPr>
      <w:r w:rsidRPr="00781112">
        <w:rPr>
          <w:color w:val="000000" w:themeColor="text1"/>
        </w:rPr>
        <w:t>The Louisiana SiMR focuses on improving student-centered outcomes. Louisiana Believes starts with the premise that all children can achieve high expectations and should be prepared for college or career. The challenges of meeting the needs of diverse learners begin early. When Louisiana improved the LEAP assessment, the gap between students with disabilities and their general education peers was shown to be larger than previously understood. For these reasons, Louisiana is focusing on literacy, a foundational skill necessary for success in all subjects and grades. Louisiana’s SiMR is to increase ELA proficiency rates on statewide assessments for students with disabilities in third through fifth grades, in eight school systems (SSIP cohort) across the state.</w:t>
      </w:r>
    </w:p>
    <w:p w14:paraId="43CABCA3" w14:textId="77777777" w:rsidR="00AE1972" w:rsidRPr="00781112" w:rsidRDefault="00AE1972" w:rsidP="00AE1972">
      <w:pPr>
        <w:rPr>
          <w:b/>
          <w:bCs/>
        </w:rPr>
      </w:pPr>
      <w:bookmarkStart w:id="89" w:name="_Hlk85195358"/>
      <w:r w:rsidRPr="00781112">
        <w:rPr>
          <w:b/>
          <w:bCs/>
        </w:rPr>
        <w:t>Has the SiMR changed since the last SSIP submission? (yes/no)</w:t>
      </w:r>
    </w:p>
    <w:p w14:paraId="53B392AE" w14:textId="5D60E4A2" w:rsidR="00AE1972" w:rsidRDefault="00AE1972" w:rsidP="00AE1972">
      <w:r w:rsidRPr="00781112">
        <w:t>NO</w:t>
      </w:r>
    </w:p>
    <w:bookmarkEnd w:id="89"/>
    <w:p w14:paraId="1B1A90F5" w14:textId="77777777" w:rsidR="00935B96" w:rsidRPr="00781112" w:rsidRDefault="00935B96" w:rsidP="00AE1972"/>
    <w:p w14:paraId="4DB5CA5B" w14:textId="77777777" w:rsidR="00AE1972" w:rsidRPr="00781112" w:rsidRDefault="00AE1972" w:rsidP="00AE1972">
      <w:pPr>
        <w:rPr>
          <w:b/>
          <w:bCs/>
        </w:rPr>
      </w:pPr>
      <w:r w:rsidRPr="00781112">
        <w:rPr>
          <w:b/>
          <w:bCs/>
        </w:rPr>
        <w:t>Is the State using a subset of the population from the indicator (</w:t>
      </w:r>
      <w:r w:rsidRPr="00781112">
        <w:rPr>
          <w:b/>
          <w:bCs/>
          <w:i/>
          <w:iCs/>
        </w:rPr>
        <w:t>e.g.</w:t>
      </w:r>
      <w:r w:rsidRPr="00781112">
        <w:rPr>
          <w:b/>
          <w:bCs/>
        </w:rPr>
        <w:t>, a sample, cohort model)? (yes/no)</w:t>
      </w:r>
    </w:p>
    <w:p w14:paraId="5220F24E" w14:textId="45A17085" w:rsidR="00AE1972" w:rsidRDefault="00AE1972" w:rsidP="00AE1972">
      <w:r w:rsidRPr="00781112">
        <w:rPr>
          <w:color w:val="000000" w:themeColor="text1"/>
        </w:rPr>
        <w:t>YES</w:t>
      </w:r>
    </w:p>
    <w:p w14:paraId="54FC6DBB" w14:textId="3D1C5D57" w:rsidR="00AE1972" w:rsidRPr="00781112" w:rsidRDefault="00ED5509" w:rsidP="00AE1972">
      <w:pPr>
        <w:rPr>
          <w:b/>
          <w:bCs/>
        </w:rPr>
      </w:pPr>
      <w:r w:rsidRPr="00781112">
        <w:rPr>
          <w:b/>
          <w:bCs/>
        </w:rPr>
        <w:t>Provide a description of the subset of the population from the indicator.</w:t>
      </w:r>
    </w:p>
    <w:p w14:paraId="730A7F24" w14:textId="5026F767" w:rsidR="00AE1972" w:rsidRDefault="00AE1972" w:rsidP="00AE1972">
      <w:pPr>
        <w:rPr>
          <w:color w:val="000000" w:themeColor="text1"/>
        </w:rPr>
      </w:pPr>
      <w:r w:rsidRPr="00781112">
        <w:rPr>
          <w:color w:val="000000" w:themeColor="text1"/>
        </w:rPr>
        <w:t xml:space="preserve">The SSIP cohort remains the same and includes 30 elementary/middle schools in 8 LEAs and specifically looks at the performance of students with disabilities in the cohort. Students in the cohort will change each year with incoming students into 3rd grade and as students move out of 5th grade. </w:t>
      </w:r>
    </w:p>
    <w:p w14:paraId="74BC6A9B" w14:textId="77777777" w:rsidR="00AE1972" w:rsidRPr="00781112" w:rsidRDefault="00AE1972" w:rsidP="00AE1972">
      <w:pPr>
        <w:rPr>
          <w:b/>
          <w:bCs/>
        </w:rPr>
      </w:pPr>
    </w:p>
    <w:p w14:paraId="7B52B71D" w14:textId="77777777" w:rsidR="00AE1972" w:rsidRPr="00781112" w:rsidRDefault="00AE1972" w:rsidP="00AE1972">
      <w:pPr>
        <w:rPr>
          <w:b/>
          <w:bCs/>
        </w:rPr>
      </w:pPr>
      <w:r w:rsidRPr="00781112">
        <w:rPr>
          <w:b/>
          <w:bCs/>
        </w:rPr>
        <w:t>Is the State’s theory of action new or revised since the previous submission? (yes/no)</w:t>
      </w:r>
    </w:p>
    <w:p w14:paraId="2F47C8A6" w14:textId="34E2E007" w:rsidR="00AE1972" w:rsidRDefault="00AE1972" w:rsidP="00AE1972">
      <w:r w:rsidRPr="00781112">
        <w:t>NO</w:t>
      </w:r>
    </w:p>
    <w:p w14:paraId="233336CC" w14:textId="56400261" w:rsidR="00A202E9" w:rsidRPr="00781112" w:rsidRDefault="00A202E9" w:rsidP="00A202E9">
      <w:pPr>
        <w:rPr>
          <w:rFonts w:cs="Arial"/>
          <w:b/>
          <w:bCs/>
          <w:szCs w:val="16"/>
        </w:rPr>
      </w:pPr>
      <w:r w:rsidRPr="00781112">
        <w:rPr>
          <w:rFonts w:cs="Arial"/>
          <w:b/>
          <w:bCs/>
          <w:szCs w:val="16"/>
        </w:rPr>
        <w:t>Please provide a link to the current theory of action.</w:t>
      </w:r>
    </w:p>
    <w:p w14:paraId="7EC9F4F7" w14:textId="0C6CDBBD" w:rsidR="00A202E9" w:rsidRDefault="00A202E9" w:rsidP="00A202E9">
      <w:r w:rsidRPr="00781112">
        <w:t>Louisiana's theory of action states that if (a) data-informed decision making, (b) evidence-based literacy practices and (c) continuous leadership development are implemented with fidelity then (a) districts, schools and teachers will be able to continuously analyze and use multiple data sources to assess, plan and track outcomes for students with disabilities in 3-5 grades, (b) educators can implement literacy practices with fidelity for students with disabilities in 3-5 grades, and (c) districts, schools and teachers will have the capacity to enact change focused on improving literacy outcomes for students with disabilities in 3-5 grades.</w:t>
      </w:r>
      <w:r w:rsidRPr="00781112">
        <w:br/>
      </w:r>
      <w:r w:rsidRPr="00781112">
        <w:br/>
        <w:t>Louisiana's theory of action can also be accessed on page 6 here: https://www.louisianabelieves.com/docs/default-source/students-with-disabilities/state-systemic-improvement-plan-report-2019-2020.pdf?sfvrsn=70a66518_2</w:t>
      </w:r>
    </w:p>
    <w:p w14:paraId="4736A5D8" w14:textId="1685348D" w:rsidR="00CF0910" w:rsidRDefault="00CF0910" w:rsidP="00A202E9"/>
    <w:p w14:paraId="401D0BC8" w14:textId="0670E0A5" w:rsidR="00CF0910" w:rsidRDefault="00CF0910" w:rsidP="00CF0910">
      <w:pPr>
        <w:rPr>
          <w:b/>
          <w:bCs/>
        </w:rPr>
      </w:pPr>
      <w:r w:rsidRPr="00730C62">
        <w:rPr>
          <w:b/>
          <w:bCs/>
        </w:rPr>
        <w:t>Does the State intend to continue implementing the SSIP without modifications? (yes/no)</w:t>
      </w:r>
    </w:p>
    <w:p w14:paraId="08D51FB4" w14:textId="52DEE948" w:rsidR="00CF0910" w:rsidRDefault="00CF0910" w:rsidP="00CF0910">
      <w:r w:rsidRPr="00781112">
        <w:t>YES</w:t>
      </w:r>
    </w:p>
    <w:p w14:paraId="3366C660" w14:textId="5FA79970" w:rsidR="00CF0910" w:rsidRPr="00730C62" w:rsidRDefault="00CF0910" w:rsidP="00CF0910">
      <w:pPr>
        <w:rPr>
          <w:b/>
          <w:bCs/>
        </w:rPr>
      </w:pPr>
      <w:r w:rsidRPr="00730C62">
        <w:rPr>
          <w:b/>
          <w:bCs/>
          <w:szCs w:val="16"/>
        </w:rPr>
        <w:t xml:space="preserve">If yes, describe how evaluation data support the </w:t>
      </w:r>
      <w:bookmarkStart w:id="90" w:name="_Hlk88409420"/>
      <w:r w:rsidR="006457D1">
        <w:rPr>
          <w:b/>
          <w:bCs/>
          <w:szCs w:val="16"/>
        </w:rPr>
        <w:t>d</w:t>
      </w:r>
      <w:r w:rsidR="006457D1" w:rsidRPr="00730C62">
        <w:rPr>
          <w:b/>
          <w:bCs/>
          <w:szCs w:val="16"/>
        </w:rPr>
        <w:t>ec</w:t>
      </w:r>
      <w:r w:rsidR="006457D1">
        <w:rPr>
          <w:b/>
          <w:bCs/>
          <w:szCs w:val="16"/>
        </w:rPr>
        <w:t>i</w:t>
      </w:r>
      <w:r w:rsidR="006457D1" w:rsidRPr="00730C62">
        <w:rPr>
          <w:b/>
          <w:bCs/>
          <w:szCs w:val="16"/>
        </w:rPr>
        <w:t>sion</w:t>
      </w:r>
      <w:r w:rsidR="006457D1" w:rsidRPr="00730C62" w:rsidDel="006457D1">
        <w:rPr>
          <w:b/>
          <w:bCs/>
          <w:szCs w:val="16"/>
        </w:rPr>
        <w:t xml:space="preserve"> </w:t>
      </w:r>
      <w:bookmarkEnd w:id="90"/>
      <w:r w:rsidRPr="00730C62">
        <w:rPr>
          <w:b/>
          <w:bCs/>
          <w:szCs w:val="16"/>
        </w:rPr>
        <w:t>to implement without any modifications to the SSIP.</w:t>
      </w:r>
    </w:p>
    <w:p w14:paraId="69B31FC3" w14:textId="6FA94771" w:rsidR="00CF0910" w:rsidRDefault="00CF0910" w:rsidP="00CF0910">
      <w:r w:rsidRPr="00781112">
        <w:t>ELA proficiency and literacy development for students with disabilities continues to be a priority in Louisiana. Prioritizing literacy and embedding supports in Louisiana's ELA Guidebook curriculum will continue to propel students with disabilities toward increased achievement tied to our SiMR. While the pandemic negatively impacted student achievement across Louisiana, observational data remains consistent that the vast majority of educators in the cohort are implementing high quality curriculum and are collaboratively planning for effective delivery of instruction. As our state strategically addresses the impacts of the pandemic, educator development needs to intentionally support the SSIP strategies through effective instruction and effective literacy instruction.</w:t>
      </w:r>
    </w:p>
    <w:p w14:paraId="0F3DB9FA" w14:textId="77777777" w:rsidR="00CF0910" w:rsidRPr="00781112" w:rsidRDefault="00CF0910" w:rsidP="00A202E9"/>
    <w:p w14:paraId="46EF1253" w14:textId="77777777" w:rsidR="00AE1972" w:rsidRPr="00781112" w:rsidRDefault="00AE1972" w:rsidP="00AE1972">
      <w:pPr>
        <w:rPr>
          <w:b/>
          <w:bCs/>
        </w:rPr>
      </w:pPr>
    </w:p>
    <w:p w14:paraId="5C9EC454" w14:textId="77777777" w:rsidR="00AE1972" w:rsidRPr="007E6407" w:rsidRDefault="00AE1972" w:rsidP="007E6407">
      <w:pPr>
        <w:rPr>
          <w:b/>
          <w:bCs/>
        </w:rPr>
      </w:pPr>
      <w:r w:rsidRPr="007E6407">
        <w:rPr>
          <w:b/>
          <w:bCs/>
        </w:rPr>
        <w:t>Progress toward the SiMR</w:t>
      </w:r>
    </w:p>
    <w:p w14:paraId="51DEC3F9" w14:textId="77777777" w:rsidR="00AE1972" w:rsidRPr="00781112" w:rsidRDefault="00AE1972" w:rsidP="00AE1972">
      <w:pPr>
        <w:rPr>
          <w:rFonts w:cs="Arial"/>
          <w:b/>
          <w:bCs/>
        </w:rPr>
      </w:pPr>
      <w:r w:rsidRPr="00781112">
        <w:rPr>
          <w:rFonts w:cs="Arial"/>
          <w:b/>
          <w:bCs/>
        </w:rPr>
        <w:t>Please provide the data for the specific FFY listed below (expressed as actual number and percentages)</w:t>
      </w:r>
      <w:r w:rsidRPr="00781112">
        <w:rPr>
          <w:rFonts w:cs="Arial"/>
          <w:b/>
          <w:bCs/>
          <w:i/>
          <w:iCs/>
        </w:rPr>
        <w:t xml:space="preserve">. </w:t>
      </w:r>
    </w:p>
    <w:p w14:paraId="6A111227" w14:textId="77777777" w:rsidR="00AE1972" w:rsidRPr="00781112" w:rsidRDefault="00AE1972" w:rsidP="00AE1972">
      <w:pPr>
        <w:rPr>
          <w:b/>
          <w:bCs/>
        </w:rPr>
      </w:pPr>
      <w:r w:rsidRPr="00781112">
        <w:rPr>
          <w:b/>
          <w:bCs/>
        </w:rPr>
        <w:t>Select yes if the State uses two targets for measurement. (yes/no)</w:t>
      </w:r>
    </w:p>
    <w:p w14:paraId="2BF2552F" w14:textId="1ABFEEE3" w:rsidR="00AE1972" w:rsidRDefault="00AE1972" w:rsidP="00AE1972">
      <w:r w:rsidRPr="00781112">
        <w:t>NO</w:t>
      </w:r>
    </w:p>
    <w:p w14:paraId="1782B857" w14:textId="77777777" w:rsidR="00AE1972" w:rsidRPr="00781112" w:rsidRDefault="00AE1972" w:rsidP="00AE1972"/>
    <w:p w14:paraId="0CE6ADBC" w14:textId="77777777" w:rsidR="00AE1972" w:rsidRPr="00781112" w:rsidRDefault="00AE1972" w:rsidP="00AE1972">
      <w:pPr>
        <w:rPr>
          <w:rFonts w:cs="Arial"/>
          <w:b/>
          <w:color w:val="000000" w:themeColor="text1"/>
          <w:szCs w:val="16"/>
        </w:rPr>
      </w:pPr>
      <w:r w:rsidRPr="00781112">
        <w:rPr>
          <w:rFonts w:cs="Arial"/>
          <w:b/>
          <w:color w:val="000000" w:themeColor="text1"/>
          <w:szCs w:val="16"/>
        </w:rPr>
        <w:t>Historical Data</w:t>
      </w: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7BASELINEDATA"/>
      </w:tblPr>
      <w:tblGrid>
        <w:gridCol w:w="2811"/>
        <w:gridCol w:w="875"/>
      </w:tblGrid>
      <w:tr w:rsidR="00AE1972" w:rsidRPr="00781112" w14:paraId="1864403F" w14:textId="77777777" w:rsidTr="00597BC3">
        <w:trPr>
          <w:trHeight w:val="350"/>
          <w:tblHeader/>
        </w:trPr>
        <w:tc>
          <w:tcPr>
            <w:tcW w:w="4389" w:type="pct"/>
            <w:tcBorders>
              <w:bottom w:val="single" w:sz="4" w:space="0" w:color="auto"/>
            </w:tcBorders>
            <w:shd w:val="clear" w:color="auto" w:fill="auto"/>
            <w:vAlign w:val="center"/>
          </w:tcPr>
          <w:p w14:paraId="0F193165" w14:textId="77777777" w:rsidR="00AE1972" w:rsidRPr="00781112" w:rsidRDefault="00AE1972" w:rsidP="00FE5C1F">
            <w:pPr>
              <w:jc w:val="center"/>
              <w:rPr>
                <w:b/>
                <w:bCs/>
                <w:color w:val="000000" w:themeColor="text1"/>
              </w:rPr>
            </w:pPr>
            <w:r w:rsidRPr="00781112">
              <w:rPr>
                <w:b/>
                <w:bCs/>
                <w:color w:val="000000" w:themeColor="text1"/>
              </w:rPr>
              <w:t>Baseline Year</w:t>
            </w:r>
          </w:p>
        </w:tc>
        <w:tc>
          <w:tcPr>
            <w:tcW w:w="611" w:type="pct"/>
            <w:shd w:val="clear" w:color="auto" w:fill="auto"/>
            <w:vAlign w:val="center"/>
          </w:tcPr>
          <w:p w14:paraId="54889FB8" w14:textId="77777777" w:rsidR="00AE1972" w:rsidRPr="00781112" w:rsidRDefault="00AE1972" w:rsidP="00FE5C1F">
            <w:pPr>
              <w:jc w:val="center"/>
              <w:rPr>
                <w:b/>
                <w:bCs/>
                <w:color w:val="000000" w:themeColor="text1"/>
              </w:rPr>
            </w:pPr>
            <w:r w:rsidRPr="00781112">
              <w:rPr>
                <w:b/>
                <w:bCs/>
                <w:color w:val="000000" w:themeColor="text1"/>
              </w:rPr>
              <w:t>Baseline Data</w:t>
            </w:r>
          </w:p>
        </w:tc>
      </w:tr>
      <w:tr w:rsidR="00AE1972" w:rsidRPr="00781112" w14:paraId="6F811ED4" w14:textId="77777777" w:rsidTr="00597BC3">
        <w:trPr>
          <w:trHeight w:val="350"/>
        </w:trPr>
        <w:tc>
          <w:tcPr>
            <w:tcW w:w="4389" w:type="pct"/>
            <w:tcBorders>
              <w:bottom w:val="single" w:sz="4" w:space="0" w:color="auto"/>
            </w:tcBorders>
            <w:shd w:val="clear" w:color="auto" w:fill="auto"/>
          </w:tcPr>
          <w:p w14:paraId="590161AA" w14:textId="53B72043" w:rsidR="00AE1972" w:rsidRPr="00781112" w:rsidRDefault="00AE1972" w:rsidP="00FE5C1F">
            <w:pPr>
              <w:jc w:val="center"/>
              <w:rPr>
                <w:b/>
                <w:color w:val="000000" w:themeColor="text1"/>
              </w:rPr>
            </w:pPr>
            <w:r w:rsidRPr="00781112">
              <w:rPr>
                <w:color w:val="000000" w:themeColor="text1"/>
              </w:rPr>
              <w:t>2013</w:t>
            </w:r>
          </w:p>
        </w:tc>
        <w:tc>
          <w:tcPr>
            <w:tcW w:w="611" w:type="pct"/>
            <w:shd w:val="clear" w:color="auto" w:fill="auto"/>
            <w:vAlign w:val="center"/>
          </w:tcPr>
          <w:p w14:paraId="250C9A1D" w14:textId="277095B1" w:rsidR="00AE1972" w:rsidRPr="00781112" w:rsidRDefault="00AE1972" w:rsidP="00FE5C1F">
            <w:pPr>
              <w:jc w:val="center"/>
              <w:rPr>
                <w:color w:val="000000" w:themeColor="text1"/>
              </w:rPr>
            </w:pPr>
            <w:r w:rsidRPr="00781112">
              <w:rPr>
                <w:color w:val="000000" w:themeColor="text1"/>
              </w:rPr>
              <w:t>34.03%</w:t>
            </w:r>
          </w:p>
        </w:tc>
      </w:tr>
    </w:tbl>
    <w:p w14:paraId="4788921E" w14:textId="77777777" w:rsidR="00AE1972" w:rsidRPr="00781112" w:rsidRDefault="00AE1972" w:rsidP="00AE1972">
      <w:pPr>
        <w:rPr>
          <w:rFonts w:cs="Arial"/>
          <w:b/>
          <w:color w:val="000000" w:themeColor="text1"/>
          <w:szCs w:val="16"/>
        </w:rPr>
      </w:pPr>
    </w:p>
    <w:p w14:paraId="5D5A6057" w14:textId="77777777" w:rsidR="00AE1972" w:rsidRPr="00781112" w:rsidRDefault="00AE1972" w:rsidP="00AE197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TARGETS"/>
      </w:tblPr>
      <w:tblGrid>
        <w:gridCol w:w="806"/>
        <w:gridCol w:w="1664"/>
        <w:gridCol w:w="1664"/>
        <w:gridCol w:w="1664"/>
        <w:gridCol w:w="1664"/>
        <w:gridCol w:w="1664"/>
        <w:gridCol w:w="1664"/>
      </w:tblGrid>
      <w:tr w:rsidR="00AE1972" w:rsidRPr="00781112" w14:paraId="6151B608" w14:textId="77777777" w:rsidTr="00730C62">
        <w:trPr>
          <w:trHeight w:val="360"/>
        </w:trPr>
        <w:tc>
          <w:tcPr>
            <w:tcW w:w="373" w:type="pct"/>
            <w:tcBorders>
              <w:bottom w:val="single" w:sz="4" w:space="0" w:color="auto"/>
            </w:tcBorders>
            <w:shd w:val="clear" w:color="auto" w:fill="auto"/>
          </w:tcPr>
          <w:p w14:paraId="6F2EC278" w14:textId="77777777" w:rsidR="00AE1972" w:rsidRPr="00781112" w:rsidRDefault="00AE1972" w:rsidP="00FE5C1F">
            <w:pPr>
              <w:jc w:val="center"/>
              <w:rPr>
                <w:b/>
                <w:color w:val="000000" w:themeColor="text1"/>
              </w:rPr>
            </w:pPr>
            <w:r w:rsidRPr="00781112">
              <w:rPr>
                <w:b/>
                <w:color w:val="000000" w:themeColor="text1"/>
              </w:rPr>
              <w:t>FFY</w:t>
            </w:r>
          </w:p>
        </w:tc>
        <w:tc>
          <w:tcPr>
            <w:tcW w:w="771" w:type="pct"/>
            <w:shd w:val="clear" w:color="auto" w:fill="auto"/>
            <w:vAlign w:val="center"/>
          </w:tcPr>
          <w:p w14:paraId="6FE75FC4" w14:textId="77777777" w:rsidR="00AE1972" w:rsidRPr="00781112" w:rsidRDefault="00AE1972" w:rsidP="00FE5C1F">
            <w:pPr>
              <w:jc w:val="center"/>
              <w:rPr>
                <w:b/>
                <w:color w:val="000000" w:themeColor="text1"/>
              </w:rPr>
            </w:pPr>
            <w:r w:rsidRPr="00781112">
              <w:rPr>
                <w:b/>
                <w:color w:val="000000" w:themeColor="text1"/>
              </w:rPr>
              <w:t>2020</w:t>
            </w:r>
          </w:p>
        </w:tc>
        <w:tc>
          <w:tcPr>
            <w:tcW w:w="771" w:type="pct"/>
          </w:tcPr>
          <w:p w14:paraId="1A51CAE1" w14:textId="77777777" w:rsidR="00AE1972" w:rsidRPr="00781112" w:rsidRDefault="00AE1972" w:rsidP="00FE5C1F">
            <w:pPr>
              <w:jc w:val="center"/>
              <w:rPr>
                <w:b/>
                <w:color w:val="000000" w:themeColor="text1"/>
              </w:rPr>
            </w:pPr>
            <w:r w:rsidRPr="00781112">
              <w:rPr>
                <w:rFonts w:cs="Arial"/>
                <w:b/>
                <w:color w:val="000000" w:themeColor="text1"/>
                <w:szCs w:val="16"/>
              </w:rPr>
              <w:t>2021</w:t>
            </w:r>
          </w:p>
        </w:tc>
        <w:tc>
          <w:tcPr>
            <w:tcW w:w="771" w:type="pct"/>
          </w:tcPr>
          <w:p w14:paraId="4EE0EA23" w14:textId="77777777" w:rsidR="00AE1972" w:rsidRPr="00781112" w:rsidRDefault="00AE1972" w:rsidP="00FE5C1F">
            <w:pPr>
              <w:jc w:val="center"/>
              <w:rPr>
                <w:b/>
                <w:color w:val="000000" w:themeColor="text1"/>
              </w:rPr>
            </w:pPr>
            <w:r w:rsidRPr="00781112">
              <w:rPr>
                <w:rFonts w:cs="Arial"/>
                <w:b/>
                <w:color w:val="000000" w:themeColor="text1"/>
                <w:szCs w:val="16"/>
              </w:rPr>
              <w:t>2022</w:t>
            </w:r>
          </w:p>
        </w:tc>
        <w:tc>
          <w:tcPr>
            <w:tcW w:w="771" w:type="pct"/>
          </w:tcPr>
          <w:p w14:paraId="258316BC" w14:textId="77777777" w:rsidR="00AE1972" w:rsidRPr="00781112" w:rsidRDefault="00AE1972" w:rsidP="00FE5C1F">
            <w:pPr>
              <w:jc w:val="center"/>
              <w:rPr>
                <w:b/>
                <w:color w:val="000000" w:themeColor="text1"/>
              </w:rPr>
            </w:pPr>
            <w:r w:rsidRPr="00781112">
              <w:rPr>
                <w:rFonts w:cs="Arial"/>
                <w:b/>
                <w:color w:val="000000" w:themeColor="text1"/>
                <w:szCs w:val="16"/>
              </w:rPr>
              <w:t>2023</w:t>
            </w:r>
          </w:p>
        </w:tc>
        <w:tc>
          <w:tcPr>
            <w:tcW w:w="771" w:type="pct"/>
          </w:tcPr>
          <w:p w14:paraId="310BF1DB" w14:textId="77777777" w:rsidR="00AE1972" w:rsidRPr="00781112" w:rsidRDefault="00AE1972" w:rsidP="00FE5C1F">
            <w:pPr>
              <w:jc w:val="center"/>
              <w:rPr>
                <w:b/>
                <w:color w:val="000000" w:themeColor="text1"/>
              </w:rPr>
            </w:pPr>
            <w:r w:rsidRPr="00781112">
              <w:rPr>
                <w:rFonts w:cs="Arial"/>
                <w:b/>
                <w:color w:val="000000" w:themeColor="text1"/>
                <w:szCs w:val="16"/>
              </w:rPr>
              <w:t>2024</w:t>
            </w:r>
          </w:p>
        </w:tc>
        <w:tc>
          <w:tcPr>
            <w:tcW w:w="771" w:type="pct"/>
          </w:tcPr>
          <w:p w14:paraId="324A23F1" w14:textId="77777777" w:rsidR="00AE1972" w:rsidRPr="00781112" w:rsidRDefault="00AE1972" w:rsidP="00FE5C1F">
            <w:pPr>
              <w:jc w:val="center"/>
              <w:rPr>
                <w:b/>
                <w:color w:val="000000" w:themeColor="text1"/>
              </w:rPr>
            </w:pPr>
            <w:r w:rsidRPr="00781112">
              <w:rPr>
                <w:rFonts w:cs="Arial"/>
                <w:b/>
                <w:color w:val="000000" w:themeColor="text1"/>
                <w:szCs w:val="16"/>
              </w:rPr>
              <w:t>2025</w:t>
            </w:r>
          </w:p>
        </w:tc>
      </w:tr>
      <w:tr w:rsidR="00AE1972" w:rsidRPr="00781112" w14:paraId="7F5560B1" w14:textId="77777777" w:rsidTr="00730C62">
        <w:trPr>
          <w:trHeight w:val="367"/>
        </w:trPr>
        <w:tc>
          <w:tcPr>
            <w:tcW w:w="373" w:type="pct"/>
            <w:shd w:val="clear" w:color="auto" w:fill="auto"/>
          </w:tcPr>
          <w:p w14:paraId="16C136D0" w14:textId="77777777" w:rsidR="00AE1972" w:rsidRPr="00781112" w:rsidRDefault="00AE1972" w:rsidP="00FE5C1F">
            <w:pPr>
              <w:rPr>
                <w:rFonts w:cs="Arial"/>
                <w:color w:val="000000" w:themeColor="text1"/>
                <w:szCs w:val="16"/>
              </w:rPr>
            </w:pPr>
            <w:r w:rsidRPr="00781112">
              <w:rPr>
                <w:rFonts w:cs="Arial"/>
                <w:color w:val="000000" w:themeColor="text1"/>
                <w:szCs w:val="16"/>
              </w:rPr>
              <w:lastRenderedPageBreak/>
              <w:t>Target&gt;=</w:t>
            </w:r>
          </w:p>
        </w:tc>
        <w:tc>
          <w:tcPr>
            <w:tcW w:w="771" w:type="pct"/>
            <w:shd w:val="clear" w:color="auto" w:fill="auto"/>
            <w:vAlign w:val="center"/>
          </w:tcPr>
          <w:p w14:paraId="0D607E3E" w14:textId="0FE0E0F2" w:rsidR="00AE1972" w:rsidRPr="00781112" w:rsidRDefault="00AE1972" w:rsidP="00FE5C1F">
            <w:pPr>
              <w:jc w:val="center"/>
              <w:rPr>
                <w:color w:val="000000" w:themeColor="text1"/>
              </w:rPr>
            </w:pPr>
            <w:r w:rsidRPr="00781112">
              <w:rPr>
                <w:color w:val="000000" w:themeColor="text1"/>
              </w:rPr>
              <w:t>29.50%</w:t>
            </w:r>
          </w:p>
        </w:tc>
        <w:tc>
          <w:tcPr>
            <w:tcW w:w="771" w:type="pct"/>
          </w:tcPr>
          <w:p w14:paraId="49D7B83C" w14:textId="5D2EEC9F" w:rsidR="00AE1972" w:rsidRPr="00781112" w:rsidRDefault="00AE1972" w:rsidP="00FE5C1F">
            <w:pPr>
              <w:jc w:val="center"/>
              <w:rPr>
                <w:color w:val="000000" w:themeColor="text1"/>
              </w:rPr>
            </w:pPr>
            <w:r w:rsidRPr="00781112">
              <w:rPr>
                <w:rFonts w:cs="Arial"/>
                <w:color w:val="000000" w:themeColor="text1"/>
                <w:szCs w:val="16"/>
              </w:rPr>
              <w:t>30.50%</w:t>
            </w:r>
          </w:p>
        </w:tc>
        <w:tc>
          <w:tcPr>
            <w:tcW w:w="771" w:type="pct"/>
          </w:tcPr>
          <w:p w14:paraId="73C3B9F9" w14:textId="4B324AE0" w:rsidR="00AE1972" w:rsidRPr="00781112" w:rsidRDefault="00AE1972" w:rsidP="00FE5C1F">
            <w:pPr>
              <w:jc w:val="center"/>
              <w:rPr>
                <w:color w:val="000000" w:themeColor="text1"/>
              </w:rPr>
            </w:pPr>
            <w:r w:rsidRPr="00781112">
              <w:rPr>
                <w:rFonts w:cs="Arial"/>
                <w:color w:val="000000" w:themeColor="text1"/>
                <w:szCs w:val="16"/>
              </w:rPr>
              <w:t>31.50%</w:t>
            </w:r>
          </w:p>
        </w:tc>
        <w:tc>
          <w:tcPr>
            <w:tcW w:w="771" w:type="pct"/>
          </w:tcPr>
          <w:p w14:paraId="36C2800A" w14:textId="411CFB34" w:rsidR="00AE1972" w:rsidRPr="00781112" w:rsidRDefault="00AE1972" w:rsidP="00FE5C1F">
            <w:pPr>
              <w:jc w:val="center"/>
              <w:rPr>
                <w:color w:val="000000" w:themeColor="text1"/>
              </w:rPr>
            </w:pPr>
            <w:r w:rsidRPr="00781112">
              <w:rPr>
                <w:rFonts w:cs="Arial"/>
                <w:color w:val="000000" w:themeColor="text1"/>
                <w:szCs w:val="16"/>
              </w:rPr>
              <w:t>32.50%</w:t>
            </w:r>
          </w:p>
        </w:tc>
        <w:tc>
          <w:tcPr>
            <w:tcW w:w="771" w:type="pct"/>
          </w:tcPr>
          <w:p w14:paraId="5EB6DFC4" w14:textId="4B024AC3" w:rsidR="00AE1972" w:rsidRPr="00781112" w:rsidRDefault="00AE1972" w:rsidP="00FE5C1F">
            <w:pPr>
              <w:jc w:val="center"/>
              <w:rPr>
                <w:color w:val="000000" w:themeColor="text1"/>
              </w:rPr>
            </w:pPr>
            <w:r w:rsidRPr="00781112">
              <w:rPr>
                <w:rFonts w:cs="Arial"/>
                <w:color w:val="000000" w:themeColor="text1"/>
                <w:szCs w:val="16"/>
              </w:rPr>
              <w:t>33.50%</w:t>
            </w:r>
          </w:p>
        </w:tc>
        <w:tc>
          <w:tcPr>
            <w:tcW w:w="771" w:type="pct"/>
          </w:tcPr>
          <w:p w14:paraId="28B33DC4" w14:textId="04080332" w:rsidR="00AE1972" w:rsidRPr="00781112" w:rsidRDefault="00AE1972" w:rsidP="00FE5C1F">
            <w:pPr>
              <w:jc w:val="center"/>
              <w:rPr>
                <w:color w:val="000000" w:themeColor="text1"/>
              </w:rPr>
            </w:pPr>
            <w:r w:rsidRPr="00781112">
              <w:rPr>
                <w:rFonts w:cs="Arial"/>
                <w:color w:val="000000" w:themeColor="text1"/>
                <w:szCs w:val="16"/>
              </w:rPr>
              <w:t>34.50%</w:t>
            </w:r>
          </w:p>
        </w:tc>
      </w:tr>
    </w:tbl>
    <w:p w14:paraId="096B5400" w14:textId="77777777" w:rsidR="00AE1972" w:rsidRPr="00781112" w:rsidRDefault="00AE1972" w:rsidP="00AE1972">
      <w:pPr>
        <w:pStyle w:val="Italic"/>
        <w:rPr>
          <w:rFonts w:cs="Arial"/>
          <w:i w:val="0"/>
          <w:color w:val="000000" w:themeColor="text1"/>
          <w:szCs w:val="16"/>
        </w:rPr>
      </w:pPr>
    </w:p>
    <w:p w14:paraId="7582347A" w14:textId="77777777" w:rsidR="00AE1972" w:rsidRPr="00781112" w:rsidRDefault="00AE1972" w:rsidP="00AE1972">
      <w:pPr>
        <w:rPr>
          <w:b/>
          <w:color w:val="000000" w:themeColor="text1"/>
        </w:rPr>
      </w:pPr>
      <w:r w:rsidRPr="00781112">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FFYAPRDATA"/>
      </w:tblPr>
      <w:tblGrid>
        <w:gridCol w:w="2515"/>
        <w:gridCol w:w="1890"/>
        <w:gridCol w:w="1439"/>
        <w:gridCol w:w="1351"/>
        <w:gridCol w:w="1260"/>
        <w:gridCol w:w="1260"/>
        <w:gridCol w:w="1075"/>
      </w:tblGrid>
      <w:tr w:rsidR="00AE1972" w:rsidRPr="00781112" w14:paraId="6ACE308B" w14:textId="77777777" w:rsidTr="004B2960">
        <w:trPr>
          <w:trHeight w:val="354"/>
        </w:trPr>
        <w:tc>
          <w:tcPr>
            <w:tcW w:w="1165" w:type="pct"/>
            <w:shd w:val="clear" w:color="auto" w:fill="auto"/>
            <w:vAlign w:val="bottom"/>
          </w:tcPr>
          <w:p w14:paraId="1F241A2B" w14:textId="43C3BBEC" w:rsidR="00AE1972" w:rsidRPr="00781112" w:rsidRDefault="00AE1972" w:rsidP="00FE5C1F">
            <w:pPr>
              <w:jc w:val="center"/>
              <w:rPr>
                <w:b/>
                <w:bCs/>
                <w:color w:val="000000" w:themeColor="text1"/>
                <w:szCs w:val="16"/>
              </w:rPr>
            </w:pPr>
            <w:r w:rsidRPr="00781112">
              <w:rPr>
                <w:b/>
                <w:bCs/>
                <w:color w:val="000000" w:themeColor="text1"/>
                <w:szCs w:val="16"/>
              </w:rPr>
              <w:t>Total Number of Students W/ Disabilities in the Cohort Who Scored Proficient in ELA</w:t>
            </w:r>
          </w:p>
        </w:tc>
        <w:tc>
          <w:tcPr>
            <w:tcW w:w="876" w:type="pct"/>
            <w:shd w:val="clear" w:color="auto" w:fill="auto"/>
            <w:vAlign w:val="bottom"/>
          </w:tcPr>
          <w:p w14:paraId="470CA230" w14:textId="5C37C1F9" w:rsidR="00AE1972" w:rsidRPr="00781112" w:rsidRDefault="00AE1972" w:rsidP="00FE5C1F">
            <w:pPr>
              <w:jc w:val="center"/>
              <w:rPr>
                <w:b/>
                <w:bCs/>
                <w:color w:val="000000" w:themeColor="text1"/>
                <w:szCs w:val="16"/>
              </w:rPr>
            </w:pPr>
            <w:r w:rsidRPr="00781112">
              <w:rPr>
                <w:b/>
                <w:bCs/>
                <w:color w:val="000000" w:themeColor="text1"/>
                <w:szCs w:val="16"/>
              </w:rPr>
              <w:t>Total Number of Students W/ Disabilities in the Cohort Who Took ELA 3-5 Assessment</w:t>
            </w:r>
          </w:p>
        </w:tc>
        <w:tc>
          <w:tcPr>
            <w:tcW w:w="667" w:type="pct"/>
            <w:shd w:val="clear" w:color="auto" w:fill="auto"/>
            <w:vAlign w:val="bottom"/>
          </w:tcPr>
          <w:p w14:paraId="4AB6D89D" w14:textId="77777777" w:rsidR="00AE1972" w:rsidRPr="00781112" w:rsidRDefault="00AE1972" w:rsidP="00FE5C1F">
            <w:pPr>
              <w:jc w:val="center"/>
              <w:rPr>
                <w:b/>
                <w:color w:val="000000" w:themeColor="text1"/>
                <w:szCs w:val="16"/>
              </w:rPr>
            </w:pPr>
            <w:r w:rsidRPr="00781112">
              <w:rPr>
                <w:rFonts w:cs="Arial"/>
                <w:b/>
                <w:color w:val="000000" w:themeColor="text1"/>
                <w:szCs w:val="16"/>
              </w:rPr>
              <w:t>FFY 2019 Data</w:t>
            </w:r>
          </w:p>
        </w:tc>
        <w:tc>
          <w:tcPr>
            <w:tcW w:w="626" w:type="pct"/>
            <w:shd w:val="clear" w:color="auto" w:fill="auto"/>
            <w:vAlign w:val="bottom"/>
          </w:tcPr>
          <w:p w14:paraId="63A0DC52" w14:textId="77777777" w:rsidR="00AE1972" w:rsidRPr="00781112" w:rsidRDefault="00AE1972" w:rsidP="00FE5C1F">
            <w:pPr>
              <w:jc w:val="center"/>
              <w:rPr>
                <w:b/>
                <w:color w:val="000000" w:themeColor="text1"/>
                <w:szCs w:val="16"/>
              </w:rPr>
            </w:pPr>
            <w:r w:rsidRPr="00781112">
              <w:rPr>
                <w:rFonts w:cs="Arial"/>
                <w:b/>
                <w:color w:val="000000" w:themeColor="text1"/>
                <w:szCs w:val="16"/>
              </w:rPr>
              <w:t>FFY 2020 Target</w:t>
            </w:r>
          </w:p>
        </w:tc>
        <w:tc>
          <w:tcPr>
            <w:tcW w:w="584" w:type="pct"/>
            <w:shd w:val="clear" w:color="auto" w:fill="auto"/>
            <w:vAlign w:val="bottom"/>
          </w:tcPr>
          <w:p w14:paraId="2D311519" w14:textId="77777777" w:rsidR="00AE1972" w:rsidRPr="00781112" w:rsidRDefault="00AE1972" w:rsidP="00FE5C1F">
            <w:pPr>
              <w:jc w:val="center"/>
              <w:rPr>
                <w:b/>
                <w:color w:val="000000" w:themeColor="text1"/>
                <w:szCs w:val="16"/>
              </w:rPr>
            </w:pPr>
            <w:r w:rsidRPr="00781112">
              <w:rPr>
                <w:rFonts w:cs="Arial"/>
                <w:b/>
                <w:color w:val="000000" w:themeColor="text1"/>
                <w:szCs w:val="16"/>
              </w:rPr>
              <w:t>FFY 2020 Data</w:t>
            </w:r>
          </w:p>
        </w:tc>
        <w:tc>
          <w:tcPr>
            <w:tcW w:w="584" w:type="pct"/>
            <w:shd w:val="clear" w:color="auto" w:fill="auto"/>
            <w:vAlign w:val="bottom"/>
          </w:tcPr>
          <w:p w14:paraId="4F033BB8" w14:textId="77777777" w:rsidR="00AE1972" w:rsidRPr="00781112" w:rsidRDefault="00AE1972" w:rsidP="00FE5C1F">
            <w:pPr>
              <w:jc w:val="center"/>
              <w:rPr>
                <w:b/>
                <w:color w:val="000000" w:themeColor="text1"/>
                <w:szCs w:val="16"/>
              </w:rPr>
            </w:pPr>
            <w:r w:rsidRPr="00781112">
              <w:rPr>
                <w:b/>
                <w:color w:val="000000" w:themeColor="text1"/>
                <w:szCs w:val="16"/>
              </w:rPr>
              <w:t>Status</w:t>
            </w:r>
          </w:p>
        </w:tc>
        <w:tc>
          <w:tcPr>
            <w:tcW w:w="498" w:type="pct"/>
            <w:shd w:val="clear" w:color="auto" w:fill="auto"/>
            <w:vAlign w:val="bottom"/>
          </w:tcPr>
          <w:p w14:paraId="4A16E14D" w14:textId="77777777" w:rsidR="00AE1972" w:rsidRPr="00781112" w:rsidRDefault="00AE1972" w:rsidP="00FE5C1F">
            <w:pPr>
              <w:jc w:val="center"/>
              <w:rPr>
                <w:b/>
                <w:color w:val="000000" w:themeColor="text1"/>
                <w:szCs w:val="16"/>
              </w:rPr>
            </w:pPr>
            <w:r w:rsidRPr="00781112">
              <w:rPr>
                <w:b/>
                <w:color w:val="000000" w:themeColor="text1"/>
                <w:szCs w:val="16"/>
              </w:rPr>
              <w:t>Slippage</w:t>
            </w:r>
          </w:p>
        </w:tc>
      </w:tr>
      <w:tr w:rsidR="00AE1972" w:rsidRPr="00781112" w14:paraId="0CC3AF11" w14:textId="77777777" w:rsidTr="004B2960">
        <w:trPr>
          <w:trHeight w:val="287"/>
        </w:trPr>
        <w:tc>
          <w:tcPr>
            <w:tcW w:w="1165" w:type="pct"/>
            <w:shd w:val="clear" w:color="auto" w:fill="auto"/>
            <w:vAlign w:val="center"/>
          </w:tcPr>
          <w:p w14:paraId="03294214" w14:textId="00B9AA4D" w:rsidR="00AE1972" w:rsidRPr="00781112" w:rsidRDefault="00AE1972" w:rsidP="00FE5C1F">
            <w:pPr>
              <w:jc w:val="center"/>
              <w:rPr>
                <w:color w:val="000000" w:themeColor="text1"/>
                <w:szCs w:val="16"/>
              </w:rPr>
            </w:pPr>
            <w:r w:rsidRPr="00781112">
              <w:rPr>
                <w:color w:val="000000" w:themeColor="text1"/>
                <w:szCs w:val="16"/>
              </w:rPr>
              <w:t>158</w:t>
            </w:r>
          </w:p>
        </w:tc>
        <w:tc>
          <w:tcPr>
            <w:tcW w:w="876" w:type="pct"/>
            <w:shd w:val="clear" w:color="auto" w:fill="auto"/>
            <w:vAlign w:val="center"/>
          </w:tcPr>
          <w:p w14:paraId="60D8BD39" w14:textId="04B0428F" w:rsidR="00AE1972" w:rsidRPr="00781112" w:rsidRDefault="00AE1972" w:rsidP="00FE5C1F">
            <w:pPr>
              <w:jc w:val="center"/>
              <w:rPr>
                <w:color w:val="000000" w:themeColor="text1"/>
                <w:szCs w:val="16"/>
              </w:rPr>
            </w:pPr>
            <w:r w:rsidRPr="00781112">
              <w:rPr>
                <w:color w:val="000000" w:themeColor="text1"/>
                <w:szCs w:val="16"/>
              </w:rPr>
              <w:t>572</w:t>
            </w:r>
          </w:p>
        </w:tc>
        <w:tc>
          <w:tcPr>
            <w:tcW w:w="667" w:type="pct"/>
            <w:shd w:val="clear" w:color="auto" w:fill="auto"/>
          </w:tcPr>
          <w:p w14:paraId="75E02A3E" w14:textId="1669E08C" w:rsidR="00AE1972" w:rsidRPr="00781112" w:rsidRDefault="00AE1972" w:rsidP="00FE5C1F">
            <w:pPr>
              <w:jc w:val="center"/>
              <w:rPr>
                <w:color w:val="000000" w:themeColor="text1"/>
                <w:szCs w:val="16"/>
              </w:rPr>
            </w:pPr>
          </w:p>
        </w:tc>
        <w:tc>
          <w:tcPr>
            <w:tcW w:w="626" w:type="pct"/>
            <w:shd w:val="clear" w:color="auto" w:fill="auto"/>
          </w:tcPr>
          <w:p w14:paraId="33C18B01" w14:textId="595A4E89" w:rsidR="00AE1972" w:rsidRPr="00781112" w:rsidRDefault="00AE1972" w:rsidP="00FE5C1F">
            <w:pPr>
              <w:jc w:val="center"/>
              <w:rPr>
                <w:color w:val="000000" w:themeColor="text1"/>
                <w:szCs w:val="16"/>
              </w:rPr>
            </w:pPr>
            <w:r w:rsidRPr="00781112">
              <w:rPr>
                <w:color w:val="000000" w:themeColor="text1"/>
                <w:szCs w:val="16"/>
              </w:rPr>
              <w:t>29.50%</w:t>
            </w:r>
          </w:p>
        </w:tc>
        <w:tc>
          <w:tcPr>
            <w:tcW w:w="584" w:type="pct"/>
            <w:shd w:val="clear" w:color="auto" w:fill="auto"/>
          </w:tcPr>
          <w:p w14:paraId="22FE7038" w14:textId="7027AD57" w:rsidR="00AE1972" w:rsidRPr="00781112" w:rsidRDefault="00AE1972" w:rsidP="00FE5C1F">
            <w:pPr>
              <w:jc w:val="center"/>
              <w:rPr>
                <w:color w:val="000000" w:themeColor="text1"/>
                <w:szCs w:val="16"/>
              </w:rPr>
            </w:pPr>
            <w:r w:rsidRPr="00781112">
              <w:rPr>
                <w:rFonts w:cs="Arial"/>
                <w:color w:val="000000" w:themeColor="text1"/>
                <w:szCs w:val="16"/>
              </w:rPr>
              <w:t>27.62%</w:t>
            </w:r>
          </w:p>
        </w:tc>
        <w:tc>
          <w:tcPr>
            <w:tcW w:w="584" w:type="pct"/>
            <w:shd w:val="clear" w:color="auto" w:fill="auto"/>
          </w:tcPr>
          <w:p w14:paraId="1623D96E" w14:textId="3DCB7177" w:rsidR="00AE1972" w:rsidRPr="00781112" w:rsidRDefault="00AE1972" w:rsidP="00FE5C1F">
            <w:pPr>
              <w:jc w:val="center"/>
              <w:rPr>
                <w:color w:val="000000" w:themeColor="text1"/>
              </w:rPr>
            </w:pPr>
            <w:r w:rsidRPr="00781112">
              <w:rPr>
                <w:color w:val="000000" w:themeColor="text1"/>
              </w:rPr>
              <w:t>Did not meet target</w:t>
            </w:r>
          </w:p>
        </w:tc>
        <w:tc>
          <w:tcPr>
            <w:tcW w:w="498" w:type="pct"/>
            <w:shd w:val="clear" w:color="auto" w:fill="auto"/>
          </w:tcPr>
          <w:p w14:paraId="78591691" w14:textId="070A8ABA" w:rsidR="00AE1972" w:rsidRPr="00781112" w:rsidRDefault="00AE1972" w:rsidP="00FE5C1F">
            <w:pPr>
              <w:jc w:val="center"/>
              <w:rPr>
                <w:color w:val="000000" w:themeColor="text1"/>
              </w:rPr>
            </w:pPr>
            <w:r w:rsidRPr="00781112">
              <w:rPr>
                <w:color w:val="000000" w:themeColor="text1"/>
              </w:rPr>
              <w:t>N/A</w:t>
            </w:r>
          </w:p>
        </w:tc>
      </w:tr>
    </w:tbl>
    <w:p w14:paraId="66E5C45A" w14:textId="77777777" w:rsidR="00AE1972" w:rsidRPr="00781112" w:rsidRDefault="00AE1972" w:rsidP="00AE1972"/>
    <w:p w14:paraId="30EFC313" w14:textId="77777777" w:rsidR="005D6EB4" w:rsidRPr="00781112" w:rsidRDefault="005D6EB4" w:rsidP="005D6EB4">
      <w:pPr>
        <w:rPr>
          <w:b/>
          <w:bCs/>
        </w:rPr>
      </w:pPr>
      <w:r w:rsidRPr="00781112">
        <w:rPr>
          <w:b/>
          <w:bCs/>
        </w:rPr>
        <w:t>Provide the data source for the FFY 2020 data.</w:t>
      </w:r>
    </w:p>
    <w:p w14:paraId="791B79B4" w14:textId="2C5B8D5E" w:rsidR="005D6EB4" w:rsidRPr="00781112" w:rsidRDefault="005D6EB4" w:rsidP="005D6EB4">
      <w:pPr>
        <w:rPr>
          <w:color w:val="000000" w:themeColor="text1"/>
        </w:rPr>
      </w:pPr>
      <w:r w:rsidRPr="00781112">
        <w:rPr>
          <w:color w:val="000000" w:themeColor="text1"/>
        </w:rPr>
        <w:t xml:space="preserve">The outcome data source for 2020-2021 directly connected to the SiMR is Louisiana statewide ELA assessment data for students with disabilities in the cohort schools in grades 3-5. </w:t>
      </w:r>
    </w:p>
    <w:p w14:paraId="17AAB1A6" w14:textId="2D1007DB" w:rsidR="00AE1972" w:rsidRPr="00781112" w:rsidRDefault="00AE1972" w:rsidP="00AE1972">
      <w:r w:rsidRPr="00781112">
        <w:rPr>
          <w:b/>
          <w:bCs/>
        </w:rPr>
        <w:t>Please describe how data are collected and analyzed for the SiMR</w:t>
      </w:r>
      <w:r w:rsidRPr="00781112">
        <w:t>.</w:t>
      </w:r>
    </w:p>
    <w:p w14:paraId="0A6DF7F0" w14:textId="29C12277" w:rsidR="00AE1972" w:rsidRPr="00781112" w:rsidRDefault="00AE1972" w:rsidP="00AE1972">
      <w:pPr>
        <w:rPr>
          <w:color w:val="000000" w:themeColor="text1"/>
        </w:rPr>
      </w:pPr>
      <w:r w:rsidRPr="00781112">
        <w:rPr>
          <w:color w:val="000000" w:themeColor="text1"/>
        </w:rPr>
        <w:t>Louisiana continues to collect data from a variety of sources. Using the data collection plan, the Department will collect both implementation and outcome data. Outcome measures are collected using Louisiana LEAP 2025 annual statewide assessment results. Implementation measures are collected using the K-2 Classroom Support Tool, 3-12 Classroom Support Tool and the Common Planning Time Tool which measure high quality curriculum implementation and teacher development/collaboration practices.</w:t>
      </w:r>
    </w:p>
    <w:p w14:paraId="37CD625E" w14:textId="77777777" w:rsidR="00AE1972" w:rsidRPr="00781112" w:rsidRDefault="00AE1972" w:rsidP="00AE1972"/>
    <w:p w14:paraId="5D43821E" w14:textId="77777777" w:rsidR="00AE1972" w:rsidRPr="00781112" w:rsidRDefault="00AE1972" w:rsidP="00AE1972">
      <w:pPr>
        <w:rPr>
          <w:rFonts w:cs="Arial"/>
          <w:b/>
          <w:bCs/>
        </w:rPr>
      </w:pPr>
      <w:r w:rsidRPr="00781112">
        <w:rPr>
          <w:rFonts w:cs="Arial"/>
          <w:b/>
          <w:bCs/>
        </w:rPr>
        <w:t xml:space="preserve">Optional: Has the State collected additional data </w:t>
      </w:r>
      <w:r w:rsidRPr="00781112">
        <w:rPr>
          <w:rFonts w:cs="Arial"/>
          <w:b/>
          <w:bCs/>
          <w:i/>
          <w:iCs/>
        </w:rPr>
        <w:t>(i.e., benchmark, CQI, survey)</w:t>
      </w:r>
      <w:r w:rsidRPr="00781112">
        <w:rPr>
          <w:rFonts w:cs="Arial"/>
          <w:b/>
          <w:bCs/>
        </w:rPr>
        <w:t xml:space="preserve"> that demonstrates progress toward the SiMR?</w:t>
      </w:r>
      <w:r w:rsidRPr="00781112">
        <w:rPr>
          <w:b/>
          <w:bCs/>
        </w:rPr>
        <w:t xml:space="preserve"> (yes/no)</w:t>
      </w:r>
      <w:r w:rsidRPr="00781112">
        <w:rPr>
          <w:rFonts w:cs="Arial"/>
          <w:b/>
          <w:bCs/>
        </w:rPr>
        <w:t xml:space="preserve">  </w:t>
      </w:r>
    </w:p>
    <w:p w14:paraId="01E3AE2A" w14:textId="671ECC26" w:rsidR="00AE1972" w:rsidRDefault="00AE1972" w:rsidP="00AE1972">
      <w:pPr>
        <w:rPr>
          <w:color w:val="000000" w:themeColor="text1"/>
        </w:rPr>
      </w:pPr>
      <w:r w:rsidRPr="00781112">
        <w:rPr>
          <w:color w:val="000000" w:themeColor="text1"/>
        </w:rPr>
        <w:t>YES</w:t>
      </w:r>
    </w:p>
    <w:p w14:paraId="169D3F00" w14:textId="18D3CE95" w:rsidR="00AE1972" w:rsidRPr="00781112" w:rsidRDefault="009134E5" w:rsidP="00AE1972">
      <w:pPr>
        <w:rPr>
          <w:rFonts w:cs="Arial"/>
          <w:b/>
          <w:bCs/>
        </w:rPr>
      </w:pPr>
      <w:r w:rsidRPr="00781112">
        <w:rPr>
          <w:rFonts w:cs="Arial"/>
          <w:b/>
          <w:bCs/>
        </w:rPr>
        <w:t>Describe any additional data collected by the State to assess progress toward the SiMR.</w:t>
      </w:r>
    </w:p>
    <w:p w14:paraId="2986B041" w14:textId="11964637" w:rsidR="00AE1972" w:rsidRDefault="00AE1972" w:rsidP="00AE1972">
      <w:pPr>
        <w:rPr>
          <w:color w:val="000000" w:themeColor="text1"/>
        </w:rPr>
      </w:pPr>
      <w:r w:rsidRPr="00781112">
        <w:rPr>
          <w:color w:val="000000" w:themeColor="text1"/>
        </w:rPr>
        <w:t xml:space="preserve">Despite challenges from the pandemic, the School Improvement Team conducted over 2,000 classroom observations across Louisiana in K-12 classrooms using the K-2 Classroom Support Tool and the 3-12 Classroom Support Tool (virtual tools used when conducting virtual observations). Team members also observed 229 common planning sessions using the Common Planning Tool. In the SSIP cohort schools, the School Improvement Team conducted 158 total classroom observations and common planning time observations at 28 out of the 30 schools in the cohort. </w:t>
      </w:r>
      <w:r w:rsidRPr="00781112">
        <w:rPr>
          <w:color w:val="000000" w:themeColor="text1"/>
        </w:rPr>
        <w:br/>
      </w:r>
      <w:r w:rsidRPr="00781112">
        <w:rPr>
          <w:color w:val="000000" w:themeColor="text1"/>
        </w:rPr>
        <w:br/>
        <w:t>Trends that emerged included approximately 98% of teachers using high quality, top-rated instructional materials every day in classrooms across Louisiana. Additionally, the vast majority of teachers have common planning time built into their daily schedules and collaborate/plan with colleagues. Changes to our School Improvement Team and our School Improvement Best Practices strategy for 2021-2022 will result in different evaluation and school support tools that are not aligned to the curriculum and observation tools used in 2020-2021 and prior years. The shift from evaluating curriculum implementation to intentional support of system and school leaders and educators in key professional practices is supported by this data. The School Improvement Team will support two targeted School Improvement Best Practices, including Instructional Leadership Teams and Teacher Collaboration. A focus on these intentional structures is designed to support schools in adopting the essential components that drive professional and student growth and will continue during the 2022-2023 school year.</w:t>
      </w:r>
    </w:p>
    <w:p w14:paraId="2F248282" w14:textId="77777777" w:rsidR="00AE1972" w:rsidRPr="00781112" w:rsidRDefault="00AE1972" w:rsidP="00AE1972">
      <w:pPr>
        <w:rPr>
          <w:b/>
          <w:bCs/>
        </w:rPr>
      </w:pPr>
    </w:p>
    <w:p w14:paraId="26AF875A" w14:textId="77777777" w:rsidR="00AE1972" w:rsidRPr="00781112" w:rsidRDefault="00AE1972" w:rsidP="00AE1972">
      <w:pPr>
        <w:spacing w:after="0"/>
        <w:rPr>
          <w:rFonts w:cs="Arial"/>
          <w:b/>
          <w:bCs/>
        </w:rPr>
      </w:pPr>
      <w:r w:rsidRPr="00781112">
        <w:rPr>
          <w:rFonts w:cs="Arial"/>
          <w:b/>
          <w:bCs/>
        </w:rPr>
        <w:t xml:space="preserve">Did the State identify any general data quality concerns, unrelated to COVID-19, that affected progress toward the SiMR during the reporting period? </w:t>
      </w:r>
      <w:r w:rsidRPr="00781112">
        <w:rPr>
          <w:b/>
          <w:bCs/>
        </w:rPr>
        <w:t>(yes/no)</w:t>
      </w:r>
    </w:p>
    <w:p w14:paraId="36E83E2B" w14:textId="1C140CC0" w:rsidR="00AE1972" w:rsidRDefault="00AE1972" w:rsidP="00AE1972">
      <w:pPr>
        <w:spacing w:after="0"/>
        <w:rPr>
          <w:color w:val="000000" w:themeColor="text1"/>
        </w:rPr>
      </w:pPr>
      <w:r w:rsidRPr="00781112">
        <w:rPr>
          <w:color w:val="000000" w:themeColor="text1"/>
        </w:rPr>
        <w:t>NO</w:t>
      </w:r>
    </w:p>
    <w:p w14:paraId="30214B92" w14:textId="77777777" w:rsidR="00AE1972" w:rsidRPr="00781112" w:rsidRDefault="00AE1972" w:rsidP="00AE1972">
      <w:pPr>
        <w:rPr>
          <w:b/>
          <w:bCs/>
        </w:rPr>
      </w:pPr>
    </w:p>
    <w:p w14:paraId="085CF862" w14:textId="77777777" w:rsidR="00AE1972" w:rsidRPr="00781112" w:rsidRDefault="00AE1972" w:rsidP="00AE1972">
      <w:pPr>
        <w:rPr>
          <w:b/>
          <w:bCs/>
        </w:rPr>
      </w:pPr>
      <w:r w:rsidRPr="00781112">
        <w:rPr>
          <w:b/>
          <w:bCs/>
        </w:rPr>
        <w:t>Did the State identify any data quality concerns directly related to the COVID-19 pandemic during the reporting period? (yes/no)</w:t>
      </w:r>
    </w:p>
    <w:p w14:paraId="71B180FE" w14:textId="5A61759D" w:rsidR="00AE1972" w:rsidRDefault="00AE1972" w:rsidP="00AE1972">
      <w:pPr>
        <w:rPr>
          <w:color w:val="000000" w:themeColor="text1"/>
        </w:rPr>
      </w:pPr>
      <w:r w:rsidRPr="00781112">
        <w:rPr>
          <w:color w:val="000000" w:themeColor="text1"/>
        </w:rPr>
        <w:t>YES</w:t>
      </w:r>
    </w:p>
    <w:p w14:paraId="41AE95B9" w14:textId="77777777" w:rsidR="00AE1972" w:rsidRPr="00781112" w:rsidRDefault="00AE1972" w:rsidP="00AE1972">
      <w:pPr>
        <w:rPr>
          <w:b/>
          <w:bCs/>
        </w:rPr>
      </w:pPr>
      <w:r w:rsidRPr="00781112">
        <w:rPr>
          <w:b/>
          <w:bCs/>
        </w:rPr>
        <w:t>If data for this reporting period were impacted specifically by COVID-19, the State must include in the narrative for the indicator: (1) the impact on data completeness, validity and reliability for the indicator; (2) an explanation of how COVID-19 specifically impacted the State’s ability to collect the data for the indicator; and (3) any steps the State took to mitigate the impact of COVID-19 on the data collection.</w:t>
      </w:r>
    </w:p>
    <w:p w14:paraId="61B2A103" w14:textId="25692643" w:rsidR="00AE1972" w:rsidRDefault="00AE1972" w:rsidP="00AE1972">
      <w:pPr>
        <w:rPr>
          <w:color w:val="000000" w:themeColor="text1"/>
        </w:rPr>
      </w:pPr>
      <w:r w:rsidRPr="00781112">
        <w:rPr>
          <w:color w:val="000000" w:themeColor="text1"/>
        </w:rPr>
        <w:t xml:space="preserve">In 2019-2020, standardized assessments were not administered in Louisiana due to the COVID-19 pandemic. Following that year, in 2020-2021, while assessments were administered, Louisiana requested and received a waiver for required accountability systems. To ensure a Strong Start to the 2020-2021 school year, Louisiana focused on helping school systems address unfinished learning from the 2019-2020 school year, set the foundation for continuous learning in 2020-2021 and prepare for potential modified operations across our state, with many students learning in a virtual or hybrid setting. Our assessment data in 2020 shows drastic impacts of COVID-19 on student achievement in our state. In 2020-2021, instruction looked substantially different for many students, with many students learning virtually for all or part of the year. All grades, content areas, subgroups and almost all school systems saw decline with a disproportionate impact among elementary students, mathematics, economically disadvantaged, students with disabilities, and students who spent more time learning virtually. The pandemic and natural disasters in 2020-2021 also resulted in major attendance concerns across the state as evident in feedback surveys. </w:t>
      </w:r>
      <w:r w:rsidRPr="00781112">
        <w:rPr>
          <w:color w:val="000000" w:themeColor="text1"/>
        </w:rPr>
        <w:br/>
      </w:r>
      <w:r w:rsidRPr="00781112">
        <w:rPr>
          <w:color w:val="000000" w:themeColor="text1"/>
        </w:rPr>
        <w:br/>
        <w:t xml:space="preserve">Throughout the 2020-2021 school year, specific guidance and synchronous and asynchronous training targeting virtual instruction was provided to all Louisiana educators. Louisiana’s annual Teacher Leader Summit in Spring 2020 was transformed into a virtual series of more than 40 free, interactive webinars, bringing together a host of educators and content experts focused on creating meaningful growth for every student, every day. The virtual series focused on ensuring educators were prepared for the 2020-2021 school year and continue to provide high-quality instruction to all students. </w:t>
      </w:r>
      <w:r w:rsidRPr="00781112">
        <w:rPr>
          <w:color w:val="000000" w:themeColor="text1"/>
        </w:rPr>
        <w:br/>
      </w:r>
      <w:r w:rsidRPr="00781112">
        <w:rPr>
          <w:color w:val="000000" w:themeColor="text1"/>
        </w:rPr>
        <w:br/>
        <w:t>In the Spring of 2021, the annual Teacher Leader Summit was a hybrid event, with both in-person and virtual sessions to meet the needs of educators, while also ensuring safety due to COVID-19.</w:t>
      </w:r>
    </w:p>
    <w:p w14:paraId="1CD7E2E2" w14:textId="77777777" w:rsidR="00AE1972" w:rsidRPr="00781112" w:rsidRDefault="00AE1972" w:rsidP="00AE1972">
      <w:pPr>
        <w:rPr>
          <w:b/>
          <w:bCs/>
        </w:rPr>
      </w:pPr>
    </w:p>
    <w:p w14:paraId="2127B612" w14:textId="77777777" w:rsidR="00AE1972" w:rsidRPr="00074B33" w:rsidRDefault="00AE1972" w:rsidP="00074B33">
      <w:pPr>
        <w:rPr>
          <w:b/>
          <w:bCs/>
        </w:rPr>
      </w:pPr>
      <w:r w:rsidRPr="00074B33">
        <w:rPr>
          <w:b/>
          <w:bCs/>
        </w:rPr>
        <w:t>Section B: Implementation, Analysis and Evaluation</w:t>
      </w:r>
    </w:p>
    <w:p w14:paraId="08E78A8E" w14:textId="77777777" w:rsidR="00E84BDF" w:rsidRPr="00E84BDF" w:rsidRDefault="00E84BDF" w:rsidP="00E84BDF">
      <w:pPr>
        <w:rPr>
          <w:rFonts w:cs="Arial"/>
          <w:b/>
          <w:bCs/>
        </w:rPr>
      </w:pPr>
      <w:r w:rsidRPr="00E84BDF">
        <w:rPr>
          <w:rFonts w:cs="Arial"/>
          <w:b/>
          <w:bCs/>
        </w:rPr>
        <w:t>Please provide a link to the State’s current evaluation plan.</w:t>
      </w:r>
    </w:p>
    <w:p w14:paraId="0A6517E8" w14:textId="77777777" w:rsidR="00E84BDF" w:rsidRDefault="00E84BDF" w:rsidP="00E84BDF">
      <w:pPr>
        <w:rPr>
          <w:color w:val="000000" w:themeColor="text1"/>
        </w:rPr>
      </w:pPr>
      <w:r w:rsidRPr="00781112">
        <w:rPr>
          <w:color w:val="000000" w:themeColor="text1"/>
        </w:rPr>
        <w:lastRenderedPageBreak/>
        <w:t>Louisiana remains committed to the theory of action, logic model and evaluation as interconnected components of the SSIP. In Phase III, the outcomes and data continue to drive our evidence-based literacy practices as well as continued professional development. Our evaluation plan is the same on pages 30-31 of the SSIP for 2019-2020 at this link: https://www.louisianabelieves.com/docs/default-source/students-with-disabilities/state-systemic-improvement-plan-report-2019-2020.pdf.</w:t>
      </w:r>
      <w:r w:rsidRPr="00781112">
        <w:rPr>
          <w:color w:val="000000" w:themeColor="text1"/>
        </w:rPr>
        <w:br/>
      </w:r>
      <w:r w:rsidRPr="00781112">
        <w:rPr>
          <w:color w:val="000000" w:themeColor="text1"/>
        </w:rPr>
        <w:br/>
        <w:t>Louisiana's LEAs also had to submit Strong Start Reopening Plans for 2020-2021 which are linked on our Strong Start landing page here: https://louisianabelieves.com/resources/strong-start-2020.</w:t>
      </w:r>
    </w:p>
    <w:p w14:paraId="0B808C56" w14:textId="786EB067" w:rsidR="00AE1972" w:rsidRPr="00781112" w:rsidRDefault="00E84BDF" w:rsidP="00AE1972">
      <w:pPr>
        <w:rPr>
          <w:rFonts w:cs="Arial"/>
          <w:b/>
          <w:bCs/>
        </w:rPr>
      </w:pPr>
      <w:r w:rsidRPr="00E84BDF">
        <w:rPr>
          <w:rFonts w:cs="Arial"/>
          <w:b/>
          <w:bCs/>
        </w:rPr>
        <w:t xml:space="preserve">Is the State’s evaluation plan new or revised since the previous submission? </w:t>
      </w:r>
      <w:r w:rsidR="00AE1972" w:rsidRPr="00781112">
        <w:rPr>
          <w:b/>
          <w:bCs/>
        </w:rPr>
        <w:t>(yes/no)</w:t>
      </w:r>
    </w:p>
    <w:p w14:paraId="5D9470C5" w14:textId="1F552EB5" w:rsidR="00AE1972" w:rsidRDefault="00AE1972" w:rsidP="00AE1972">
      <w:pPr>
        <w:rPr>
          <w:color w:val="000000" w:themeColor="text1"/>
        </w:rPr>
      </w:pPr>
      <w:r w:rsidRPr="00781112">
        <w:rPr>
          <w:color w:val="000000" w:themeColor="text1"/>
        </w:rPr>
        <w:t>NO</w:t>
      </w:r>
    </w:p>
    <w:p w14:paraId="19DFF8CC" w14:textId="77777777" w:rsidR="00AE1972" w:rsidRPr="00781112" w:rsidRDefault="00AE1972" w:rsidP="00AE1972">
      <w:pPr>
        <w:rPr>
          <w:rFonts w:cs="Arial"/>
          <w:b/>
          <w:bCs/>
        </w:rPr>
      </w:pPr>
    </w:p>
    <w:p w14:paraId="405861A2" w14:textId="55A85451" w:rsidR="00AE1972" w:rsidRPr="00781112" w:rsidRDefault="00AB11F1" w:rsidP="00AE1972">
      <w:pPr>
        <w:rPr>
          <w:rFonts w:cs="Arial"/>
          <w:b/>
          <w:bCs/>
        </w:rPr>
      </w:pPr>
      <w:r w:rsidRPr="00AB11F1">
        <w:rPr>
          <w:rFonts w:cs="Arial"/>
          <w:b/>
          <w:bCs/>
        </w:rPr>
        <w:t>Provide a summary of each infrastructure improvement strategy implemented in the reporting period:</w:t>
      </w:r>
    </w:p>
    <w:p w14:paraId="19A64E2F" w14:textId="09FED9B3" w:rsidR="00AE1972" w:rsidRPr="00781112" w:rsidRDefault="00AE1972" w:rsidP="00AE1972">
      <w:pPr>
        <w:rPr>
          <w:b/>
          <w:bCs/>
        </w:rPr>
      </w:pPr>
      <w:r w:rsidRPr="00781112">
        <w:rPr>
          <w:color w:val="000000" w:themeColor="text1"/>
        </w:rPr>
        <w:t>Academic Supports: To ensure a Strong Start to the 2020-2021 school year, Louisiana pivoted and focused on helping LEAs ensure continuous learning for all students, address unfinished learning, and prepare for the possibility of continued modified operations due to COVID-19. The Department provided guidance to reopening schools safely and provided Strong Start Priorities, including:</w:t>
      </w:r>
      <w:r w:rsidRPr="00781112">
        <w:rPr>
          <w:color w:val="000000" w:themeColor="text1"/>
        </w:rPr>
        <w:br/>
        <w:t>- Addressing unfinished learning from the 2019-2020 school year,</w:t>
      </w:r>
      <w:r w:rsidRPr="00781112">
        <w:rPr>
          <w:color w:val="000000" w:themeColor="text1"/>
        </w:rPr>
        <w:br/>
        <w:t>- Setting the foundation for continuous learning in 2020-2021, and</w:t>
      </w:r>
      <w:r w:rsidRPr="00781112">
        <w:rPr>
          <w:color w:val="000000" w:themeColor="text1"/>
        </w:rPr>
        <w:br/>
        <w:t>- Preparing for school facility closures and modified operations.</w:t>
      </w:r>
      <w:r w:rsidRPr="00781112">
        <w:rPr>
          <w:color w:val="000000" w:themeColor="text1"/>
        </w:rPr>
        <w:br/>
        <w:t>These priorities were included in the Super App process, the comprehensive planning and budgeting tool that guides LEAs through aligning key priorities and funding sources. This process has been used since 2018.</w:t>
      </w:r>
      <w:r w:rsidRPr="00781112">
        <w:rPr>
          <w:color w:val="000000" w:themeColor="text1"/>
        </w:rPr>
        <w:br/>
      </w:r>
      <w:r w:rsidRPr="00781112">
        <w:rPr>
          <w:color w:val="000000" w:themeColor="text1"/>
        </w:rPr>
        <w:br/>
        <w:t>Strong Start 2020: A Toolkit for Teaching and Learning for Schools was launched in the summer of 2020 designed to ensure high quality continuous learning as students returned from school closures in a variety of learning modes, and the Toolkit included samples, models, and LEA/school actions across several domains: implementing assessment and individualized plans, continuous core instruction, continuous non-core instruction, student and staff well-being, communication plans, staffing plans, and 1:1 devices. Specific guidance was provided to support educators and students with disabilities, including:</w:t>
      </w:r>
      <w:r w:rsidRPr="00781112">
        <w:rPr>
          <w:color w:val="000000" w:themeColor="text1"/>
        </w:rPr>
        <w:br/>
        <w:t xml:space="preserve">- Strong Start 2020: Reopening Guidance for Special Education Leaders </w:t>
      </w:r>
      <w:r w:rsidRPr="00781112">
        <w:rPr>
          <w:color w:val="000000" w:themeColor="text1"/>
        </w:rPr>
        <w:br/>
        <w:t xml:space="preserve">- Strong Start 2020: Reopening Guidance for Direct Service Providers </w:t>
      </w:r>
      <w:r w:rsidRPr="00781112">
        <w:rPr>
          <w:color w:val="000000" w:themeColor="text1"/>
        </w:rPr>
        <w:br/>
        <w:t xml:space="preserve">- Strong Start 2020: Timelines and Documentation for Students with Disabilities </w:t>
      </w:r>
      <w:r w:rsidRPr="00781112">
        <w:rPr>
          <w:color w:val="000000" w:themeColor="text1"/>
        </w:rPr>
        <w:br/>
        <w:t xml:space="preserve">- Family Toolbox: Strong Start 2020 Support for Students with Disabilities </w:t>
      </w:r>
      <w:r w:rsidRPr="00781112">
        <w:rPr>
          <w:color w:val="000000" w:themeColor="text1"/>
        </w:rPr>
        <w:br/>
        <w:t xml:space="preserve">Louisiana also provided PPE, rapid COVID testing kids and supplies to help ensure safety of educators and students, which also supported safety for secure testing environments as well as flexible testing windows that supported a successful 2020 statewide assessment administration. </w:t>
      </w:r>
      <w:r w:rsidRPr="00781112">
        <w:rPr>
          <w:color w:val="000000" w:themeColor="text1"/>
        </w:rPr>
        <w:br/>
      </w:r>
      <w:r w:rsidRPr="00781112">
        <w:rPr>
          <w:color w:val="000000" w:themeColor="text1"/>
        </w:rPr>
        <w:br/>
        <w:t>Educator Development: The Department offered 3-5 ELA Guidebooks professional development sessions on unit unpacking during the 2021 Teacher Leader Summit. Louisiana teachers and instructional staff attended in person sessions on May 25th-27th, 2021, and additional teachers and instructional staff participated in virtual sessions from June 1st-17th, 2021. Goals and participant numbers for each of the three-part Professional Development sequence are as follows:</w:t>
      </w:r>
      <w:r w:rsidRPr="00781112">
        <w:rPr>
          <w:color w:val="000000" w:themeColor="text1"/>
        </w:rPr>
        <w:br/>
        <w:t>- 3-5 Guidebooks New Unit Study Tool: Begin with the End in Mind (Part 1 of 3) In person: 249 Virtual: 196</w:t>
      </w:r>
      <w:r w:rsidRPr="00781112">
        <w:rPr>
          <w:color w:val="000000" w:themeColor="text1"/>
        </w:rPr>
        <w:br/>
        <w:t xml:space="preserve"> Understand the importance of starting with the end in mind (for both students and teachers); </w:t>
      </w:r>
      <w:r w:rsidRPr="00781112">
        <w:rPr>
          <w:color w:val="000000" w:themeColor="text1"/>
        </w:rPr>
        <w:br/>
        <w:t xml:space="preserve"> Learn and apply Step 1 of the Guidebooks 3.0 Unit Study Protocol by unpacking the knowledge and skills required for success on the Culminating Writing </w:t>
      </w:r>
      <w:r w:rsidRPr="00781112">
        <w:rPr>
          <w:color w:val="000000" w:themeColor="text1"/>
        </w:rPr>
        <w:br/>
        <w:t xml:space="preserve"> Task;</w:t>
      </w:r>
      <w:r w:rsidRPr="00781112">
        <w:rPr>
          <w:color w:val="000000" w:themeColor="text1"/>
        </w:rPr>
        <w:br/>
        <w:t>- 3-5 Guidebooks New Unit Study Tool: Text at the Center (Part 2 of 3) In person: 221 Virtual: 192</w:t>
      </w:r>
      <w:r w:rsidRPr="00781112">
        <w:rPr>
          <w:color w:val="000000" w:themeColor="text1"/>
        </w:rPr>
        <w:br/>
        <w:t xml:space="preserve"> Deepen and extend understanding the importance of knowledge building through texts;</w:t>
      </w:r>
      <w:r w:rsidRPr="00781112">
        <w:rPr>
          <w:color w:val="000000" w:themeColor="text1"/>
        </w:rPr>
        <w:br/>
        <w:t xml:space="preserve"> Describe the structure and purpose of conceptually coherent text sets in the Guidebooks curriculum;</w:t>
      </w:r>
      <w:r w:rsidRPr="00781112">
        <w:rPr>
          <w:color w:val="000000" w:themeColor="text1"/>
        </w:rPr>
        <w:br/>
        <w:t xml:space="preserve"> Learn and apply Step 2 of the Unit Study Process (Text at the Center) by analyzing how each text supports knowledge building within the unit and supports </w:t>
      </w:r>
      <w:r w:rsidRPr="00781112">
        <w:rPr>
          <w:color w:val="000000" w:themeColor="text1"/>
        </w:rPr>
        <w:br/>
        <w:t xml:space="preserve"> completion of the Culminating Task;</w:t>
      </w:r>
      <w:r w:rsidRPr="00781112">
        <w:rPr>
          <w:color w:val="000000" w:themeColor="text1"/>
        </w:rPr>
        <w:br/>
        <w:t>- 3-5 Guidebooks New Unit Study Tool: Identifying High-Leverage Exit Tickets (Part 3 of 3) In person: 209 Virtual: 200</w:t>
      </w:r>
      <w:r w:rsidRPr="00781112">
        <w:rPr>
          <w:color w:val="000000" w:themeColor="text1"/>
        </w:rPr>
        <w:br/>
        <w:t xml:space="preserve"> Deepen and extend understanding of the Guidebooks lesson checks for understanding, including the process for determining high leverage exit tickets; and</w:t>
      </w:r>
      <w:r w:rsidRPr="00781112">
        <w:rPr>
          <w:color w:val="000000" w:themeColor="text1"/>
        </w:rPr>
        <w:br/>
        <w:t xml:space="preserve"> Learn and apply Step 3 of the Unit Study Process (High Leverage Exit Tickets) in order to monitor students’ progress in gaining the knowledge and skills </w:t>
      </w:r>
      <w:r w:rsidRPr="00781112">
        <w:rPr>
          <w:color w:val="000000" w:themeColor="text1"/>
        </w:rPr>
        <w:br/>
        <w:t xml:space="preserve"> necessary for the Culminating Writing Task.</w:t>
      </w:r>
      <w:r w:rsidRPr="00781112">
        <w:rPr>
          <w:color w:val="000000" w:themeColor="text1"/>
        </w:rPr>
        <w:br/>
        <w:t>Content leader and teacher leader structures continued to provide leadership pipelines for LEAs developing talented teachers and equipping them with the knowledge and skills to lead other teachers. In the future, principal and leader development will also be a focus.</w:t>
      </w:r>
      <w:r w:rsidRPr="00781112">
        <w:rPr>
          <w:color w:val="000000" w:themeColor="text1"/>
        </w:rPr>
        <w:br/>
      </w:r>
      <w:r w:rsidRPr="00781112">
        <w:rPr>
          <w:color w:val="000000" w:themeColor="text1"/>
        </w:rPr>
        <w:br/>
        <w:t xml:space="preserve">Literacy: Information and input gathered from the Foundational Reading Supports Pilot led to implementing a Literacy Coaching Pilot in 2020-2021. Louisiana offered free literacy training for leaders and teachers in Summer 2021. If administrators have an understanding of the science of reading, they can provide support to teachers around more effective curriculum implementation, utilizing systematic, explicit interventions for struggling readers, and providing ongoing professional development. The pilot will be scaled to include additional literacy coach support to LEAs and also resulted in a comprehensive strategic plan for literacy in Louisiana and a Reading Revival Campaign. </w:t>
      </w:r>
      <w:r w:rsidRPr="00781112">
        <w:rPr>
          <w:color w:val="000000" w:themeColor="text1"/>
        </w:rPr>
        <w:br/>
      </w:r>
      <w:r w:rsidRPr="00781112">
        <w:rPr>
          <w:color w:val="000000" w:themeColor="text1"/>
        </w:rPr>
        <w:br/>
        <w:t>Teacher Leader Summit in Spring 2020 was transformed into a virtual series of more than 40 free, interactive webinars, bringing together a host of educators and content experts focused on creating meaningful growth for every student, every day. The virtual series focused on ensuring educators were prepared for the 2020-2021 school year and continue to provide high-quality instruction to all students. In the Spring of 2021, the annual Teacher Leader Summit was a hybrid event, with both in-person and virtual sessions to meet the needs of educators, while also ensuring safety due to COVID-19. Currently, Teacher Leader Summit for 2022 is planned for an in-person event to celebrate “Louisiana’s Comeback.”</w:t>
      </w:r>
      <w:r w:rsidRPr="00781112">
        <w:rPr>
          <w:color w:val="000000" w:themeColor="text1"/>
        </w:rPr>
        <w:br/>
      </w:r>
      <w:r w:rsidRPr="00781112">
        <w:rPr>
          <w:color w:val="000000" w:themeColor="text1"/>
        </w:rPr>
        <w:br/>
        <w:t>The School Improvement Team continued to support many LEAs in 2020-2021 although many visits, observations and collaborations were conducted virtually. Over 2,000 classroom observations in K-12 were conducted using the K-2 Classroom Support Tool and 3-12 Classroom Support Tool (virtual tools used for virtual observations) and 229 common planning observations were conducted using the Common Planning Tool. The Department partnered with the National Institute of Excellence in Teaching to provide Department staff training and support on virtual observation and feedback as well as virtual instruction support training for all Louisiana educators. In 2021-2022 the School Improvement Team will refocus on the School Improvement Best Practice strategy to provide targeted, differentiated support to school systems by supporting and coaching LEA and school leaders on Instructional Leadership Teams and Teacher Collaboration. A focus on these intentional structures is designed to support schools in adopting the essential components that drive professional and student growth and will continue during the 2022-2023 school year.</w:t>
      </w:r>
      <w:r w:rsidRPr="00781112">
        <w:rPr>
          <w:color w:val="000000" w:themeColor="text1"/>
        </w:rPr>
        <w:br/>
      </w:r>
      <w:r w:rsidRPr="00781112">
        <w:rPr>
          <w:color w:val="000000" w:themeColor="text1"/>
        </w:rPr>
        <w:lastRenderedPageBreak/>
        <w:br/>
        <w:t>Co-teaching training occurred for Louisiana educators; however, the co-teaching pilot did not occur since Louisiana shifted our focus on accelerating learning in response to the impact of the pandemic.</w:t>
      </w:r>
    </w:p>
    <w:p w14:paraId="1C121BBF" w14:textId="77777777" w:rsidR="00AE1972" w:rsidRPr="00781112" w:rsidRDefault="00AE1972" w:rsidP="00AE1972">
      <w:pPr>
        <w:rPr>
          <w:rFonts w:cs="Arial"/>
          <w:b/>
          <w:bCs/>
        </w:rPr>
      </w:pPr>
    </w:p>
    <w:p w14:paraId="2116126D" w14:textId="03C97716" w:rsidR="00AB11F1" w:rsidRPr="00781112" w:rsidRDefault="00AB11F1" w:rsidP="00AE1972">
      <w:pPr>
        <w:rPr>
          <w:rFonts w:cs="Arial"/>
          <w:b/>
          <w:bCs/>
        </w:rPr>
      </w:pPr>
      <w:r w:rsidRPr="00AB11F1">
        <w:rPr>
          <w:rFonts w:cs="Arial"/>
          <w:b/>
          <w:bCs/>
        </w:rPr>
        <w:t>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w:t>
      </w:r>
    </w:p>
    <w:p w14:paraId="29CD7E16" w14:textId="62EA3FF0" w:rsidR="00AE1972" w:rsidRPr="00781112" w:rsidRDefault="00AE1972" w:rsidP="00AE1972">
      <w:pPr>
        <w:rPr>
          <w:b/>
          <w:bCs/>
        </w:rPr>
      </w:pPr>
      <w:r w:rsidRPr="00781112">
        <w:rPr>
          <w:color w:val="000000" w:themeColor="text1"/>
        </w:rPr>
        <w:t>Louisiana continues to align the SSIP with the SPDG carrying out a multi-layered approach to driving improved student outcomes for students with disabilities. The Super App school planning process is still utilized and was aligned to the Strong Start priorities previously mentioned in response to the pandemic. The Strong Start priorities and suite of guidance better prepared educators and students for a return to school. The planning process continues to allow school systems to use data in planning, budgeting and implementation in alignment with key priorities. This operating cycle continues each year.</w:t>
      </w:r>
      <w:r w:rsidRPr="00781112">
        <w:rPr>
          <w:color w:val="000000" w:themeColor="text1"/>
        </w:rPr>
        <w:br/>
      </w:r>
      <w:r w:rsidRPr="00781112">
        <w:rPr>
          <w:color w:val="000000" w:themeColor="text1"/>
        </w:rPr>
        <w:br/>
        <w:t>Louisiana is also committed in its structures to embed supports for students with disabilities and ownership of outcomes across all offices in the Department. Specifically related to our SiMR, the Department has continued work to embed supports for diverse learners in its ELA Guidebook curriculum with feedback and development from Louisiana educators. This work will continue in 2021-2022 with a release of updated grades 3-5 units.</w:t>
      </w:r>
      <w:r w:rsidRPr="00781112">
        <w:rPr>
          <w:color w:val="000000" w:themeColor="text1"/>
        </w:rPr>
        <w:br/>
      </w:r>
      <w:r w:rsidRPr="00781112">
        <w:rPr>
          <w:color w:val="000000" w:themeColor="text1"/>
        </w:rPr>
        <w:br/>
        <w:t>Our educator development structures include Content Leader and Teacher Leader initiatives that impact LEAs and sustainability by developing cadres of talented teacher leaders each year who develop the knowledge and skills to lead and coach other teachers in their LEAs and schools. The School Improvement Team also conducts similar technical assistance and support in some of our most struggling schools throughout the state intended to provide LEA and school leaders with curriculum implementation and educator development knowledge and skills that allow them to scale that support throughout their schools. Our SPED Fellow Academy, which began its first cohort in 2020-2021, is a year-long, comprehensive development program for novice special education leaders across the state. The fellowship will provide in-person training, coaching, and a community of practice that will instill the knowledge and skills the next generation of leaders need to lead and sustain change to improve outcomes for students with disabilities.</w:t>
      </w:r>
    </w:p>
    <w:p w14:paraId="4B6ADDE5" w14:textId="77777777" w:rsidR="00AE1972" w:rsidRPr="00781112" w:rsidRDefault="00AE1972" w:rsidP="00AE1972">
      <w:pPr>
        <w:rPr>
          <w:rFonts w:cs="Arial"/>
          <w:b/>
          <w:bCs/>
        </w:rPr>
      </w:pPr>
    </w:p>
    <w:p w14:paraId="5DCF741B" w14:textId="77777777" w:rsidR="00AE1972" w:rsidRPr="00781112" w:rsidRDefault="00AE1972" w:rsidP="00AE1972">
      <w:pPr>
        <w:rPr>
          <w:rFonts w:cs="Arial"/>
          <w:b/>
          <w:bCs/>
        </w:rPr>
      </w:pPr>
      <w:r w:rsidRPr="00781112">
        <w:rPr>
          <w:rFonts w:cs="Arial"/>
          <w:b/>
          <w:bCs/>
        </w:rPr>
        <w:t xml:space="preserve">Did the State implement any </w:t>
      </w:r>
      <w:r w:rsidRPr="00781112">
        <w:rPr>
          <w:rFonts w:cs="Arial"/>
          <w:b/>
          <w:bCs/>
          <w:u w:val="single"/>
        </w:rPr>
        <w:t>new</w:t>
      </w:r>
      <w:r w:rsidRPr="00781112">
        <w:rPr>
          <w:rFonts w:cs="Arial"/>
          <w:b/>
          <w:bCs/>
        </w:rPr>
        <w:t xml:space="preserve"> (newly identified) infrastructure improvement strategies during the reporting period?</w:t>
      </w:r>
      <w:r w:rsidRPr="00781112">
        <w:rPr>
          <w:b/>
          <w:bCs/>
        </w:rPr>
        <w:t xml:space="preserve"> (yes/no)</w:t>
      </w:r>
    </w:p>
    <w:p w14:paraId="7AA60872" w14:textId="7A06C54C" w:rsidR="00AE1972" w:rsidRDefault="00AE1972" w:rsidP="00AE1972">
      <w:pPr>
        <w:rPr>
          <w:color w:val="000000" w:themeColor="text1"/>
        </w:rPr>
      </w:pPr>
      <w:r w:rsidRPr="00781112">
        <w:rPr>
          <w:color w:val="000000" w:themeColor="text1"/>
        </w:rPr>
        <w:t>YES</w:t>
      </w:r>
    </w:p>
    <w:p w14:paraId="4E9EF90C" w14:textId="3F5C36A0" w:rsidR="00AE1972" w:rsidRPr="00781112" w:rsidRDefault="003E05D8" w:rsidP="00AE1972">
      <w:pPr>
        <w:rPr>
          <w:rFonts w:cs="Arial"/>
          <w:b/>
          <w:bCs/>
          <w:i/>
          <w:iCs/>
        </w:rPr>
      </w:pPr>
      <w:r w:rsidRPr="00781112">
        <w:rPr>
          <w:rFonts w:cs="Arial"/>
          <w:b/>
          <w:bCs/>
        </w:rPr>
        <w:t xml:space="preserve">Describe each </w:t>
      </w:r>
      <w:r w:rsidR="00AE1972" w:rsidRPr="00781112">
        <w:rPr>
          <w:rFonts w:cs="Arial"/>
          <w:b/>
          <w:bCs/>
          <w:u w:val="single"/>
        </w:rPr>
        <w:t>new</w:t>
      </w:r>
      <w:r w:rsidR="00AE1972" w:rsidRPr="00781112">
        <w:rPr>
          <w:rFonts w:cs="Arial"/>
          <w:b/>
          <w:bCs/>
        </w:rPr>
        <w:t xml:space="preserve"> (newly identified) infrastructure improvement strategy and the short-term or intermediate outcomes achieved</w:t>
      </w:r>
      <w:r w:rsidR="00AE1972" w:rsidRPr="00781112">
        <w:rPr>
          <w:rFonts w:cs="Arial"/>
          <w:b/>
          <w:bCs/>
          <w:i/>
          <w:iCs/>
        </w:rPr>
        <w:t xml:space="preserve">. </w:t>
      </w:r>
    </w:p>
    <w:p w14:paraId="43C5101C" w14:textId="614E9D0F" w:rsidR="00AE1972" w:rsidRDefault="00AE1972" w:rsidP="00AE1972">
      <w:pPr>
        <w:rPr>
          <w:color w:val="000000" w:themeColor="text1"/>
        </w:rPr>
      </w:pPr>
      <w:r w:rsidRPr="00781112">
        <w:rPr>
          <w:color w:val="000000" w:themeColor="text1"/>
        </w:rPr>
        <w:t>The Strong Start 2020 academic supports allowed for continuous learning for students in Louisiana whether they were learning remotely or in-person, and this included a suite of guidance to ensure continuous learning and instructional and related services for students with disabilities. Statewide assessments were able to be safely, securely administered because of the reopening guidance and supports. Early childhood centers were able to reopen during 2020-2021, while at the height of the pandemic 70% of those centers were closed.</w:t>
      </w:r>
      <w:r w:rsidRPr="00781112">
        <w:rPr>
          <w:color w:val="000000" w:themeColor="text1"/>
        </w:rPr>
        <w:br/>
      </w:r>
      <w:r w:rsidRPr="00781112">
        <w:rPr>
          <w:color w:val="000000" w:themeColor="text1"/>
        </w:rPr>
        <w:br/>
        <w:t>While Louisiana’s Content Leader structure is not new, the addition of K-2 Literacy Content Leaders allows K-2 educators supporting literacy to deeply understand the components of effective literacy instruction and the foundations of reading, the essential elements of high quality literacy curriculum, and to apply best practice of adult learning in supporting fellow educators. This work will continue in 2021-2022.</w:t>
      </w:r>
      <w:r w:rsidRPr="00781112">
        <w:rPr>
          <w:color w:val="000000" w:themeColor="text1"/>
        </w:rPr>
        <w:br/>
      </w:r>
      <w:r w:rsidRPr="00781112">
        <w:rPr>
          <w:color w:val="000000" w:themeColor="text1"/>
        </w:rPr>
        <w:br/>
        <w:t>Staff and Student Well-Being: Following the pandemic increased focus was placed on supporting staff and student well-being. Guidance and supports were included as part of the Strong Start Guidance and partnerships including Children’s Hospital of New Orleans provided a Town Hall Series and free virtual mental health sessions for educators and staff. Short-term outcomes included being able to provide wellness support to staff across Louisiana that support transparency of COVID-related information and support their well-being such that academic outcomes can continue.</w:t>
      </w:r>
      <w:r w:rsidRPr="00781112">
        <w:rPr>
          <w:color w:val="000000" w:themeColor="text1"/>
        </w:rPr>
        <w:br/>
      </w:r>
      <w:r w:rsidRPr="00781112">
        <w:rPr>
          <w:color w:val="000000" w:themeColor="text1"/>
        </w:rPr>
        <w:br/>
        <w:t>Louisiana’s 1:1 device push, Learning Management System guidance, and community partnerships for connectivity resulted in a surge of Chromebooks and devices into schools addressing the technical divide in our state. Emergency Broad Band Benefits for Families program assists eligible households or school systems in paying for home internet services during the pandemic.</w:t>
      </w:r>
      <w:r w:rsidRPr="00781112">
        <w:rPr>
          <w:color w:val="000000" w:themeColor="text1"/>
        </w:rPr>
        <w:br/>
      </w:r>
      <w:r w:rsidRPr="00781112">
        <w:rPr>
          <w:color w:val="000000" w:themeColor="text1"/>
        </w:rPr>
        <w:br/>
        <w:t>For 2021-2022 focus and continued work around supporting educators with addressing unfinished learning, accelerating learning, effective literacy instruction, and staffing and scheduling guidance will be a focus. A comprehensive literacy plan, foundational literacy training, and literacy coaching structure in CIR/UIR-A schools will be a priority.</w:t>
      </w:r>
    </w:p>
    <w:p w14:paraId="7A07D856" w14:textId="77777777" w:rsidR="00AE1972" w:rsidRPr="00781112" w:rsidRDefault="00AE1972" w:rsidP="00AE1972">
      <w:pPr>
        <w:rPr>
          <w:rFonts w:cs="Arial"/>
          <w:b/>
          <w:bCs/>
        </w:rPr>
      </w:pPr>
      <w:r w:rsidRPr="00781112">
        <w:rPr>
          <w:rFonts w:cs="Arial"/>
          <w:b/>
          <w:bCs/>
        </w:rPr>
        <w:t xml:space="preserve">Provide a summary of the next steps for each infrastructure improvement strategy and the anticipated outcomes to be attained during the next reporting period. </w:t>
      </w:r>
    </w:p>
    <w:p w14:paraId="1A03571A" w14:textId="0DF7AD96" w:rsidR="00AE1972" w:rsidRPr="00781112" w:rsidRDefault="00AE1972" w:rsidP="00AE1972">
      <w:pPr>
        <w:rPr>
          <w:b/>
          <w:bCs/>
        </w:rPr>
      </w:pPr>
      <w:r w:rsidRPr="00781112">
        <w:rPr>
          <w:color w:val="000000" w:themeColor="text1"/>
        </w:rPr>
        <w:t>Louisiana uses a multi-layered approach to implementing specific structures and best practices intended to increase outcomes for all students, including students with disabilities. Louisiana’s Strong Start plan and each LEA’s aligned Strong Start Plans will allow them to prioritize addressing learning loss as a result of the pandemic, ensuring continuous learning, and supporting staff and student well-being. Additionally, the Strong Start academic guidance will equip leaders and educators with supports needed to educate their students through a continuing pandemic.</w:t>
      </w:r>
      <w:r w:rsidRPr="00781112">
        <w:rPr>
          <w:color w:val="000000" w:themeColor="text1"/>
        </w:rPr>
        <w:br/>
      </w:r>
      <w:r w:rsidRPr="00781112">
        <w:rPr>
          <w:color w:val="000000" w:themeColor="text1"/>
        </w:rPr>
        <w:br/>
        <w:t xml:space="preserve">While our Content Leader and Teacher Leader structures will continue, a key improvement will involve adding K-2 Content Leaders in alignment with a continued, strategic literacy focus. Implementing specific literacy practices will directly impact the SiMR and result in more students, including students with disabilities, achieve proficiency on ELA assessments. </w:t>
      </w:r>
      <w:r w:rsidRPr="00781112">
        <w:rPr>
          <w:color w:val="000000" w:themeColor="text1"/>
        </w:rPr>
        <w:br/>
      </w:r>
      <w:r w:rsidRPr="00781112">
        <w:rPr>
          <w:color w:val="000000" w:themeColor="text1"/>
        </w:rPr>
        <w:br/>
        <w:t>For 2021-2022 focus and continued work around supporting educators with addressing unfinished learning, accelerating learning, effective literacy instruction, and staffing and scheduling guidance will be a focus. A comprehensive literacy plan, foundational literacy training, and literacy coaching structure in CIR/UIR-A schools will be a priority. Additionally, the Division of Diverse Learners, including special education, is repositioning within the Department in the Office of Teaching and Learning, which will provide for clear, concise ownership of outcomes for students with disabilities and regular collaboration and integration of special education across all aspects of academics.</w:t>
      </w:r>
    </w:p>
    <w:p w14:paraId="0D313DAA" w14:textId="77777777" w:rsidR="00AE1972" w:rsidRPr="00781112" w:rsidRDefault="00AE1972" w:rsidP="00AE1972">
      <w:pPr>
        <w:rPr>
          <w:rFonts w:cs="Arial"/>
          <w:b/>
          <w:bCs/>
        </w:rPr>
      </w:pPr>
    </w:p>
    <w:p w14:paraId="35176598" w14:textId="77777777" w:rsidR="00AE1972" w:rsidRPr="00781112" w:rsidRDefault="00AE1972" w:rsidP="00AE1972">
      <w:pPr>
        <w:rPr>
          <w:rFonts w:cs="Arial"/>
          <w:b/>
          <w:bCs/>
        </w:rPr>
      </w:pPr>
      <w:r w:rsidRPr="00781112">
        <w:rPr>
          <w:rFonts w:cs="Arial"/>
          <w:b/>
          <w:bCs/>
        </w:rPr>
        <w:t>List the selected evidence-based practices implement in the reporting period:</w:t>
      </w:r>
    </w:p>
    <w:p w14:paraId="5DA152F5" w14:textId="71CAFB34" w:rsidR="00AE1972" w:rsidRPr="00781112" w:rsidRDefault="00AE1972" w:rsidP="00AE1972">
      <w:pPr>
        <w:rPr>
          <w:b/>
          <w:bCs/>
        </w:rPr>
      </w:pPr>
      <w:r w:rsidRPr="00781112">
        <w:rPr>
          <w:color w:val="000000" w:themeColor="text1"/>
        </w:rPr>
        <w:t>High quality instructional materials with embedded diverse learner supports</w:t>
      </w:r>
      <w:r w:rsidRPr="00781112">
        <w:rPr>
          <w:color w:val="000000" w:themeColor="text1"/>
        </w:rPr>
        <w:br/>
        <w:t xml:space="preserve">High quality summer learning programs </w:t>
      </w:r>
      <w:r w:rsidRPr="00781112">
        <w:rPr>
          <w:color w:val="000000" w:themeColor="text1"/>
        </w:rPr>
        <w:br/>
        <w:t>Additional instructional time for students to address learning loss via Accelerate</w:t>
      </w:r>
      <w:r w:rsidRPr="00781112">
        <w:rPr>
          <w:color w:val="000000" w:themeColor="text1"/>
        </w:rPr>
        <w:br/>
        <w:t>Literacy supports</w:t>
      </w:r>
    </w:p>
    <w:p w14:paraId="10F85993" w14:textId="77777777" w:rsidR="00AE1972" w:rsidRPr="00781112" w:rsidRDefault="00AE1972" w:rsidP="00AE1972">
      <w:pPr>
        <w:rPr>
          <w:rFonts w:cs="Arial"/>
          <w:b/>
          <w:bCs/>
        </w:rPr>
      </w:pPr>
    </w:p>
    <w:p w14:paraId="22910457" w14:textId="77777777" w:rsidR="00AE1972" w:rsidRPr="00781112" w:rsidRDefault="00AE1972" w:rsidP="00AE1972">
      <w:pPr>
        <w:rPr>
          <w:rFonts w:cs="Arial"/>
          <w:b/>
          <w:bCs/>
        </w:rPr>
      </w:pPr>
      <w:r w:rsidRPr="00781112">
        <w:rPr>
          <w:rFonts w:cs="Arial"/>
          <w:b/>
          <w:bCs/>
        </w:rPr>
        <w:t>Provide a summary of each evidence-based practices.</w:t>
      </w:r>
    </w:p>
    <w:p w14:paraId="30605054" w14:textId="1313DE13" w:rsidR="00AE1972" w:rsidRPr="00781112" w:rsidRDefault="00AE1972" w:rsidP="00AE1972">
      <w:pPr>
        <w:rPr>
          <w:b/>
          <w:bCs/>
        </w:rPr>
      </w:pPr>
      <w:r w:rsidRPr="00781112">
        <w:rPr>
          <w:color w:val="000000" w:themeColor="text1"/>
        </w:rPr>
        <w:t xml:space="preserve">Louisiana continues to intentionally expand efforts and embed diverse learner supports within high quality instructional materials. Louisiana's ELA Guidebooks 3-5 (2022) curriculum helps all students read, understand, and express their understanding of complex, grade-level texts. The new Louisiana ELA Guidebooks 3-5, build students’ understanding and knowledge through text sets, compelling questions, and integrated reading and writing activities. The ELA Guidebooks updates began in November 2020 and will be complete by May 2022. Pilot units were released in November 2021, the implementation and review of the pilot units begins in January 2022 and will continue through 2022. These updates include the addition of core and optional activities to support the needs of diverse learners and it gives teachers the opportunity to provide students with real time support through the embedded activities. Additionally, the department has partnered with The Writing Revolution? in July 2020 to incorporate in context writing instruction into ELA Guidebooks 3-5 (2022) and this partnership continues as we finalize updates to ELA Guidebooks.  </w:t>
      </w:r>
      <w:r w:rsidRPr="00781112">
        <w:rPr>
          <w:color w:val="000000" w:themeColor="text1"/>
        </w:rPr>
        <w:br/>
      </w:r>
      <w:r w:rsidRPr="00781112">
        <w:rPr>
          <w:color w:val="000000" w:themeColor="text1"/>
        </w:rPr>
        <w:br/>
        <w:t>Summer Learning Guidance for incoming K-8 students was released in Spring 2021 as a way to continue to address unfinished learning and provide additional learning opportunities in the elementary and middle grades. The guidance focused on structures and elements of a summer program, resources for implementing elements, staffing and scheduling considerations, sample schedules, checklists for action steps and funding information. Additional, updated, more robust Summer Learning Guidance will be provided for Summer 2022.</w:t>
      </w:r>
      <w:r w:rsidRPr="00781112">
        <w:rPr>
          <w:color w:val="000000" w:themeColor="text1"/>
        </w:rPr>
        <w:br/>
      </w:r>
      <w:r w:rsidRPr="00781112">
        <w:rPr>
          <w:color w:val="000000" w:themeColor="text1"/>
        </w:rPr>
        <w:br/>
        <w:t>Accelerate, Louisiana’s Pre-K-12 Tutoring Strategy, was launched in Spring 2021 and was designed for school systems to implement equal access tutoring at-scale in order to achieve significant results for all students. Grounded in the most impactful research-based practices, Accelerate is a just-in-time, pre-teaching model that addresses unfinished learning by building knowledge and connecting it to skills in current lessons. In addition to guidance on implementation, Louisiana released Pre-K-12 ELA and math tutoring materials in phases during 2021 and will continue this work in 2022.</w:t>
      </w:r>
      <w:r w:rsidRPr="00781112">
        <w:rPr>
          <w:color w:val="000000" w:themeColor="text1"/>
        </w:rPr>
        <w:br/>
      </w:r>
      <w:r w:rsidRPr="00781112">
        <w:rPr>
          <w:color w:val="000000" w:themeColor="text1"/>
        </w:rPr>
        <w:br/>
        <w:t>Louisiana’s Literacy Team formed in 2020-2021 to continue literacy supports across the state. The Foundational Reading Supports Pilot led to implementing a Literacy Coaching Pilot in 2020-2021. Louisiana offered free literacy training for leaders and teachers in Summer 2021. If administrators have an understanding of the science of reading, they can provide support to teachers around more effective curriculum implementation, utilizing systematic, explicit interventions for struggling readers, and providing ongoing professional development. Additionally, the Real-time Early Access to Literacy (REAL) initiative provided individualized support for students in pre-K through grade 3 to make progress in their literacy development, with a focus on support for virtual learning in 2020-2021. REAL provides devices, connectivity, and tutoring services to eligible students in pre-K through grade 3. Continued literacy work will scale to include additional literacy coach support to LEAs, a comprehensive strategic plan for literacy in Louisiana and a Reading Revival Campaign.</w:t>
      </w:r>
    </w:p>
    <w:p w14:paraId="79F66E5E" w14:textId="77777777" w:rsidR="00AE1972" w:rsidRPr="00781112" w:rsidRDefault="00AE1972" w:rsidP="00AE1972">
      <w:pPr>
        <w:rPr>
          <w:rFonts w:cs="Arial"/>
          <w:b/>
          <w:bCs/>
        </w:rPr>
      </w:pPr>
      <w:r w:rsidRPr="00781112">
        <w:rPr>
          <w:rFonts w:cs="Arial"/>
          <w:b/>
          <w:bCs/>
        </w:rPr>
        <w:t xml:space="preserve"> </w:t>
      </w:r>
    </w:p>
    <w:p w14:paraId="7DF513C4" w14:textId="5FBB7389" w:rsidR="00AE1972" w:rsidRPr="00781112" w:rsidRDefault="00AE1972" w:rsidP="00AE1972">
      <w:pPr>
        <w:rPr>
          <w:rFonts w:cs="Arial"/>
          <w:b/>
          <w:bCs/>
        </w:rPr>
      </w:pPr>
      <w:bookmarkStart w:id="91" w:name="_Hlk88409387"/>
      <w:r w:rsidRPr="00781112">
        <w:rPr>
          <w:rFonts w:cs="Arial"/>
          <w:b/>
          <w:bCs/>
        </w:rPr>
        <w:t xml:space="preserve">Provide a summary of how each evidence-based practice and activities or strategies that support its use, is intended to impact the SiMR by changing program/district policies, procedures, and/or practices, teacher/provider practices (e.g. behaviors), parent/caregiver outcomes, and/or child /outcomes. </w:t>
      </w:r>
    </w:p>
    <w:bookmarkEnd w:id="91"/>
    <w:p w14:paraId="3E043DB7" w14:textId="7C3B2CD4" w:rsidR="00AE1972" w:rsidRPr="00781112" w:rsidRDefault="00AE1972" w:rsidP="00AE1972">
      <w:pPr>
        <w:rPr>
          <w:b/>
          <w:bCs/>
        </w:rPr>
      </w:pPr>
      <w:r w:rsidRPr="00781112">
        <w:rPr>
          <w:color w:val="000000" w:themeColor="text1"/>
        </w:rPr>
        <w:t>Each of the evidence-based practices are aimed at providing comprehensive support for educators in all grades, but specifically ELA educators in grades 3-5. Our 3-5 ELA Guidebook updates will strengthen and embed diverse learner supports and intentional writing supports into the curriculum which will directly impact their achievement on aligned statewide assessments used to measure the SiMR. The Summer Learning Guidance will help LEAs plan and implement effective, accessible summer learning, especially targeting Mathematics and ELA instruction, aimed at addressing accelerating learning for all students following the pandemic, which is aimed at targeting the drastic impact of the pandemic on student achievement. Similarly, the Accelerate tutoring strategy provides additional, extra time support for students who need it in Mathematics and ELA with specific, high quality instructional materials free and accessible to all educators. Strategic literacy best practices will continue to be refined and implemented to support literacy development such that students in grades 3-5 will be on grade-level and increase outcomes in ELA. This layered approach to implement SSIP strategies is intended to increase student achievement.</w:t>
      </w:r>
    </w:p>
    <w:p w14:paraId="43C06488" w14:textId="77777777" w:rsidR="00AE1972" w:rsidRPr="00781112" w:rsidRDefault="00AE1972" w:rsidP="00AE1972">
      <w:pPr>
        <w:rPr>
          <w:rFonts w:cs="Arial"/>
          <w:b/>
          <w:bCs/>
        </w:rPr>
      </w:pPr>
      <w:r w:rsidRPr="00781112">
        <w:rPr>
          <w:rFonts w:cs="Arial"/>
          <w:b/>
          <w:bCs/>
        </w:rPr>
        <w:t xml:space="preserve"> </w:t>
      </w:r>
    </w:p>
    <w:p w14:paraId="46DD8115" w14:textId="77777777" w:rsidR="00AE1972" w:rsidRPr="00781112" w:rsidRDefault="00AE1972" w:rsidP="00AE1972">
      <w:pPr>
        <w:rPr>
          <w:rFonts w:cs="Arial"/>
          <w:b/>
          <w:bCs/>
        </w:rPr>
      </w:pPr>
      <w:r w:rsidRPr="00781112">
        <w:rPr>
          <w:rFonts w:cs="Arial"/>
          <w:b/>
          <w:bCs/>
        </w:rPr>
        <w:t xml:space="preserve">Describe the data collected to monitor fidelity of implementation and to assess practice change. </w:t>
      </w:r>
    </w:p>
    <w:p w14:paraId="3AADEE00" w14:textId="0533CE7C" w:rsidR="00AE1972" w:rsidRPr="00781112" w:rsidRDefault="00AE1972" w:rsidP="00AE1972">
      <w:pPr>
        <w:rPr>
          <w:b/>
          <w:bCs/>
        </w:rPr>
      </w:pPr>
      <w:r w:rsidRPr="00781112">
        <w:rPr>
          <w:color w:val="000000" w:themeColor="text1"/>
        </w:rPr>
        <w:t>In 2020-2021, the 3-12 Classroom Observation, the 3-12 Virtual Classroom Observation, and the Common Planning Time Tool were both used to collect data for the SSIP cohort. While the cohort includes 30 schools in 8 LEAs, 28 schools are reflected in the data. A total of 158 observations within the 28 schools were conducted. While the ongoing pandemic presented challenges, Louisiana conducted as many visits as possible, some being virtual. The classroom observation tools help observers determine to what extent the teacher is using and delivering a high-quality curriculum, the degree to which students are actively engaged, whether the teacher is actively monitoring student learning and providing feedback. The Common Planning Time Tool assist observers with determining if teachers are planning using high-quality materials and if they are planning for student supports and anticipating student needs.</w:t>
      </w:r>
      <w:r w:rsidRPr="00781112">
        <w:rPr>
          <w:color w:val="000000" w:themeColor="text1"/>
        </w:rPr>
        <w:br/>
      </w:r>
      <w:r w:rsidRPr="00781112">
        <w:rPr>
          <w:color w:val="000000" w:themeColor="text1"/>
        </w:rPr>
        <w:br/>
        <w:t>The tools were refined and updated for 2020-2021. Trends that emerged included the vast majority of teachers using high quality curriculum materials. Additionally, the vast majority of teachers have common planning time built into their daily schedules and collaborate/plan with colleagues. This is a result of our Super App Process and funding alignment to support adoption of high quality materials as well as the support and technical assistance provided.</w:t>
      </w:r>
      <w:r w:rsidRPr="00781112">
        <w:rPr>
          <w:color w:val="000000" w:themeColor="text1"/>
        </w:rPr>
        <w:br/>
      </w:r>
      <w:r w:rsidRPr="00781112">
        <w:rPr>
          <w:color w:val="000000" w:themeColor="text1"/>
        </w:rPr>
        <w:br/>
        <w:t>Changes to our School Improvement Team and our School Improvement Best Practices strategy for 2021-2022 will result in different evaluation and school support tools that are not aligned to the curriculum and observation tools used in 2020-2021 and prior years. The shift from evaluating curriculum implementation to intentional support of system and school leaders and educators in key professional practices is supported by this data. The School Improvement Team will support two targeted School Improvement Best Practices, including Instructional Leadership Teams and Teacher Collaboration. A focus on these intentional structures is designed to support schools in adopting the essential components that drive professional and student growth and will continue during the 2022-2023 school year.</w:t>
      </w:r>
    </w:p>
    <w:p w14:paraId="3D905B01" w14:textId="77777777" w:rsidR="00AE1972" w:rsidRPr="00781112" w:rsidRDefault="00AE1972" w:rsidP="00AE1972">
      <w:pPr>
        <w:rPr>
          <w:rFonts w:cs="Arial"/>
          <w:b/>
          <w:bCs/>
        </w:rPr>
      </w:pPr>
    </w:p>
    <w:p w14:paraId="7A09B895" w14:textId="1AAA50A4" w:rsidR="00AE1972" w:rsidRPr="00781112" w:rsidRDefault="00C87801" w:rsidP="00AE1972">
      <w:pPr>
        <w:rPr>
          <w:rFonts w:cs="Arial"/>
          <w:b/>
          <w:bCs/>
        </w:rPr>
      </w:pPr>
      <w:r w:rsidRPr="00C87801">
        <w:rPr>
          <w:rFonts w:cs="Arial"/>
          <w:b/>
          <w:bCs/>
        </w:rPr>
        <w:t>Describe any additional data (e.g. progress monitoring) that was collected that supports the decision to continue the ongoing use of each evidence-based practice.</w:t>
      </w:r>
    </w:p>
    <w:p w14:paraId="61FB2284" w14:textId="795DBC6E" w:rsidR="00AE1972" w:rsidRDefault="00AE1972" w:rsidP="00AE1972">
      <w:pPr>
        <w:rPr>
          <w:color w:val="000000" w:themeColor="text1"/>
        </w:rPr>
      </w:pPr>
      <w:r w:rsidRPr="00781112">
        <w:rPr>
          <w:color w:val="000000" w:themeColor="text1"/>
        </w:rPr>
        <w:t>N/A</w:t>
      </w:r>
    </w:p>
    <w:p w14:paraId="1C12C4CB" w14:textId="17146AE7" w:rsidR="00C87801" w:rsidRDefault="00C87801" w:rsidP="00AE1972">
      <w:pPr>
        <w:rPr>
          <w:color w:val="000000" w:themeColor="text1"/>
        </w:rPr>
      </w:pPr>
    </w:p>
    <w:p w14:paraId="00E7E41D" w14:textId="77777777" w:rsidR="00C87801" w:rsidRPr="00C87801" w:rsidRDefault="00C87801" w:rsidP="00C87801">
      <w:pPr>
        <w:rPr>
          <w:b/>
          <w:bCs/>
          <w:color w:val="000000" w:themeColor="text1"/>
        </w:rPr>
      </w:pPr>
      <w:r w:rsidRPr="00730C62">
        <w:rPr>
          <w:b/>
          <w:bCs/>
          <w:color w:val="000000" w:themeColor="text1"/>
        </w:rPr>
        <w:t xml:space="preserve">Provide a summary of the next steps for each evidence-based practices and the anticipated outcomes to be attained during the next reporting period. </w:t>
      </w:r>
    </w:p>
    <w:p w14:paraId="3EDD1FBC" w14:textId="4546113E" w:rsidR="00C87801" w:rsidRDefault="00C87801" w:rsidP="00C87801">
      <w:pPr>
        <w:rPr>
          <w:color w:val="000000" w:themeColor="text1"/>
        </w:rPr>
      </w:pPr>
      <w:r w:rsidRPr="00781112">
        <w:rPr>
          <w:color w:val="000000" w:themeColor="text1"/>
        </w:rPr>
        <w:t>In Spring 2022, the 3-5 ELA Guidebooks (2022) will release and will include embedded supports for students with disabilities and other diverse learners. Professional development and support will begin at Teacher Leader Summit 2022 and continue into the 2022-2023 school year.</w:t>
      </w:r>
      <w:r w:rsidRPr="00781112">
        <w:rPr>
          <w:color w:val="000000" w:themeColor="text1"/>
        </w:rPr>
        <w:br/>
      </w:r>
      <w:r w:rsidRPr="00781112">
        <w:rPr>
          <w:color w:val="000000" w:themeColor="text1"/>
        </w:rPr>
        <w:br/>
      </w:r>
      <w:r w:rsidRPr="00781112">
        <w:rPr>
          <w:color w:val="000000" w:themeColor="text1"/>
        </w:rPr>
        <w:lastRenderedPageBreak/>
        <w:t>Prioritizing high quality summer learning programs to address learning loss will continue. Updated guidance and materials will release in 2021-2022 and will include future state requirements for the most struggling schools to implement summer learning programs.</w:t>
      </w:r>
      <w:r w:rsidRPr="00781112">
        <w:rPr>
          <w:color w:val="000000" w:themeColor="text1"/>
        </w:rPr>
        <w:br/>
      </w:r>
      <w:r w:rsidRPr="00781112">
        <w:rPr>
          <w:color w:val="000000" w:themeColor="text1"/>
        </w:rPr>
        <w:br/>
        <w:t>An Accelerate learning pilot will inform next steps around accelerating learning strategies. Accelerate materials, aligned to high quality materials, will continue to be released and updated. A comprehensive state accelerating learning plan and communications plan will be critical steps in development.</w:t>
      </w:r>
      <w:r w:rsidRPr="00781112">
        <w:rPr>
          <w:color w:val="000000" w:themeColor="text1"/>
        </w:rPr>
        <w:br/>
      </w:r>
      <w:r w:rsidRPr="00781112">
        <w:rPr>
          <w:color w:val="000000" w:themeColor="text1"/>
        </w:rPr>
        <w:br/>
        <w:t>A statewide literacy plan has been launched and key literacy legislation driving improvement beginning 202102022, but additional literacy supports will continue to be developed. Literacy interventions and extensions will release. K-2 Literacy Content Leaders will be added to our educator development structure and required foundational literacy training for all K-2 educators will begin.</w:t>
      </w:r>
    </w:p>
    <w:p w14:paraId="0555DA84" w14:textId="77777777" w:rsidR="00C87801" w:rsidRPr="00781112" w:rsidRDefault="00C87801" w:rsidP="00AE1972">
      <w:pPr>
        <w:rPr>
          <w:color w:val="000000" w:themeColor="text1"/>
        </w:rPr>
      </w:pPr>
    </w:p>
    <w:p w14:paraId="4216CFE7" w14:textId="77777777" w:rsidR="00C2635F" w:rsidRPr="00781112" w:rsidRDefault="00C2635F" w:rsidP="00AE1972">
      <w:pPr>
        <w:rPr>
          <w:b/>
          <w:bCs/>
        </w:rPr>
      </w:pPr>
    </w:p>
    <w:p w14:paraId="7350AAE8" w14:textId="77777777" w:rsidR="00C2635F" w:rsidRPr="00781112" w:rsidRDefault="00AE1972" w:rsidP="00AE1972">
      <w:pPr>
        <w:rPr>
          <w:rFonts w:cs="Arial"/>
          <w:b/>
          <w:bCs/>
        </w:rPr>
      </w:pPr>
      <w:r w:rsidRPr="00781112">
        <w:rPr>
          <w:rFonts w:cs="Arial"/>
          <w:b/>
          <w:bCs/>
        </w:rPr>
        <w:t>Section C: Stakeholder Engagement</w:t>
      </w:r>
    </w:p>
    <w:p w14:paraId="7EBFA7EE" w14:textId="77777777" w:rsidR="00C2635F" w:rsidRPr="00781112" w:rsidRDefault="00C2635F" w:rsidP="00C2635F">
      <w:pPr>
        <w:pStyle w:val="Bold"/>
        <w:rPr>
          <w:color w:val="000000" w:themeColor="text1"/>
        </w:rPr>
      </w:pPr>
      <w:r w:rsidRPr="00781112">
        <w:rPr>
          <w:color w:val="000000" w:themeColor="text1"/>
        </w:rPr>
        <w:t>Description of Stakeholder Input</w:t>
      </w:r>
    </w:p>
    <w:p w14:paraId="513CA7D9" w14:textId="77777777" w:rsidR="00C2635F" w:rsidRPr="00781112" w:rsidRDefault="00C2635F" w:rsidP="00C2635F">
      <w:pPr>
        <w:rPr>
          <w:color w:val="000000" w:themeColor="text1"/>
        </w:rPr>
      </w:pPr>
      <w:r w:rsidRPr="00781112">
        <w:rPr>
          <w:color w:val="000000" w:themeColor="text1"/>
        </w:rPr>
        <w:t>Louisiana has developed a comprehensive vision for the future of education in our state—Louisiana Believes. The driving force of this vision is that every one of Louisiana’s children should be on track to a college degree or a professional career. This inclusive vision and Louisiana’s values were apparent in the development of the SPP as we solicited and received broad stakeholder input to inform the target setting process for FFY 2020 - FFY 2025. The LDOE used three phases to develop the SPP targets for FFY 2020 - FFY 2025: 1) internal review, 2) external stakeholder feedback, and 3) Special Education Advisory Panel (SEAP) integration.</w:t>
      </w:r>
      <w:r w:rsidRPr="00781112">
        <w:rPr>
          <w:color w:val="000000" w:themeColor="text1"/>
        </w:rPr>
        <w:br/>
      </w:r>
      <w:r w:rsidRPr="00781112">
        <w:rPr>
          <w:color w:val="000000" w:themeColor="text1"/>
        </w:rPr>
        <w:br/>
        <w:t xml:space="preserve">Internal Review </w:t>
      </w:r>
      <w:r w:rsidRPr="00781112">
        <w:rPr>
          <w:color w:val="000000" w:themeColor="text1"/>
        </w:rPr>
        <w:br/>
        <w:t xml:space="preserve">The LDOE's Division for Diverse Learners reviewed historical data and LDOE policies, procedures, and practices; and collaborated with internal teams to develop targets that were rigorous and attainable. </w:t>
      </w:r>
      <w:r w:rsidRPr="00781112">
        <w:rPr>
          <w:color w:val="000000" w:themeColor="text1"/>
        </w:rPr>
        <w:br/>
      </w:r>
      <w:r w:rsidRPr="00781112">
        <w:rPr>
          <w:color w:val="000000" w:themeColor="text1"/>
        </w:rPr>
        <w:br/>
        <w:t>External Stakeholder Feedback</w:t>
      </w:r>
      <w:r w:rsidRPr="00781112">
        <w:rPr>
          <w:color w:val="000000" w:themeColor="text1"/>
        </w:rPr>
        <w:br/>
        <w:t xml:space="preserve">The Division for Diverse Learners developed and executed an SPP/APR target setting engagement strategy to solicit broad stakeholder feedback on the FFY 2020 - FFY 2025 targets. The LDOE developed a State Performance Plan / Annual Performance Report Target Setting webpage on the Louisiana Believes website. The webpage contains an overview document with an explanation of each indicator, historical data for each indicator, and tables to clearly identify whether or not the State met targets for each indicator. After review of the overview document, a target setting survey was available for stakeholders to provide input on targets. </w:t>
      </w:r>
      <w:r w:rsidRPr="00781112">
        <w:rPr>
          <w:color w:val="000000" w:themeColor="text1"/>
        </w:rPr>
        <w:br/>
      </w:r>
      <w:r w:rsidRPr="00781112">
        <w:rPr>
          <w:color w:val="000000" w:themeColor="text1"/>
        </w:rPr>
        <w:br/>
        <w:t>SEAP Integration</w:t>
      </w:r>
      <w:r w:rsidRPr="00781112">
        <w:rPr>
          <w:color w:val="000000" w:themeColor="text1"/>
        </w:rPr>
        <w:br/>
        <w:t>The LDOE informed the SEAP on the target setting process at two separate meetings. LDOE provided an overview of each indicator along with historical data to SEAP members who provided input. SEAP's structure also allows for public comments, which were exercised at the meetings, providing external stakeholder feedback.</w:t>
      </w:r>
      <w:r w:rsidRPr="00781112">
        <w:rPr>
          <w:color w:val="000000" w:themeColor="text1"/>
        </w:rPr>
        <w:br/>
      </w:r>
      <w:r w:rsidRPr="00781112">
        <w:rPr>
          <w:color w:val="000000" w:themeColor="text1"/>
        </w:rPr>
        <w:br/>
        <w:t>The LDOE set targets based on feedback, historical data, and whether previous targets set were met. LDOE will continue to monitor data, targets, and changes to Indicator methodology, and may revise targets in the future, as necessary. Any revisions will incorporate stakeholder feedback, including, but not limited to, SEAP.</w:t>
      </w:r>
    </w:p>
    <w:p w14:paraId="613D691C" w14:textId="77777777" w:rsidR="00C2635F" w:rsidRPr="00781112" w:rsidRDefault="00C2635F" w:rsidP="00C2635F">
      <w:pPr>
        <w:pStyle w:val="Bold"/>
        <w:rPr>
          <w:b w:val="0"/>
          <w:color w:val="000000" w:themeColor="text1"/>
        </w:rPr>
      </w:pPr>
      <w:r w:rsidRPr="00781112">
        <w:rPr>
          <w:rFonts w:cs="Arial"/>
          <w:b w:val="0"/>
          <w:color w:val="000000" w:themeColor="text1"/>
          <w:szCs w:val="16"/>
        </w:rPr>
        <w:t>Louisiana worked to help educators ensure a strong return from the COVID-19 pandemic in 2020-2021 and beyond. It is important to stay connected to Louisiana students, families, teachers, and leaders and Louisiana has prioritized listening and learning from the experiences of stakeholders during this most challenging school year. Throughout 2020-2021, over 10,500 school reopening support emails were processed. The agency also facilitated a dozen bi-weekly virtual town hall meetings with Children’s Hospital New Orleans for educators and families, enhanced its communications structures to include more targeted office hours and team-specific monthly calls, and a chief academic officers roundtable. Statewide working groups were also created in key areas of support for school system leaders to share progress, provide feedback on current and future resources, and keep the agency updated on statewide implementation measures. Additional commissions, including the Special Education Advisory Panel, Louisiana Developmental Disabilities Council, Continuous Learning Taskforce and Early Literacy Commission, stakeholder input from the Literacy Coaching Pilot, Exceptional Lives Louisiana, and our Families Helping Families partners were used to gain input and feedback from a variety of stakeholders.</w:t>
      </w:r>
      <w:r w:rsidRPr="00781112">
        <w:rPr>
          <w:rFonts w:cs="Arial"/>
          <w:b w:val="0"/>
          <w:color w:val="000000" w:themeColor="text1"/>
          <w:szCs w:val="16"/>
        </w:rPr>
        <w:br/>
      </w:r>
      <w:r w:rsidRPr="00781112">
        <w:rPr>
          <w:rFonts w:cs="Arial"/>
          <w:b w:val="0"/>
          <w:color w:val="000000" w:themeColor="text1"/>
          <w:szCs w:val="16"/>
        </w:rPr>
        <w:br/>
        <w:t xml:space="preserve">The ELA Guidebooks 3-5 (2022) have been developed in collaboration with Louisiana teachers who work on the project as designers. These designers work collaboratively with the Department to develop essential aspects of the curriculum updates which includes the development of lesson scope and sequences, embedding support for diverse learners, and developing lesson activities that support the needs of all learners. Louisiana will continue to elicit feedback from the field about the three ELA Guidebooks 3-5 (2022) pilot units which were released in November 2021. The implementation and review of the pilot units began January 2022 and will be complete by May 2022. </w:t>
      </w:r>
      <w:r w:rsidRPr="00781112">
        <w:rPr>
          <w:rFonts w:cs="Arial"/>
          <w:b w:val="0"/>
          <w:color w:val="000000" w:themeColor="text1"/>
          <w:szCs w:val="16"/>
        </w:rPr>
        <w:br/>
      </w:r>
      <w:r w:rsidRPr="00781112">
        <w:rPr>
          <w:rFonts w:cs="Arial"/>
          <w:b w:val="0"/>
          <w:color w:val="000000" w:themeColor="text1"/>
          <w:szCs w:val="16"/>
        </w:rPr>
        <w:br/>
        <w:t>Louisiana did partner with Westat in 2021 to conduct focus groups with stakeholders across the state and analyze Strong Start surveys about lessons learned from virtual instruction. This feedback from students, educators, and families will help inform future decisions. The data included 46 focus group sessions conducted with a total of 216 stakeholders in November and December of 2020, as well as the results of the Department’s Strong Start Survey series completed by 281 school systems. Findings note that key strengths and successes based on our stakeholder feedback include:</w:t>
      </w:r>
      <w:r w:rsidRPr="00781112">
        <w:rPr>
          <w:rFonts w:cs="Arial"/>
          <w:b w:val="0"/>
          <w:color w:val="000000" w:themeColor="text1"/>
          <w:szCs w:val="16"/>
        </w:rPr>
        <w:br/>
        <w:t xml:space="preserve">- School systems and educators have flexibly adapted to address students' learning loss through use of individual instruction/support, additional intervention time, and increased use of small group instruction. </w:t>
      </w:r>
      <w:r w:rsidRPr="00781112">
        <w:rPr>
          <w:rFonts w:cs="Arial"/>
          <w:b w:val="0"/>
          <w:color w:val="000000" w:themeColor="text1"/>
          <w:szCs w:val="16"/>
        </w:rPr>
        <w:br/>
        <w:t>- LEAs have pushed technology out to students and families very quickly, and teachers have learned and adopted a variety of technologically-based teaching supports.</w:t>
      </w:r>
      <w:r w:rsidRPr="00781112">
        <w:rPr>
          <w:rFonts w:cs="Arial"/>
          <w:b w:val="0"/>
          <w:color w:val="000000" w:themeColor="text1"/>
          <w:szCs w:val="16"/>
        </w:rPr>
        <w:br/>
        <w:t xml:space="preserve">- Most stakeholders believe communication from LDOE and from school systems and schools has been very effective. Transparency and the levels of trust among stakeholders is high. </w:t>
      </w:r>
      <w:r w:rsidRPr="00781112">
        <w:rPr>
          <w:rFonts w:cs="Arial"/>
          <w:b w:val="0"/>
          <w:color w:val="000000" w:themeColor="text1"/>
          <w:szCs w:val="16"/>
        </w:rPr>
        <w:br/>
        <w:t xml:space="preserve">- School systems and educators have made extensive efforts to support students’ mental health and well-being both personally and through SEL curricula and community services. </w:t>
      </w:r>
      <w:r w:rsidRPr="00781112">
        <w:rPr>
          <w:rFonts w:cs="Arial"/>
          <w:b w:val="0"/>
          <w:color w:val="000000" w:themeColor="text1"/>
          <w:szCs w:val="16"/>
        </w:rPr>
        <w:br/>
      </w:r>
      <w:r w:rsidRPr="00781112">
        <w:rPr>
          <w:rFonts w:cs="Arial"/>
          <w:b w:val="0"/>
          <w:color w:val="000000" w:themeColor="text1"/>
          <w:szCs w:val="16"/>
        </w:rPr>
        <w:br/>
        <w:t>Key opportunities for growth include:</w:t>
      </w:r>
      <w:r w:rsidRPr="00781112">
        <w:rPr>
          <w:rFonts w:cs="Arial"/>
          <w:b w:val="0"/>
          <w:color w:val="000000" w:themeColor="text1"/>
          <w:szCs w:val="16"/>
        </w:rPr>
        <w:br/>
        <w:t xml:space="preserve">- Transition between learning modes causes disruption of learning, stress, and mental-health concerns. </w:t>
      </w:r>
      <w:r w:rsidRPr="00781112">
        <w:rPr>
          <w:rFonts w:cs="Arial"/>
          <w:b w:val="0"/>
          <w:color w:val="000000" w:themeColor="text1"/>
          <w:szCs w:val="16"/>
        </w:rPr>
        <w:br/>
        <w:t xml:space="preserve">- In general, student engagement is a concern. Not all students learn successfully in virtual environments, particularly students with disabilities, EL students and early childhood learners. </w:t>
      </w:r>
      <w:r w:rsidRPr="00781112">
        <w:rPr>
          <w:rFonts w:cs="Arial"/>
          <w:b w:val="0"/>
          <w:color w:val="000000" w:themeColor="text1"/>
          <w:szCs w:val="16"/>
        </w:rPr>
        <w:br/>
        <w:t xml:space="preserve">- Ongoing concerns with accountability plans given likely learning loss that is beyond the control of school systems and families. </w:t>
      </w:r>
      <w:r w:rsidRPr="00781112">
        <w:rPr>
          <w:rFonts w:cs="Arial"/>
          <w:b w:val="0"/>
          <w:color w:val="000000" w:themeColor="text1"/>
          <w:szCs w:val="16"/>
        </w:rPr>
        <w:br/>
        <w:t xml:space="preserve">- Access to technology and broadband required for successful virtual learning is not consistent for all students. </w:t>
      </w:r>
      <w:r w:rsidRPr="00781112">
        <w:rPr>
          <w:rFonts w:cs="Arial"/>
          <w:b w:val="0"/>
          <w:color w:val="000000" w:themeColor="text1"/>
          <w:szCs w:val="16"/>
        </w:rPr>
        <w:br/>
        <w:t>- Maintaining contact and communication with families for those affected by hurricanes and the economy has been challenging. Attendance and truancy are major concerns.</w:t>
      </w:r>
      <w:r w:rsidRPr="00781112">
        <w:rPr>
          <w:rFonts w:cs="Arial"/>
          <w:b w:val="0"/>
          <w:color w:val="000000" w:themeColor="text1"/>
          <w:szCs w:val="16"/>
        </w:rPr>
        <w:br/>
      </w:r>
      <w:r w:rsidRPr="00781112">
        <w:rPr>
          <w:rFonts w:cs="Arial"/>
          <w:b w:val="0"/>
          <w:color w:val="000000" w:themeColor="text1"/>
          <w:szCs w:val="16"/>
        </w:rPr>
        <w:br/>
      </w:r>
      <w:r w:rsidRPr="00781112">
        <w:rPr>
          <w:rFonts w:cs="Arial"/>
          <w:b w:val="0"/>
          <w:color w:val="000000" w:themeColor="text1"/>
          <w:szCs w:val="16"/>
        </w:rPr>
        <w:lastRenderedPageBreak/>
        <w:t>Louisiana also has a website dedicated to the State Performance Plan/Annual Performance Report and target setting process. Stakeholders can find information about IDEA requirements, a target setting overview and data, and they can submit a survey to provide input on the plan and our target setting process. The overview presentation was shared with the Special Education Advisory Panel and the Louisiana Developmental Disabilities Councils.</w:t>
      </w:r>
    </w:p>
    <w:p w14:paraId="0227ECF0" w14:textId="4A877DBA" w:rsidR="00AE1972" w:rsidRPr="00781112" w:rsidRDefault="00AE1972" w:rsidP="00AE1972">
      <w:pPr>
        <w:rPr>
          <w:rFonts w:cs="Arial"/>
          <w:b/>
          <w:bCs/>
        </w:rPr>
      </w:pPr>
      <w:r w:rsidRPr="00781112">
        <w:rPr>
          <w:rFonts w:cs="Arial"/>
          <w:b/>
          <w:bCs/>
        </w:rPr>
        <w:t xml:space="preserve"> Describe the specific strategies implemented to engage stakeholders in key improvement efforts. </w:t>
      </w:r>
    </w:p>
    <w:p w14:paraId="50B976D9" w14:textId="4AEF384A" w:rsidR="00AE1972" w:rsidRPr="00781112" w:rsidRDefault="00AE1972" w:rsidP="00AE1972">
      <w:pPr>
        <w:rPr>
          <w:b/>
          <w:bCs/>
        </w:rPr>
      </w:pPr>
      <w:r w:rsidRPr="00781112">
        <w:rPr>
          <w:color w:val="000000" w:themeColor="text1"/>
        </w:rPr>
        <w:t>Throughout 2020-2021 many stakeholder groups were engaged, experts, state commissions, educators and parents. This broad engagement was an improved stakeholder engagement effort that focused on more frequent, more detailed input and included the following:</w:t>
      </w:r>
      <w:r w:rsidRPr="00781112">
        <w:rPr>
          <w:color w:val="000000" w:themeColor="text1"/>
        </w:rPr>
        <w:br/>
      </w:r>
      <w:r w:rsidRPr="00781112">
        <w:rPr>
          <w:color w:val="000000" w:themeColor="text1"/>
        </w:rPr>
        <w:br/>
        <w:t>Special Education Advisory Panel (SEAP)</w:t>
      </w:r>
      <w:r w:rsidRPr="00781112">
        <w:rPr>
          <w:color w:val="000000" w:themeColor="text1"/>
        </w:rPr>
        <w:br/>
        <w:t>Continuous Learning Task Force</w:t>
      </w:r>
      <w:r w:rsidRPr="00781112">
        <w:rPr>
          <w:color w:val="000000" w:themeColor="text1"/>
        </w:rPr>
        <w:br/>
        <w:t>Early Literacy Commission</w:t>
      </w:r>
      <w:r w:rsidRPr="00781112">
        <w:rPr>
          <w:color w:val="000000" w:themeColor="text1"/>
        </w:rPr>
        <w:br/>
        <w:t>Literacy Coaching Pilot</w:t>
      </w:r>
      <w:r w:rsidRPr="00781112">
        <w:rPr>
          <w:color w:val="000000" w:themeColor="text1"/>
        </w:rPr>
        <w:br/>
        <w:t xml:space="preserve">Content Leader and ELA Guidebook Pilot feedback </w:t>
      </w:r>
      <w:r w:rsidRPr="00781112">
        <w:rPr>
          <w:color w:val="000000" w:themeColor="text1"/>
        </w:rPr>
        <w:br/>
        <w:t>Teacher Leader Advisors</w:t>
      </w:r>
      <w:r w:rsidRPr="00781112">
        <w:rPr>
          <w:color w:val="000000" w:themeColor="text1"/>
        </w:rPr>
        <w:br/>
        <w:t>Families Helping Families</w:t>
      </w:r>
      <w:r w:rsidRPr="00781112">
        <w:rPr>
          <w:color w:val="000000" w:themeColor="text1"/>
        </w:rPr>
        <w:br/>
        <w:t>Exceptional Lives Louisiana</w:t>
      </w:r>
      <w:r w:rsidRPr="00781112">
        <w:rPr>
          <w:color w:val="000000" w:themeColor="text1"/>
        </w:rPr>
        <w:br/>
        <w:t>Louisiana Developmental Disabilities Council</w:t>
      </w:r>
    </w:p>
    <w:p w14:paraId="0E7119BD" w14:textId="77777777" w:rsidR="00AE1972" w:rsidRPr="00781112" w:rsidRDefault="00AE1972" w:rsidP="00AE1972">
      <w:pPr>
        <w:rPr>
          <w:rFonts w:cs="Arial"/>
          <w:b/>
          <w:bCs/>
        </w:rPr>
      </w:pPr>
      <w:r w:rsidRPr="00781112">
        <w:rPr>
          <w:rFonts w:cs="Arial"/>
          <w:b/>
          <w:bCs/>
        </w:rPr>
        <w:t>Were there any concerns expressed by stakeholders during engagement activities?</w:t>
      </w:r>
      <w:r w:rsidRPr="00781112">
        <w:rPr>
          <w:b/>
          <w:bCs/>
        </w:rPr>
        <w:t xml:space="preserve"> (yes/no)</w:t>
      </w:r>
    </w:p>
    <w:p w14:paraId="23F53104" w14:textId="564F420D" w:rsidR="00AE1972" w:rsidRPr="00781112" w:rsidRDefault="00AE1972" w:rsidP="00AE1972">
      <w:pPr>
        <w:rPr>
          <w:b/>
          <w:bCs/>
        </w:rPr>
      </w:pPr>
      <w:r w:rsidRPr="00781112">
        <w:rPr>
          <w:color w:val="000000" w:themeColor="text1"/>
        </w:rPr>
        <w:t>YES</w:t>
      </w:r>
    </w:p>
    <w:p w14:paraId="106639A0" w14:textId="39A5DE64" w:rsidR="00AE1972" w:rsidRPr="00781112" w:rsidRDefault="00C2635F" w:rsidP="00AE1972">
      <w:pPr>
        <w:rPr>
          <w:rFonts w:cs="Arial"/>
          <w:b/>
          <w:bCs/>
        </w:rPr>
      </w:pPr>
      <w:r w:rsidRPr="00781112">
        <w:rPr>
          <w:rFonts w:cs="Arial"/>
          <w:b/>
          <w:bCs/>
        </w:rPr>
        <w:t xml:space="preserve">Describe how the State addressed the concerns expressed by stakeholders. </w:t>
      </w:r>
    </w:p>
    <w:p w14:paraId="3CBD7A6E" w14:textId="49063B9D" w:rsidR="00AE1972" w:rsidRPr="00781112" w:rsidRDefault="00AE1972" w:rsidP="00AE1972">
      <w:pPr>
        <w:rPr>
          <w:color w:val="000000" w:themeColor="text1"/>
        </w:rPr>
      </w:pPr>
      <w:r w:rsidRPr="00781112">
        <w:rPr>
          <w:color w:val="000000" w:themeColor="text1"/>
        </w:rPr>
        <w:t>Stakeholder feedback and input is valued at all levels of engagement. Concerns expressed during 2020-2021 were focused on the various modes of learning occurring throughout the state, student and family accessibility to technology and connectivity, and mental health of staff and students. Louisiana's Strong Start resources previously described were developed in direct response to these concerns. So while there were no direct concerns from stakeholders engaged around the SiMR and SPP, the general concerns in response to the pandemic and natural disasters faced by Louisiana students, educators and families will certainly have an impact.</w:t>
      </w:r>
    </w:p>
    <w:p w14:paraId="4C0E967E" w14:textId="77777777" w:rsidR="00AE1972" w:rsidRPr="00781112" w:rsidRDefault="00AE1972" w:rsidP="00AE1972">
      <w:pPr>
        <w:rPr>
          <w:rFonts w:cs="Arial"/>
          <w:b/>
          <w:bCs/>
        </w:rPr>
      </w:pPr>
    </w:p>
    <w:p w14:paraId="66B03304" w14:textId="77777777" w:rsidR="00AE1972" w:rsidRPr="00781112" w:rsidRDefault="00AE1972" w:rsidP="00AE1972">
      <w:pPr>
        <w:rPr>
          <w:rFonts w:cstheme="minorHAnsi"/>
          <w:b/>
          <w:bCs/>
        </w:rPr>
      </w:pPr>
      <w:r w:rsidRPr="00781112">
        <w:rPr>
          <w:rFonts w:cstheme="minorHAnsi"/>
          <w:b/>
          <w:bCs/>
        </w:rPr>
        <w:t>Additional Implementation Activities</w:t>
      </w:r>
    </w:p>
    <w:p w14:paraId="10A21917" w14:textId="46068090" w:rsidR="00AE1972" w:rsidRPr="00781112" w:rsidRDefault="00AE1972" w:rsidP="00AE1972">
      <w:pPr>
        <w:rPr>
          <w:b/>
          <w:bCs/>
        </w:rPr>
      </w:pPr>
      <w:r w:rsidRPr="00781112">
        <w:rPr>
          <w:b/>
          <w:bCs/>
        </w:rPr>
        <w:t>List any activities not already described that the State intends to implement in the next fiscal year that are related to the SiMR.</w:t>
      </w:r>
    </w:p>
    <w:p w14:paraId="35A94BC4" w14:textId="6D7D4D2A" w:rsidR="00AE1972" w:rsidRPr="00781112" w:rsidRDefault="00AE1972" w:rsidP="00AE1972">
      <w:pPr>
        <w:rPr>
          <w:color w:val="000000" w:themeColor="text1"/>
        </w:rPr>
      </w:pPr>
      <w:r w:rsidRPr="00781112">
        <w:rPr>
          <w:color w:val="000000" w:themeColor="text1"/>
        </w:rPr>
        <w:t>NA</w:t>
      </w:r>
    </w:p>
    <w:p w14:paraId="3ACC71D3" w14:textId="77777777" w:rsidR="00AE1972" w:rsidRPr="00781112" w:rsidRDefault="00AE1972" w:rsidP="00AE1972">
      <w:pPr>
        <w:rPr>
          <w:rFonts w:cs="Arial"/>
          <w:b/>
          <w:bCs/>
        </w:rPr>
      </w:pPr>
      <w:r w:rsidRPr="00781112">
        <w:rPr>
          <w:rFonts w:cs="Arial"/>
          <w:b/>
          <w:bCs/>
        </w:rPr>
        <w:t xml:space="preserve">Provide a timeline, anticipated data collection and measures, and expected outcomes for these activities that are related to the SiMR. </w:t>
      </w:r>
    </w:p>
    <w:p w14:paraId="50377A67" w14:textId="7B063CE4" w:rsidR="00AE1972" w:rsidRPr="00781112" w:rsidRDefault="00AE1972" w:rsidP="00AE1972">
      <w:pPr>
        <w:rPr>
          <w:color w:val="000000" w:themeColor="text1"/>
        </w:rPr>
      </w:pPr>
      <w:r w:rsidRPr="00781112">
        <w:rPr>
          <w:color w:val="000000" w:themeColor="text1"/>
        </w:rPr>
        <w:t>NA</w:t>
      </w:r>
    </w:p>
    <w:p w14:paraId="7B5F9795" w14:textId="77777777" w:rsidR="00AE1972" w:rsidRPr="00781112" w:rsidRDefault="00AE1972" w:rsidP="00AE1972">
      <w:pPr>
        <w:rPr>
          <w:color w:val="000000" w:themeColor="text1"/>
        </w:rPr>
      </w:pPr>
    </w:p>
    <w:p w14:paraId="1D472AFD" w14:textId="77777777" w:rsidR="00AE1972" w:rsidRPr="00781112" w:rsidRDefault="00AE1972" w:rsidP="00AE1972">
      <w:pPr>
        <w:rPr>
          <w:rFonts w:cs="Arial"/>
          <w:b/>
          <w:bCs/>
        </w:rPr>
      </w:pPr>
      <w:r w:rsidRPr="00781112">
        <w:rPr>
          <w:rFonts w:cs="Arial"/>
          <w:b/>
          <w:bCs/>
        </w:rPr>
        <w:t>Describe any newly identified barriers and include steps to address these barriers.</w:t>
      </w:r>
    </w:p>
    <w:p w14:paraId="4E48E920" w14:textId="395AE1C0" w:rsidR="00AE1972" w:rsidRPr="00781112" w:rsidRDefault="00AE1972" w:rsidP="00AE1972">
      <w:pPr>
        <w:rPr>
          <w:color w:val="000000" w:themeColor="text1"/>
        </w:rPr>
      </w:pPr>
      <w:r w:rsidRPr="00781112">
        <w:rPr>
          <w:color w:val="000000" w:themeColor="text1"/>
        </w:rPr>
        <w:t>N/A</w:t>
      </w:r>
    </w:p>
    <w:p w14:paraId="5E2459D3" w14:textId="77777777" w:rsidR="00AE1972" w:rsidRPr="00781112" w:rsidRDefault="00AE1972" w:rsidP="00AE1972">
      <w:pPr>
        <w:rPr>
          <w:rFonts w:cs="Arial"/>
          <w:b/>
          <w:bCs/>
        </w:rPr>
      </w:pPr>
    </w:p>
    <w:p w14:paraId="3396CE64" w14:textId="77777777" w:rsidR="00AE1972" w:rsidRPr="00781112" w:rsidRDefault="00AE1972" w:rsidP="00AE1972">
      <w:pPr>
        <w:rPr>
          <w:rFonts w:cs="Arial"/>
          <w:b/>
          <w:bCs/>
        </w:rPr>
      </w:pPr>
      <w:r w:rsidRPr="00781112">
        <w:rPr>
          <w:rFonts w:cs="Arial"/>
          <w:b/>
          <w:bCs/>
        </w:rPr>
        <w:t>Provide additional information about this indicator (optional).</w:t>
      </w:r>
    </w:p>
    <w:p w14:paraId="3B78AAE5" w14:textId="1BDEAF09" w:rsidR="00AE1972" w:rsidRPr="00781112" w:rsidRDefault="00AE1972" w:rsidP="00AE1972">
      <w:pPr>
        <w:rPr>
          <w:color w:val="000000" w:themeColor="text1"/>
        </w:rPr>
      </w:pPr>
    </w:p>
    <w:p w14:paraId="1717717F" w14:textId="77777777" w:rsidR="00AE1972" w:rsidRPr="00781112" w:rsidRDefault="00AE1972" w:rsidP="00AE1972">
      <w:pPr>
        <w:rPr>
          <w:b/>
          <w:bCs/>
        </w:rPr>
      </w:pPr>
    </w:p>
    <w:p w14:paraId="7969DCFD" w14:textId="313BCCCE" w:rsidR="00AE1972" w:rsidRPr="00781112" w:rsidRDefault="00AE1972" w:rsidP="00AE1972">
      <w:pPr>
        <w:pStyle w:val="Heading2"/>
      </w:pPr>
      <w:r w:rsidRPr="00781112">
        <w:t>1</w:t>
      </w:r>
      <w:r w:rsidR="00B90835" w:rsidRPr="00781112">
        <w:t>7</w:t>
      </w:r>
      <w:r w:rsidRPr="00781112">
        <w:t xml:space="preserve"> - Prior FFY Required Actions</w:t>
      </w:r>
    </w:p>
    <w:p w14:paraId="6D4FDD87" w14:textId="61973738" w:rsidR="00AE1972" w:rsidRPr="00781112" w:rsidRDefault="00AE1972" w:rsidP="00AE1972">
      <w:pPr>
        <w:rPr>
          <w:color w:val="000000" w:themeColor="text1"/>
        </w:rPr>
      </w:pPr>
      <w:r w:rsidRPr="00781112">
        <w:rPr>
          <w:color w:val="000000" w:themeColor="text1"/>
        </w:rPr>
        <w:t>None</w:t>
      </w:r>
    </w:p>
    <w:p w14:paraId="26525888" w14:textId="754A2C29" w:rsidR="00AE1972" w:rsidRPr="00781112" w:rsidRDefault="00AE1972" w:rsidP="00AE1972">
      <w:pPr>
        <w:pStyle w:val="Heading2"/>
      </w:pPr>
      <w:r w:rsidRPr="00781112">
        <w:t>1</w:t>
      </w:r>
      <w:r w:rsidR="00B90835" w:rsidRPr="00781112">
        <w:t>7</w:t>
      </w:r>
      <w:r w:rsidRPr="00781112">
        <w:t xml:space="preserve"> - OSEP Response</w:t>
      </w:r>
    </w:p>
    <w:p w14:paraId="401B2D8D" w14:textId="470B927C" w:rsidR="00AE1972" w:rsidRPr="00781112" w:rsidRDefault="00AE1972" w:rsidP="00AE1972">
      <w:pPr>
        <w:rPr>
          <w:color w:val="000000" w:themeColor="text1"/>
        </w:rPr>
      </w:pPr>
      <w:r w:rsidRPr="00781112">
        <w:rPr>
          <w:color w:val="000000" w:themeColor="text1"/>
        </w:rPr>
        <w:t>The State provided targets for FFYs 2020 through 2025 for this indicator, and OSEP accepts those targets.</w:t>
      </w:r>
    </w:p>
    <w:p w14:paraId="6DAF5363" w14:textId="73CEA9C3" w:rsidR="00AE1972" w:rsidRPr="00781112" w:rsidRDefault="00AE1972" w:rsidP="00AE1972">
      <w:pPr>
        <w:pStyle w:val="Heading2"/>
      </w:pPr>
      <w:r w:rsidRPr="00781112">
        <w:t>1</w:t>
      </w:r>
      <w:r w:rsidR="00B90835" w:rsidRPr="00781112">
        <w:t>7</w:t>
      </w:r>
      <w:r w:rsidRPr="00781112">
        <w:t xml:space="preserve"> - Required Actions</w:t>
      </w:r>
    </w:p>
    <w:p w14:paraId="54E94584" w14:textId="132794BB" w:rsidR="00066BAA" w:rsidRDefault="00066BAA" w:rsidP="000532EB">
      <w:pPr>
        <w:rPr>
          <w:color w:val="000000" w:themeColor="text1"/>
        </w:rPr>
      </w:pPr>
    </w:p>
    <w:p w14:paraId="7081808E" w14:textId="332DB163" w:rsidR="000532EB" w:rsidRDefault="000532EB">
      <w:pPr>
        <w:spacing w:before="0" w:after="200" w:line="276" w:lineRule="auto"/>
        <w:rPr>
          <w:color w:val="000000" w:themeColor="text1"/>
        </w:rPr>
      </w:pPr>
      <w:r>
        <w:rPr>
          <w:color w:val="000000" w:themeColor="text1"/>
        </w:rPr>
        <w:br w:type="page"/>
      </w:r>
    </w:p>
    <w:p w14:paraId="47A15380" w14:textId="2BFE46A7" w:rsidR="00251CC0" w:rsidRPr="00781112" w:rsidRDefault="00755AF7" w:rsidP="00D01281">
      <w:pPr>
        <w:pStyle w:val="Heading1"/>
        <w:rPr>
          <w:color w:val="000000" w:themeColor="text1"/>
        </w:rPr>
      </w:pPr>
      <w:r w:rsidRPr="00781112">
        <w:rPr>
          <w:color w:val="000000" w:themeColor="text1"/>
        </w:rPr>
        <w:lastRenderedPageBreak/>
        <w:t>Certification</w:t>
      </w:r>
    </w:p>
    <w:p w14:paraId="49BAFEB2" w14:textId="460D7FCE" w:rsidR="00EC1064" w:rsidRPr="00781112" w:rsidRDefault="00EC1064" w:rsidP="00A018D4">
      <w:pPr>
        <w:rPr>
          <w:color w:val="000000" w:themeColor="text1"/>
          <w:szCs w:val="20"/>
        </w:rPr>
      </w:pPr>
      <w:r w:rsidRPr="00781112">
        <w:rPr>
          <w:b/>
          <w:color w:val="000000" w:themeColor="text1"/>
          <w:sz w:val="20"/>
          <w:szCs w:val="20"/>
        </w:rPr>
        <w:t>Instructions</w:t>
      </w:r>
    </w:p>
    <w:p w14:paraId="1D3FABB8" w14:textId="49984077" w:rsidR="00EC1064" w:rsidRPr="00781112" w:rsidRDefault="00C723F9" w:rsidP="00EC1064">
      <w:pPr>
        <w:autoSpaceDE w:val="0"/>
        <w:autoSpaceDN w:val="0"/>
        <w:adjustRightInd w:val="0"/>
        <w:rPr>
          <w:rFonts w:cs="Arial"/>
          <w:b/>
          <w:bCs/>
          <w:color w:val="000000" w:themeColor="text1"/>
          <w:szCs w:val="16"/>
        </w:rPr>
      </w:pPr>
      <w:r w:rsidRPr="00781112">
        <w:rPr>
          <w:rFonts w:cs="Arial"/>
          <w:b/>
          <w:bCs/>
          <w:color w:val="000000" w:themeColor="text1"/>
          <w:szCs w:val="16"/>
        </w:rPr>
        <w:t>Choose the appropriate selection and complete all the certification information fields. Then click the "Submit" button to submit your APR.</w:t>
      </w:r>
    </w:p>
    <w:p w14:paraId="01D5737F" w14:textId="0EECE8DE" w:rsidR="00EC1064" w:rsidRPr="00781112" w:rsidRDefault="00EC1064" w:rsidP="00EE0028">
      <w:pPr>
        <w:pStyle w:val="NoSpacing"/>
        <w:rPr>
          <w:rFonts w:ascii="Arial" w:hAnsi="Arial" w:cs="Arial"/>
          <w:b/>
          <w:bCs/>
          <w:color w:val="000000" w:themeColor="text1"/>
          <w:sz w:val="16"/>
          <w:szCs w:val="16"/>
        </w:rPr>
      </w:pPr>
      <w:r w:rsidRPr="00781112">
        <w:rPr>
          <w:rFonts w:ascii="Arial" w:hAnsi="Arial" w:cs="Arial"/>
          <w:b/>
          <w:bCs/>
          <w:color w:val="000000" w:themeColor="text1"/>
          <w:sz w:val="16"/>
          <w:szCs w:val="16"/>
        </w:rPr>
        <w:t>Certify</w:t>
      </w:r>
    </w:p>
    <w:p w14:paraId="55390454" w14:textId="09D075B1"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I certify that I am the Chief State School Officer of the State, or his or her designee, and that the State's submission of its IDEA Part B State Performance Plan/Annual Performance Report is accurate.</w:t>
      </w:r>
    </w:p>
    <w:p w14:paraId="6B93509D" w14:textId="70EDDFDB" w:rsidR="008D2663"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Select the certifier’s role:</w:t>
      </w:r>
    </w:p>
    <w:p w14:paraId="0767E5C8" w14:textId="70B1D176" w:rsidR="00262BC0" w:rsidRPr="00781112" w:rsidRDefault="002B7490" w:rsidP="00262BC0">
      <w:pPr>
        <w:autoSpaceDE w:val="0"/>
        <w:autoSpaceDN w:val="0"/>
        <w:adjustRightInd w:val="0"/>
        <w:rPr>
          <w:rFonts w:cs="Arial"/>
          <w:bCs/>
          <w:color w:val="000000" w:themeColor="text1"/>
          <w:szCs w:val="16"/>
        </w:rPr>
      </w:pPr>
      <w:r w:rsidRPr="00781112">
        <w:rPr>
          <w:rFonts w:cs="Arial"/>
          <w:bCs/>
          <w:color w:val="000000" w:themeColor="text1"/>
          <w:szCs w:val="16"/>
        </w:rPr>
        <w:t>Designated by the Chief State School Officer to certify</w:t>
      </w:r>
    </w:p>
    <w:p w14:paraId="0D4B9819" w14:textId="38C2D4E8"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Name and title of the individual certifying the accuracy of the State's submission of its IDEA Part B State Performance Plan/Annual Performance Report.</w:t>
      </w:r>
    </w:p>
    <w:p w14:paraId="3B5F1CED" w14:textId="77777777" w:rsidR="00755AF7" w:rsidRPr="00781112" w:rsidRDefault="00755AF7" w:rsidP="00755AF7">
      <w:pPr>
        <w:autoSpaceDE w:val="0"/>
        <w:autoSpaceDN w:val="0"/>
        <w:adjustRightInd w:val="0"/>
        <w:rPr>
          <w:rFonts w:cs="Arial"/>
          <w:b/>
          <w:bCs/>
          <w:color w:val="000000" w:themeColor="text1"/>
          <w:szCs w:val="16"/>
        </w:rPr>
      </w:pPr>
      <w:bookmarkStart w:id="92" w:name="_Hlk20318241"/>
      <w:r w:rsidRPr="00781112">
        <w:rPr>
          <w:rFonts w:cs="Arial"/>
          <w:b/>
          <w:bCs/>
          <w:color w:val="000000" w:themeColor="text1"/>
          <w:szCs w:val="16"/>
        </w:rPr>
        <w:t xml:space="preserve">Name: </w:t>
      </w:r>
    </w:p>
    <w:p w14:paraId="4AE58D3C" w14:textId="25F9FA75"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Meredith Jordan</w:t>
      </w:r>
    </w:p>
    <w:p w14:paraId="6368082B" w14:textId="28AD55BD" w:rsidR="00755AF7" w:rsidRPr="00781112" w:rsidRDefault="00EF4A6B"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Title: </w:t>
      </w:r>
    </w:p>
    <w:p w14:paraId="290E3D81" w14:textId="5C618752"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Executive Director of Diverse Learners</w:t>
      </w:r>
    </w:p>
    <w:p w14:paraId="67DC6813" w14:textId="6EF07192" w:rsidR="00755AF7" w:rsidRPr="00781112" w:rsidRDefault="00925E33"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Email: </w:t>
      </w:r>
    </w:p>
    <w:p w14:paraId="0D9187A2" w14:textId="72ED05AF"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meredith.jordan@la.gov</w:t>
      </w:r>
    </w:p>
    <w:p w14:paraId="230D0674" w14:textId="3A323DD4" w:rsidR="00755AF7" w:rsidRPr="00781112" w:rsidRDefault="00EF4A6B" w:rsidP="00755AF7">
      <w:pPr>
        <w:autoSpaceDE w:val="0"/>
        <w:autoSpaceDN w:val="0"/>
        <w:adjustRightInd w:val="0"/>
        <w:rPr>
          <w:rFonts w:cs="Arial"/>
          <w:b/>
          <w:color w:val="000000" w:themeColor="text1"/>
          <w:szCs w:val="16"/>
        </w:rPr>
      </w:pPr>
      <w:r w:rsidRPr="00781112">
        <w:rPr>
          <w:rFonts w:cs="Arial"/>
          <w:b/>
          <w:color w:val="000000" w:themeColor="text1"/>
          <w:szCs w:val="16"/>
        </w:rPr>
        <w:t>Phone:</w:t>
      </w:r>
    </w:p>
    <w:p w14:paraId="5A421E1A" w14:textId="3C4EA133" w:rsidR="00DD2023" w:rsidRPr="00781112" w:rsidRDefault="002B7490" w:rsidP="00DD2023">
      <w:pPr>
        <w:autoSpaceDE w:val="0"/>
        <w:autoSpaceDN w:val="0"/>
        <w:adjustRightInd w:val="0"/>
        <w:rPr>
          <w:rFonts w:cs="Arial"/>
          <w:color w:val="000000" w:themeColor="text1"/>
          <w:szCs w:val="16"/>
        </w:rPr>
      </w:pPr>
      <w:r w:rsidRPr="00781112">
        <w:rPr>
          <w:rFonts w:cs="Arial"/>
          <w:color w:val="000000" w:themeColor="text1"/>
          <w:szCs w:val="16"/>
        </w:rPr>
        <w:t>225-485-5228</w:t>
      </w:r>
    </w:p>
    <w:bookmarkEnd w:id="92"/>
    <w:p w14:paraId="17E495D6" w14:textId="2B4E1FA8" w:rsidR="000657F0" w:rsidRPr="00781112" w:rsidRDefault="00C773DB" w:rsidP="000657F0">
      <w:pPr>
        <w:autoSpaceDE w:val="0"/>
        <w:autoSpaceDN w:val="0"/>
        <w:adjustRightInd w:val="0"/>
        <w:rPr>
          <w:rFonts w:cs="Arial"/>
          <w:b/>
          <w:color w:val="000000" w:themeColor="text1"/>
          <w:szCs w:val="16"/>
        </w:rPr>
      </w:pPr>
      <w:r w:rsidRPr="00781112">
        <w:rPr>
          <w:rFonts w:cs="Arial"/>
          <w:b/>
          <w:color w:val="000000" w:themeColor="text1"/>
          <w:szCs w:val="16"/>
        </w:rPr>
        <w:t>Submitted on:</w:t>
      </w:r>
    </w:p>
    <w:p w14:paraId="3754F1D5" w14:textId="4B3E4991" w:rsidR="000657F0" w:rsidRPr="00781112" w:rsidRDefault="006879FA" w:rsidP="000657F0">
      <w:pPr>
        <w:autoSpaceDE w:val="0"/>
        <w:autoSpaceDN w:val="0"/>
        <w:adjustRightInd w:val="0"/>
        <w:rPr>
          <w:rFonts w:cs="Arial"/>
          <w:color w:val="000000" w:themeColor="text1"/>
          <w:szCs w:val="16"/>
        </w:rPr>
      </w:pPr>
      <w:r w:rsidRPr="00781112">
        <w:rPr>
          <w:rFonts w:cs="Arial"/>
          <w:color w:val="000000" w:themeColor="text1"/>
          <w:szCs w:val="16"/>
        </w:rPr>
        <w:t>04/28/22 10:36:55 PM</w:t>
      </w:r>
    </w:p>
    <w:p w14:paraId="596B3C30" w14:textId="7DA17B2F" w:rsidR="00755AF7" w:rsidRPr="00781112" w:rsidRDefault="00755AF7" w:rsidP="00EE4B59">
      <w:pPr>
        <w:rPr>
          <w:rFonts w:cs="Arial"/>
          <w:color w:val="000000" w:themeColor="text1"/>
          <w:szCs w:val="16"/>
        </w:rPr>
      </w:pPr>
    </w:p>
    <w:sectPr w:rsidR="00755AF7" w:rsidRPr="00781112" w:rsidSect="00651E83">
      <w:footerReference w:type="default" r:id="rId13"/>
      <w:pgSz w:w="12240" w:h="15840" w:code="1"/>
      <w:pgMar w:top="720" w:right="720" w:bottom="720" w:left="720" w:header="720" w:footer="4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27BB6" w14:textId="77777777" w:rsidR="005B45AC" w:rsidRDefault="005B45AC" w:rsidP="000802F7">
      <w:pPr>
        <w:spacing w:before="0" w:after="0"/>
      </w:pPr>
      <w:r>
        <w:separator/>
      </w:r>
    </w:p>
  </w:endnote>
  <w:endnote w:type="continuationSeparator" w:id="0">
    <w:p w14:paraId="7AF3C553" w14:textId="77777777" w:rsidR="005B45AC" w:rsidRDefault="005B45AC" w:rsidP="000802F7">
      <w:pPr>
        <w:spacing w:before="0" w:after="0"/>
      </w:pPr>
      <w:r>
        <w:continuationSeparator/>
      </w:r>
    </w:p>
  </w:endnote>
  <w:endnote w:type="continuationNotice" w:id="1">
    <w:p w14:paraId="3672D5F2" w14:textId="77777777" w:rsidR="005B45AC" w:rsidRDefault="005B45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194661"/>
      <w:docPartObj>
        <w:docPartGallery w:val="Page Numbers (Bottom of Page)"/>
        <w:docPartUnique/>
      </w:docPartObj>
    </w:sdtPr>
    <w:sdtEndPr>
      <w:rPr>
        <w:noProof/>
      </w:rPr>
    </w:sdtEndPr>
    <w:sdtContent>
      <w:p w14:paraId="63D74FF3" w14:textId="5335BFD5" w:rsidR="006B5750" w:rsidRDefault="006B5750" w:rsidP="00A06AB0">
        <w:pPr>
          <w:pStyle w:val="Footer"/>
          <w:jc w:val="right"/>
          <w:rPr>
            <w:noProof/>
          </w:rPr>
        </w:pPr>
        <w:r>
          <w:fldChar w:fldCharType="begin"/>
        </w:r>
        <w:r>
          <w:instrText xml:space="preserve"> PAGE   \* MERGEFORMAT </w:instrText>
        </w:r>
        <w:r>
          <w:fldChar w:fldCharType="separate"/>
        </w:r>
        <w:r w:rsidR="00D832AF">
          <w:rPr>
            <w:noProof/>
          </w:rPr>
          <w:t>2</w:t>
        </w:r>
        <w:r>
          <w:rPr>
            <w:noProof/>
          </w:rPr>
          <w:fldChar w:fldCharType="end"/>
        </w:r>
        <w:r>
          <w:ptab w:relativeTo="margin" w:alignment="right" w:leader="none"/>
        </w:r>
        <w:r>
          <w:t>Part B</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98127" w14:textId="77777777" w:rsidR="005B45AC" w:rsidRDefault="005B45AC" w:rsidP="000802F7">
      <w:pPr>
        <w:spacing w:before="0" w:after="0"/>
      </w:pPr>
      <w:r>
        <w:separator/>
      </w:r>
    </w:p>
  </w:footnote>
  <w:footnote w:type="continuationSeparator" w:id="0">
    <w:p w14:paraId="527E887E" w14:textId="77777777" w:rsidR="005B45AC" w:rsidRDefault="005B45AC" w:rsidP="000802F7">
      <w:pPr>
        <w:spacing w:before="0" w:after="0"/>
      </w:pPr>
      <w:r>
        <w:continuationSeparator/>
      </w:r>
    </w:p>
  </w:footnote>
  <w:footnote w:type="continuationNotice" w:id="1">
    <w:p w14:paraId="51BE2043" w14:textId="77777777" w:rsidR="005B45AC" w:rsidRDefault="005B45A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9.4pt;height:18.85pt;visibility:visible;mso-wrap-style:square" o:bullet="t">
        <v:imagedata r:id="rId1" o:title="" croptop="12526f" cropbottom="7411f" cropleft="12045f" cropright="6359f"/>
      </v:shape>
    </w:pict>
  </w:numPicBullet>
  <w:abstractNum w:abstractNumId="0" w15:restartNumberingAfterBreak="0">
    <w:nsid w:val="012F2171"/>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180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6B21583"/>
    <w:multiLevelType w:val="hybridMultilevel"/>
    <w:tmpl w:val="EF86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729"/>
    <w:multiLevelType w:val="hybridMultilevel"/>
    <w:tmpl w:val="68CE2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632D2"/>
    <w:multiLevelType w:val="hybridMultilevel"/>
    <w:tmpl w:val="F1EC7EEC"/>
    <w:lvl w:ilvl="0" w:tplc="7164A1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2E62E4"/>
    <w:multiLevelType w:val="hybridMultilevel"/>
    <w:tmpl w:val="D1B0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47843"/>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513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1027A06"/>
    <w:multiLevelType w:val="hybridMultilevel"/>
    <w:tmpl w:val="7FB257BC"/>
    <w:lvl w:ilvl="0" w:tplc="14FC5CF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60406"/>
    <w:multiLevelType w:val="hybridMultilevel"/>
    <w:tmpl w:val="2F4E2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66BC4"/>
    <w:multiLevelType w:val="multilevel"/>
    <w:tmpl w:val="3634C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431641"/>
    <w:multiLevelType w:val="hybridMultilevel"/>
    <w:tmpl w:val="D1B0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07332"/>
    <w:multiLevelType w:val="multilevel"/>
    <w:tmpl w:val="3634C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CF3704"/>
    <w:multiLevelType w:val="multilevel"/>
    <w:tmpl w:val="A3D6B32C"/>
    <w:lvl w:ilvl="0">
      <w:start w:val="1"/>
      <w:numFmt w:val="upperLetter"/>
      <w:lvlText w:val="%1."/>
      <w:lvlJc w:val="left"/>
      <w:pPr>
        <w:tabs>
          <w:tab w:val="num" w:pos="-1872"/>
        </w:tabs>
        <w:ind w:left="-1872" w:hanging="360"/>
      </w:pPr>
    </w:lvl>
    <w:lvl w:ilvl="1" w:tentative="1">
      <w:start w:val="1"/>
      <w:numFmt w:val="upperLetter"/>
      <w:lvlText w:val="%2."/>
      <w:lvlJc w:val="left"/>
      <w:pPr>
        <w:tabs>
          <w:tab w:val="num" w:pos="-1152"/>
        </w:tabs>
        <w:ind w:left="-1152" w:hanging="360"/>
      </w:pPr>
    </w:lvl>
    <w:lvl w:ilvl="2" w:tentative="1">
      <w:start w:val="1"/>
      <w:numFmt w:val="upperLetter"/>
      <w:lvlText w:val="%3."/>
      <w:lvlJc w:val="left"/>
      <w:pPr>
        <w:tabs>
          <w:tab w:val="num" w:pos="-432"/>
        </w:tabs>
        <w:ind w:left="-432" w:hanging="360"/>
      </w:pPr>
    </w:lvl>
    <w:lvl w:ilvl="3" w:tentative="1">
      <w:start w:val="1"/>
      <w:numFmt w:val="upperLetter"/>
      <w:lvlText w:val="%4."/>
      <w:lvlJc w:val="left"/>
      <w:pPr>
        <w:tabs>
          <w:tab w:val="num" w:pos="288"/>
        </w:tabs>
        <w:ind w:left="288" w:hanging="360"/>
      </w:pPr>
    </w:lvl>
    <w:lvl w:ilvl="4" w:tentative="1">
      <w:start w:val="1"/>
      <w:numFmt w:val="upperLetter"/>
      <w:lvlText w:val="%5."/>
      <w:lvlJc w:val="left"/>
      <w:pPr>
        <w:tabs>
          <w:tab w:val="num" w:pos="1008"/>
        </w:tabs>
        <w:ind w:left="1008" w:hanging="360"/>
      </w:pPr>
    </w:lvl>
    <w:lvl w:ilvl="5" w:tentative="1">
      <w:start w:val="1"/>
      <w:numFmt w:val="upperLetter"/>
      <w:lvlText w:val="%6."/>
      <w:lvlJc w:val="left"/>
      <w:pPr>
        <w:tabs>
          <w:tab w:val="num" w:pos="1728"/>
        </w:tabs>
        <w:ind w:left="1728" w:hanging="360"/>
      </w:pPr>
    </w:lvl>
    <w:lvl w:ilvl="6" w:tentative="1">
      <w:start w:val="1"/>
      <w:numFmt w:val="upperLetter"/>
      <w:lvlText w:val="%7."/>
      <w:lvlJc w:val="left"/>
      <w:pPr>
        <w:tabs>
          <w:tab w:val="num" w:pos="2448"/>
        </w:tabs>
        <w:ind w:left="2448" w:hanging="360"/>
      </w:pPr>
    </w:lvl>
    <w:lvl w:ilvl="7" w:tentative="1">
      <w:start w:val="1"/>
      <w:numFmt w:val="upperLetter"/>
      <w:lvlText w:val="%8."/>
      <w:lvlJc w:val="left"/>
      <w:pPr>
        <w:tabs>
          <w:tab w:val="num" w:pos="3168"/>
        </w:tabs>
        <w:ind w:left="3168" w:hanging="360"/>
      </w:pPr>
    </w:lvl>
    <w:lvl w:ilvl="8" w:tentative="1">
      <w:start w:val="1"/>
      <w:numFmt w:val="upperLetter"/>
      <w:lvlText w:val="%9."/>
      <w:lvlJc w:val="left"/>
      <w:pPr>
        <w:tabs>
          <w:tab w:val="num" w:pos="3888"/>
        </w:tabs>
        <w:ind w:left="3888" w:hanging="360"/>
      </w:pPr>
    </w:lvl>
  </w:abstractNum>
  <w:abstractNum w:abstractNumId="13" w15:restartNumberingAfterBreak="0">
    <w:nsid w:val="422844CA"/>
    <w:multiLevelType w:val="hybridMultilevel"/>
    <w:tmpl w:val="3D0C4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113B8"/>
    <w:multiLevelType w:val="multilevel"/>
    <w:tmpl w:val="D5384910"/>
    <w:lvl w:ilvl="0">
      <w:start w:val="1"/>
      <w:numFmt w:val="decimal"/>
      <w:lvlText w:val="%1."/>
      <w:lvlJc w:val="left"/>
      <w:pPr>
        <w:tabs>
          <w:tab w:val="num" w:pos="720"/>
        </w:tabs>
        <w:ind w:left="720" w:hanging="360"/>
      </w:pPr>
      <w:rPr>
        <w:rFonts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3242C"/>
    <w:multiLevelType w:val="hybridMultilevel"/>
    <w:tmpl w:val="D6F2A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645C8"/>
    <w:multiLevelType w:val="multilevel"/>
    <w:tmpl w:val="A770E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BFB0294"/>
    <w:multiLevelType w:val="hybridMultilevel"/>
    <w:tmpl w:val="79147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B21CF"/>
    <w:multiLevelType w:val="hybridMultilevel"/>
    <w:tmpl w:val="8188E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B20DE9"/>
    <w:multiLevelType w:val="hybridMultilevel"/>
    <w:tmpl w:val="9566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1E6CA2"/>
    <w:multiLevelType w:val="hybridMultilevel"/>
    <w:tmpl w:val="95FA46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C2488"/>
    <w:multiLevelType w:val="hybridMultilevel"/>
    <w:tmpl w:val="5A40C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D1543"/>
    <w:multiLevelType w:val="hybridMultilevel"/>
    <w:tmpl w:val="BE50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21"/>
  </w:num>
  <w:num w:numId="4">
    <w:abstractNumId w:val="25"/>
  </w:num>
  <w:num w:numId="5">
    <w:abstractNumId w:val="0"/>
  </w:num>
  <w:num w:numId="6">
    <w:abstractNumId w:val="16"/>
  </w:num>
  <w:num w:numId="7">
    <w:abstractNumId w:val="8"/>
  </w:num>
  <w:num w:numId="8">
    <w:abstractNumId w:val="10"/>
  </w:num>
  <w:num w:numId="9">
    <w:abstractNumId w:val="12"/>
  </w:num>
  <w:num w:numId="10">
    <w:abstractNumId w:val="14"/>
  </w:num>
  <w:num w:numId="11">
    <w:abstractNumId w:val="18"/>
  </w:num>
  <w:num w:numId="12">
    <w:abstractNumId w:val="20"/>
  </w:num>
  <w:num w:numId="13">
    <w:abstractNumId w:val="9"/>
  </w:num>
  <w:num w:numId="14">
    <w:abstractNumId w:val="15"/>
  </w:num>
  <w:num w:numId="15">
    <w:abstractNumId w:val="13"/>
  </w:num>
  <w:num w:numId="16">
    <w:abstractNumId w:val="22"/>
  </w:num>
  <w:num w:numId="17">
    <w:abstractNumId w:val="2"/>
  </w:num>
  <w:num w:numId="18">
    <w:abstractNumId w:val="7"/>
  </w:num>
  <w:num w:numId="19">
    <w:abstractNumId w:val="1"/>
  </w:num>
  <w:num w:numId="20">
    <w:abstractNumId w:val="19"/>
  </w:num>
  <w:num w:numId="21">
    <w:abstractNumId w:val="24"/>
  </w:num>
  <w:num w:numId="22">
    <w:abstractNumId w:val="6"/>
  </w:num>
  <w:num w:numId="23">
    <w:abstractNumId w:val="3"/>
  </w:num>
  <w:num w:numId="24">
    <w:abstractNumId w:val="4"/>
  </w:num>
  <w:num w:numId="25">
    <w:abstractNumId w:val="5"/>
  </w:num>
  <w:num w:numId="2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s-ES" w:vendorID="64" w:dllVersion="131078" w:nlCheck="1" w:checkStyle="0"/>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69"/>
    <w:rsid w:val="0000024B"/>
    <w:rsid w:val="00000E77"/>
    <w:rsid w:val="000013E5"/>
    <w:rsid w:val="00001EAE"/>
    <w:rsid w:val="00002320"/>
    <w:rsid w:val="00002962"/>
    <w:rsid w:val="00002B25"/>
    <w:rsid w:val="00002D92"/>
    <w:rsid w:val="00002E37"/>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27B"/>
    <w:rsid w:val="000124F7"/>
    <w:rsid w:val="00013138"/>
    <w:rsid w:val="0001550D"/>
    <w:rsid w:val="00015D55"/>
    <w:rsid w:val="0001707D"/>
    <w:rsid w:val="00017940"/>
    <w:rsid w:val="00017BA7"/>
    <w:rsid w:val="000209D6"/>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1560"/>
    <w:rsid w:val="00031A91"/>
    <w:rsid w:val="00031C3A"/>
    <w:rsid w:val="00031E3A"/>
    <w:rsid w:val="00032548"/>
    <w:rsid w:val="0003292C"/>
    <w:rsid w:val="00032930"/>
    <w:rsid w:val="00032AC4"/>
    <w:rsid w:val="00032DB1"/>
    <w:rsid w:val="00033474"/>
    <w:rsid w:val="000336AC"/>
    <w:rsid w:val="00033723"/>
    <w:rsid w:val="00034A81"/>
    <w:rsid w:val="000360A5"/>
    <w:rsid w:val="000367A3"/>
    <w:rsid w:val="00036AA4"/>
    <w:rsid w:val="00040BA5"/>
    <w:rsid w:val="00041274"/>
    <w:rsid w:val="000417B4"/>
    <w:rsid w:val="00041E27"/>
    <w:rsid w:val="00041FD3"/>
    <w:rsid w:val="0004359A"/>
    <w:rsid w:val="000437FD"/>
    <w:rsid w:val="00043AAB"/>
    <w:rsid w:val="00043AC9"/>
    <w:rsid w:val="000444E2"/>
    <w:rsid w:val="00044883"/>
    <w:rsid w:val="00044B5C"/>
    <w:rsid w:val="00045F9F"/>
    <w:rsid w:val="00046488"/>
    <w:rsid w:val="00046969"/>
    <w:rsid w:val="00046BF9"/>
    <w:rsid w:val="000477FF"/>
    <w:rsid w:val="00047CB5"/>
    <w:rsid w:val="00051B61"/>
    <w:rsid w:val="0005247A"/>
    <w:rsid w:val="000526F6"/>
    <w:rsid w:val="00052E15"/>
    <w:rsid w:val="000532EB"/>
    <w:rsid w:val="00053391"/>
    <w:rsid w:val="000533D7"/>
    <w:rsid w:val="00053795"/>
    <w:rsid w:val="00053DFE"/>
    <w:rsid w:val="000545D2"/>
    <w:rsid w:val="00054985"/>
    <w:rsid w:val="00054A60"/>
    <w:rsid w:val="00054C7A"/>
    <w:rsid w:val="00054FA8"/>
    <w:rsid w:val="000550B2"/>
    <w:rsid w:val="00055BD1"/>
    <w:rsid w:val="00055C7A"/>
    <w:rsid w:val="00055FC7"/>
    <w:rsid w:val="00056350"/>
    <w:rsid w:val="00056758"/>
    <w:rsid w:val="00056F03"/>
    <w:rsid w:val="00057843"/>
    <w:rsid w:val="000578BA"/>
    <w:rsid w:val="0006058A"/>
    <w:rsid w:val="00060ADC"/>
    <w:rsid w:val="000618B4"/>
    <w:rsid w:val="00061AB2"/>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8E0"/>
    <w:rsid w:val="00066BAA"/>
    <w:rsid w:val="00066F3E"/>
    <w:rsid w:val="00067654"/>
    <w:rsid w:val="00067C04"/>
    <w:rsid w:val="00070D9E"/>
    <w:rsid w:val="00071D42"/>
    <w:rsid w:val="00072B99"/>
    <w:rsid w:val="00072BBA"/>
    <w:rsid w:val="00072FEE"/>
    <w:rsid w:val="00073047"/>
    <w:rsid w:val="00074237"/>
    <w:rsid w:val="000743D6"/>
    <w:rsid w:val="00074B33"/>
    <w:rsid w:val="000778C9"/>
    <w:rsid w:val="000802F7"/>
    <w:rsid w:val="000806CC"/>
    <w:rsid w:val="00080D36"/>
    <w:rsid w:val="00080EBD"/>
    <w:rsid w:val="00082667"/>
    <w:rsid w:val="000829BF"/>
    <w:rsid w:val="0008392B"/>
    <w:rsid w:val="0008402E"/>
    <w:rsid w:val="0008434A"/>
    <w:rsid w:val="000845C1"/>
    <w:rsid w:val="000847AD"/>
    <w:rsid w:val="00084FF1"/>
    <w:rsid w:val="000850E1"/>
    <w:rsid w:val="00085111"/>
    <w:rsid w:val="00085C21"/>
    <w:rsid w:val="00085D89"/>
    <w:rsid w:val="000867D7"/>
    <w:rsid w:val="0008752B"/>
    <w:rsid w:val="00087EB9"/>
    <w:rsid w:val="00090132"/>
    <w:rsid w:val="000901D6"/>
    <w:rsid w:val="000903A7"/>
    <w:rsid w:val="00090C2F"/>
    <w:rsid w:val="000915A3"/>
    <w:rsid w:val="00091A40"/>
    <w:rsid w:val="00091DB2"/>
    <w:rsid w:val="000923A7"/>
    <w:rsid w:val="00092636"/>
    <w:rsid w:val="00092E0A"/>
    <w:rsid w:val="000948DD"/>
    <w:rsid w:val="00095491"/>
    <w:rsid w:val="00096442"/>
    <w:rsid w:val="0009692C"/>
    <w:rsid w:val="00096A50"/>
    <w:rsid w:val="00096F71"/>
    <w:rsid w:val="00097249"/>
    <w:rsid w:val="000977EB"/>
    <w:rsid w:val="000A01AC"/>
    <w:rsid w:val="000A0593"/>
    <w:rsid w:val="000A1594"/>
    <w:rsid w:val="000A18ED"/>
    <w:rsid w:val="000A1989"/>
    <w:rsid w:val="000A2C83"/>
    <w:rsid w:val="000A2E95"/>
    <w:rsid w:val="000A32F4"/>
    <w:rsid w:val="000A4757"/>
    <w:rsid w:val="000A49CD"/>
    <w:rsid w:val="000A4CDC"/>
    <w:rsid w:val="000A4ED6"/>
    <w:rsid w:val="000A4FD8"/>
    <w:rsid w:val="000A5A2E"/>
    <w:rsid w:val="000A66A9"/>
    <w:rsid w:val="000A6CA4"/>
    <w:rsid w:val="000A7001"/>
    <w:rsid w:val="000A7A15"/>
    <w:rsid w:val="000A7D7D"/>
    <w:rsid w:val="000B050E"/>
    <w:rsid w:val="000B0DE4"/>
    <w:rsid w:val="000B10B1"/>
    <w:rsid w:val="000B1A1B"/>
    <w:rsid w:val="000B1F9C"/>
    <w:rsid w:val="000B29F8"/>
    <w:rsid w:val="000B2A70"/>
    <w:rsid w:val="000B2C26"/>
    <w:rsid w:val="000B2DCB"/>
    <w:rsid w:val="000B3578"/>
    <w:rsid w:val="000B3A11"/>
    <w:rsid w:val="000B3D92"/>
    <w:rsid w:val="000B4405"/>
    <w:rsid w:val="000B4AA4"/>
    <w:rsid w:val="000B547A"/>
    <w:rsid w:val="000B56BA"/>
    <w:rsid w:val="000B5823"/>
    <w:rsid w:val="000B60CA"/>
    <w:rsid w:val="000B7132"/>
    <w:rsid w:val="000B7462"/>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71F1"/>
    <w:rsid w:val="000C7B90"/>
    <w:rsid w:val="000D03F2"/>
    <w:rsid w:val="000D0EE0"/>
    <w:rsid w:val="000D1580"/>
    <w:rsid w:val="000D2287"/>
    <w:rsid w:val="000D289C"/>
    <w:rsid w:val="000D2EA7"/>
    <w:rsid w:val="000D3273"/>
    <w:rsid w:val="000D3CAE"/>
    <w:rsid w:val="000D3DAA"/>
    <w:rsid w:val="000D3ED8"/>
    <w:rsid w:val="000D3EDF"/>
    <w:rsid w:val="000D3F12"/>
    <w:rsid w:val="000D4537"/>
    <w:rsid w:val="000D4C8D"/>
    <w:rsid w:val="000D6C5B"/>
    <w:rsid w:val="000D6EC4"/>
    <w:rsid w:val="000D746C"/>
    <w:rsid w:val="000D79AE"/>
    <w:rsid w:val="000E04D6"/>
    <w:rsid w:val="000E0C95"/>
    <w:rsid w:val="000E0EBC"/>
    <w:rsid w:val="000E1C83"/>
    <w:rsid w:val="000E1FC6"/>
    <w:rsid w:val="000E206D"/>
    <w:rsid w:val="000E23B5"/>
    <w:rsid w:val="000E2A52"/>
    <w:rsid w:val="000E30A8"/>
    <w:rsid w:val="000E33D0"/>
    <w:rsid w:val="000E3445"/>
    <w:rsid w:val="000E4061"/>
    <w:rsid w:val="000E4594"/>
    <w:rsid w:val="000E4B9A"/>
    <w:rsid w:val="000E4EE2"/>
    <w:rsid w:val="000E56FA"/>
    <w:rsid w:val="000E62E5"/>
    <w:rsid w:val="000E6823"/>
    <w:rsid w:val="000E6948"/>
    <w:rsid w:val="000E7E94"/>
    <w:rsid w:val="000F0525"/>
    <w:rsid w:val="000F0806"/>
    <w:rsid w:val="000F0D59"/>
    <w:rsid w:val="000F0FCB"/>
    <w:rsid w:val="000F1792"/>
    <w:rsid w:val="000F1C34"/>
    <w:rsid w:val="000F256B"/>
    <w:rsid w:val="000F2A59"/>
    <w:rsid w:val="000F2A8B"/>
    <w:rsid w:val="000F40CF"/>
    <w:rsid w:val="000F435D"/>
    <w:rsid w:val="000F4C46"/>
    <w:rsid w:val="000F4E22"/>
    <w:rsid w:val="000F4F37"/>
    <w:rsid w:val="000F66B8"/>
    <w:rsid w:val="000F670E"/>
    <w:rsid w:val="000F7196"/>
    <w:rsid w:val="000F7399"/>
    <w:rsid w:val="000F76DD"/>
    <w:rsid w:val="000F7A89"/>
    <w:rsid w:val="000F7C7C"/>
    <w:rsid w:val="000F7CF3"/>
    <w:rsid w:val="001011BB"/>
    <w:rsid w:val="0010168C"/>
    <w:rsid w:val="00101CA5"/>
    <w:rsid w:val="0010203A"/>
    <w:rsid w:val="00102505"/>
    <w:rsid w:val="00102C3C"/>
    <w:rsid w:val="00102F19"/>
    <w:rsid w:val="00102FA3"/>
    <w:rsid w:val="00104B17"/>
    <w:rsid w:val="0010510A"/>
    <w:rsid w:val="00105DC4"/>
    <w:rsid w:val="00105F98"/>
    <w:rsid w:val="001061C0"/>
    <w:rsid w:val="00106D71"/>
    <w:rsid w:val="00107406"/>
    <w:rsid w:val="0010785B"/>
    <w:rsid w:val="00107F32"/>
    <w:rsid w:val="00107FAE"/>
    <w:rsid w:val="0011074D"/>
    <w:rsid w:val="001111BE"/>
    <w:rsid w:val="0011161A"/>
    <w:rsid w:val="001126C3"/>
    <w:rsid w:val="00112F4D"/>
    <w:rsid w:val="00113CE9"/>
    <w:rsid w:val="001142DE"/>
    <w:rsid w:val="0011547F"/>
    <w:rsid w:val="001156D2"/>
    <w:rsid w:val="00115CDA"/>
    <w:rsid w:val="00116D0B"/>
    <w:rsid w:val="00117490"/>
    <w:rsid w:val="00117588"/>
    <w:rsid w:val="00117696"/>
    <w:rsid w:val="00117952"/>
    <w:rsid w:val="001203FA"/>
    <w:rsid w:val="00120808"/>
    <w:rsid w:val="00121709"/>
    <w:rsid w:val="00122103"/>
    <w:rsid w:val="0012230D"/>
    <w:rsid w:val="00122384"/>
    <w:rsid w:val="001225CB"/>
    <w:rsid w:val="00123D76"/>
    <w:rsid w:val="00123FF7"/>
    <w:rsid w:val="00124025"/>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16B1"/>
    <w:rsid w:val="00131842"/>
    <w:rsid w:val="00131F82"/>
    <w:rsid w:val="001323A5"/>
    <w:rsid w:val="00132EE9"/>
    <w:rsid w:val="001336AE"/>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D9"/>
    <w:rsid w:val="001465F2"/>
    <w:rsid w:val="00146BB0"/>
    <w:rsid w:val="00146C28"/>
    <w:rsid w:val="00146FBA"/>
    <w:rsid w:val="001474EC"/>
    <w:rsid w:val="0014778D"/>
    <w:rsid w:val="00150A68"/>
    <w:rsid w:val="00150B3B"/>
    <w:rsid w:val="00151F97"/>
    <w:rsid w:val="0015313D"/>
    <w:rsid w:val="00153F2D"/>
    <w:rsid w:val="001542AE"/>
    <w:rsid w:val="00156264"/>
    <w:rsid w:val="00156865"/>
    <w:rsid w:val="0015691B"/>
    <w:rsid w:val="00156C67"/>
    <w:rsid w:val="00156F30"/>
    <w:rsid w:val="001603DE"/>
    <w:rsid w:val="001604F3"/>
    <w:rsid w:val="00160856"/>
    <w:rsid w:val="00160D96"/>
    <w:rsid w:val="001612CB"/>
    <w:rsid w:val="00161D1D"/>
    <w:rsid w:val="001628C0"/>
    <w:rsid w:val="00162F4A"/>
    <w:rsid w:val="001633A0"/>
    <w:rsid w:val="0016350F"/>
    <w:rsid w:val="001638EB"/>
    <w:rsid w:val="00163AF4"/>
    <w:rsid w:val="00163BEE"/>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86"/>
    <w:rsid w:val="0017335B"/>
    <w:rsid w:val="001739F9"/>
    <w:rsid w:val="00173DFE"/>
    <w:rsid w:val="001744F9"/>
    <w:rsid w:val="00174662"/>
    <w:rsid w:val="00174B9B"/>
    <w:rsid w:val="001750A0"/>
    <w:rsid w:val="00175656"/>
    <w:rsid w:val="001756FB"/>
    <w:rsid w:val="00175845"/>
    <w:rsid w:val="00175D9B"/>
    <w:rsid w:val="001773E7"/>
    <w:rsid w:val="00177BC6"/>
    <w:rsid w:val="00177E7A"/>
    <w:rsid w:val="00177EC7"/>
    <w:rsid w:val="001806EA"/>
    <w:rsid w:val="00181070"/>
    <w:rsid w:val="001829C9"/>
    <w:rsid w:val="00182B26"/>
    <w:rsid w:val="001831D2"/>
    <w:rsid w:val="001835EE"/>
    <w:rsid w:val="00183E9B"/>
    <w:rsid w:val="001843C6"/>
    <w:rsid w:val="00185BA9"/>
    <w:rsid w:val="00186309"/>
    <w:rsid w:val="0018657A"/>
    <w:rsid w:val="00186964"/>
    <w:rsid w:val="001875AF"/>
    <w:rsid w:val="00190104"/>
    <w:rsid w:val="00191350"/>
    <w:rsid w:val="0019260C"/>
    <w:rsid w:val="00193321"/>
    <w:rsid w:val="00194AD8"/>
    <w:rsid w:val="001955AC"/>
    <w:rsid w:val="001965F5"/>
    <w:rsid w:val="00196B54"/>
    <w:rsid w:val="00196BEB"/>
    <w:rsid w:val="00196CE6"/>
    <w:rsid w:val="00196F4B"/>
    <w:rsid w:val="001A0637"/>
    <w:rsid w:val="001A0C28"/>
    <w:rsid w:val="001A189D"/>
    <w:rsid w:val="001A1ABA"/>
    <w:rsid w:val="001A2D6A"/>
    <w:rsid w:val="001A342F"/>
    <w:rsid w:val="001A3539"/>
    <w:rsid w:val="001A3BEB"/>
    <w:rsid w:val="001A582D"/>
    <w:rsid w:val="001A5EEE"/>
    <w:rsid w:val="001A60EE"/>
    <w:rsid w:val="001A6B81"/>
    <w:rsid w:val="001A6E55"/>
    <w:rsid w:val="001B07D3"/>
    <w:rsid w:val="001B12D3"/>
    <w:rsid w:val="001B1437"/>
    <w:rsid w:val="001B16F4"/>
    <w:rsid w:val="001B1B38"/>
    <w:rsid w:val="001B1E5C"/>
    <w:rsid w:val="001B2FFF"/>
    <w:rsid w:val="001B30DB"/>
    <w:rsid w:val="001B3D85"/>
    <w:rsid w:val="001B43E4"/>
    <w:rsid w:val="001B45DD"/>
    <w:rsid w:val="001B4AF7"/>
    <w:rsid w:val="001B5174"/>
    <w:rsid w:val="001B5210"/>
    <w:rsid w:val="001B560A"/>
    <w:rsid w:val="001B5817"/>
    <w:rsid w:val="001B5AFB"/>
    <w:rsid w:val="001B7525"/>
    <w:rsid w:val="001B75FD"/>
    <w:rsid w:val="001B7C2C"/>
    <w:rsid w:val="001B7E95"/>
    <w:rsid w:val="001C00E2"/>
    <w:rsid w:val="001C05DB"/>
    <w:rsid w:val="001C0D43"/>
    <w:rsid w:val="001C23B6"/>
    <w:rsid w:val="001C2B29"/>
    <w:rsid w:val="001C2BF0"/>
    <w:rsid w:val="001C2E4E"/>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A0A"/>
    <w:rsid w:val="001D6B3B"/>
    <w:rsid w:val="001D6BA5"/>
    <w:rsid w:val="001D7011"/>
    <w:rsid w:val="001D71B6"/>
    <w:rsid w:val="001E0824"/>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870"/>
    <w:rsid w:val="001F2C34"/>
    <w:rsid w:val="001F2DC7"/>
    <w:rsid w:val="001F32F8"/>
    <w:rsid w:val="001F361D"/>
    <w:rsid w:val="001F3A65"/>
    <w:rsid w:val="001F3A6C"/>
    <w:rsid w:val="001F448F"/>
    <w:rsid w:val="001F4991"/>
    <w:rsid w:val="001F4C9D"/>
    <w:rsid w:val="001F5453"/>
    <w:rsid w:val="001F57DF"/>
    <w:rsid w:val="001F64DB"/>
    <w:rsid w:val="001F6583"/>
    <w:rsid w:val="001F692C"/>
    <w:rsid w:val="001F6A28"/>
    <w:rsid w:val="001F6BAA"/>
    <w:rsid w:val="001F7049"/>
    <w:rsid w:val="001F7C95"/>
    <w:rsid w:val="002002C8"/>
    <w:rsid w:val="00200745"/>
    <w:rsid w:val="00200DF4"/>
    <w:rsid w:val="0020141B"/>
    <w:rsid w:val="00201889"/>
    <w:rsid w:val="00202A6D"/>
    <w:rsid w:val="002043C7"/>
    <w:rsid w:val="0020456D"/>
    <w:rsid w:val="002049CF"/>
    <w:rsid w:val="00204FB9"/>
    <w:rsid w:val="00205239"/>
    <w:rsid w:val="0020552B"/>
    <w:rsid w:val="00205E6B"/>
    <w:rsid w:val="00206890"/>
    <w:rsid w:val="00207D31"/>
    <w:rsid w:val="00210D18"/>
    <w:rsid w:val="00210F75"/>
    <w:rsid w:val="0021110D"/>
    <w:rsid w:val="00211617"/>
    <w:rsid w:val="00211DCE"/>
    <w:rsid w:val="00212954"/>
    <w:rsid w:val="00212E92"/>
    <w:rsid w:val="00214263"/>
    <w:rsid w:val="0021481D"/>
    <w:rsid w:val="0021530B"/>
    <w:rsid w:val="00215E33"/>
    <w:rsid w:val="00217F33"/>
    <w:rsid w:val="00220311"/>
    <w:rsid w:val="002203FA"/>
    <w:rsid w:val="0022093F"/>
    <w:rsid w:val="002210FB"/>
    <w:rsid w:val="00221206"/>
    <w:rsid w:val="00221EC9"/>
    <w:rsid w:val="002223BB"/>
    <w:rsid w:val="00222B7B"/>
    <w:rsid w:val="00224107"/>
    <w:rsid w:val="0022535C"/>
    <w:rsid w:val="00225CD5"/>
    <w:rsid w:val="00227DE4"/>
    <w:rsid w:val="00227E23"/>
    <w:rsid w:val="00230E4A"/>
    <w:rsid w:val="00230EE6"/>
    <w:rsid w:val="002318F8"/>
    <w:rsid w:val="002330FF"/>
    <w:rsid w:val="00233191"/>
    <w:rsid w:val="00233230"/>
    <w:rsid w:val="00233913"/>
    <w:rsid w:val="002342E5"/>
    <w:rsid w:val="002349E3"/>
    <w:rsid w:val="002349E5"/>
    <w:rsid w:val="0023537B"/>
    <w:rsid w:val="0023569F"/>
    <w:rsid w:val="002374DE"/>
    <w:rsid w:val="0024014D"/>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915"/>
    <w:rsid w:val="002477AC"/>
    <w:rsid w:val="00247959"/>
    <w:rsid w:val="00250278"/>
    <w:rsid w:val="002507BC"/>
    <w:rsid w:val="00250A97"/>
    <w:rsid w:val="00250BEA"/>
    <w:rsid w:val="00250E0A"/>
    <w:rsid w:val="00251098"/>
    <w:rsid w:val="00251242"/>
    <w:rsid w:val="002518F2"/>
    <w:rsid w:val="00251CC0"/>
    <w:rsid w:val="002522EB"/>
    <w:rsid w:val="002523BB"/>
    <w:rsid w:val="002529C8"/>
    <w:rsid w:val="00253252"/>
    <w:rsid w:val="0025343C"/>
    <w:rsid w:val="002536C1"/>
    <w:rsid w:val="00255E0E"/>
    <w:rsid w:val="0025687D"/>
    <w:rsid w:val="00256998"/>
    <w:rsid w:val="00256FF8"/>
    <w:rsid w:val="002602A9"/>
    <w:rsid w:val="00260D94"/>
    <w:rsid w:val="00260DBA"/>
    <w:rsid w:val="002621F6"/>
    <w:rsid w:val="002623CD"/>
    <w:rsid w:val="00262BC0"/>
    <w:rsid w:val="002639F2"/>
    <w:rsid w:val="00264AC4"/>
    <w:rsid w:val="00264D70"/>
    <w:rsid w:val="002651D2"/>
    <w:rsid w:val="00265DF6"/>
    <w:rsid w:val="00266107"/>
    <w:rsid w:val="002666D1"/>
    <w:rsid w:val="002667EA"/>
    <w:rsid w:val="00267199"/>
    <w:rsid w:val="0026766C"/>
    <w:rsid w:val="002676A2"/>
    <w:rsid w:val="00270239"/>
    <w:rsid w:val="00271656"/>
    <w:rsid w:val="00271E37"/>
    <w:rsid w:val="00273A95"/>
    <w:rsid w:val="002742D7"/>
    <w:rsid w:val="0027466E"/>
    <w:rsid w:val="00274A01"/>
    <w:rsid w:val="002764FB"/>
    <w:rsid w:val="002768DB"/>
    <w:rsid w:val="002772F4"/>
    <w:rsid w:val="00277C0C"/>
    <w:rsid w:val="00277FC9"/>
    <w:rsid w:val="0028078A"/>
    <w:rsid w:val="00280C06"/>
    <w:rsid w:val="00280FC8"/>
    <w:rsid w:val="0028126A"/>
    <w:rsid w:val="002813C2"/>
    <w:rsid w:val="002816F8"/>
    <w:rsid w:val="00281D27"/>
    <w:rsid w:val="0028232F"/>
    <w:rsid w:val="002824BD"/>
    <w:rsid w:val="002839AD"/>
    <w:rsid w:val="00283A6E"/>
    <w:rsid w:val="00283B9B"/>
    <w:rsid w:val="00283E11"/>
    <w:rsid w:val="002842DB"/>
    <w:rsid w:val="0028448A"/>
    <w:rsid w:val="00284EF7"/>
    <w:rsid w:val="00284FB1"/>
    <w:rsid w:val="0028570E"/>
    <w:rsid w:val="00285DF4"/>
    <w:rsid w:val="00285F70"/>
    <w:rsid w:val="002860EA"/>
    <w:rsid w:val="00286999"/>
    <w:rsid w:val="00286AE2"/>
    <w:rsid w:val="00286BDF"/>
    <w:rsid w:val="00287DAC"/>
    <w:rsid w:val="00287E73"/>
    <w:rsid w:val="002908CD"/>
    <w:rsid w:val="0029150F"/>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1641"/>
    <w:rsid w:val="002A19C8"/>
    <w:rsid w:val="002A1EAC"/>
    <w:rsid w:val="002A2503"/>
    <w:rsid w:val="002A2781"/>
    <w:rsid w:val="002A2A1B"/>
    <w:rsid w:val="002A3A93"/>
    <w:rsid w:val="002A4DA7"/>
    <w:rsid w:val="002A4FB3"/>
    <w:rsid w:val="002A568B"/>
    <w:rsid w:val="002A5ACF"/>
    <w:rsid w:val="002A5C3B"/>
    <w:rsid w:val="002A5E4E"/>
    <w:rsid w:val="002A6E26"/>
    <w:rsid w:val="002A70AC"/>
    <w:rsid w:val="002B0988"/>
    <w:rsid w:val="002B10E9"/>
    <w:rsid w:val="002B14DF"/>
    <w:rsid w:val="002B15AD"/>
    <w:rsid w:val="002B4010"/>
    <w:rsid w:val="002B481B"/>
    <w:rsid w:val="002B4BE3"/>
    <w:rsid w:val="002B4D97"/>
    <w:rsid w:val="002B5631"/>
    <w:rsid w:val="002B646E"/>
    <w:rsid w:val="002B6555"/>
    <w:rsid w:val="002B68F9"/>
    <w:rsid w:val="002B6949"/>
    <w:rsid w:val="002B6965"/>
    <w:rsid w:val="002B7490"/>
    <w:rsid w:val="002B7F41"/>
    <w:rsid w:val="002C02F9"/>
    <w:rsid w:val="002C11D6"/>
    <w:rsid w:val="002C207A"/>
    <w:rsid w:val="002C32D7"/>
    <w:rsid w:val="002C3413"/>
    <w:rsid w:val="002C3D51"/>
    <w:rsid w:val="002C43CF"/>
    <w:rsid w:val="002C5259"/>
    <w:rsid w:val="002C5A1B"/>
    <w:rsid w:val="002C60D5"/>
    <w:rsid w:val="002C68A2"/>
    <w:rsid w:val="002C6B70"/>
    <w:rsid w:val="002C705B"/>
    <w:rsid w:val="002C72EA"/>
    <w:rsid w:val="002C7DA3"/>
    <w:rsid w:val="002D0871"/>
    <w:rsid w:val="002D0922"/>
    <w:rsid w:val="002D0CFA"/>
    <w:rsid w:val="002D145D"/>
    <w:rsid w:val="002D15D3"/>
    <w:rsid w:val="002D1C51"/>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111A"/>
    <w:rsid w:val="002E1710"/>
    <w:rsid w:val="002E1751"/>
    <w:rsid w:val="002E1E70"/>
    <w:rsid w:val="002E346C"/>
    <w:rsid w:val="002E4104"/>
    <w:rsid w:val="002E456C"/>
    <w:rsid w:val="002E49AA"/>
    <w:rsid w:val="002E4D4F"/>
    <w:rsid w:val="002E5136"/>
    <w:rsid w:val="002E52B9"/>
    <w:rsid w:val="002E66C4"/>
    <w:rsid w:val="002E69D1"/>
    <w:rsid w:val="002E763A"/>
    <w:rsid w:val="002E7868"/>
    <w:rsid w:val="002F0129"/>
    <w:rsid w:val="002F088C"/>
    <w:rsid w:val="002F09C5"/>
    <w:rsid w:val="002F0F0A"/>
    <w:rsid w:val="002F0F0E"/>
    <w:rsid w:val="002F1D27"/>
    <w:rsid w:val="002F2379"/>
    <w:rsid w:val="002F3163"/>
    <w:rsid w:val="002F44F9"/>
    <w:rsid w:val="002F5568"/>
    <w:rsid w:val="002F5F54"/>
    <w:rsid w:val="002F6CA7"/>
    <w:rsid w:val="002F7D07"/>
    <w:rsid w:val="00300258"/>
    <w:rsid w:val="003008E2"/>
    <w:rsid w:val="00300CF4"/>
    <w:rsid w:val="00301FD0"/>
    <w:rsid w:val="00302CA6"/>
    <w:rsid w:val="00302CD0"/>
    <w:rsid w:val="003031B5"/>
    <w:rsid w:val="0030359D"/>
    <w:rsid w:val="0030500A"/>
    <w:rsid w:val="003053C8"/>
    <w:rsid w:val="00305458"/>
    <w:rsid w:val="00306032"/>
    <w:rsid w:val="0030619F"/>
    <w:rsid w:val="0030668A"/>
    <w:rsid w:val="003066D7"/>
    <w:rsid w:val="003068D4"/>
    <w:rsid w:val="003069AE"/>
    <w:rsid w:val="00306A86"/>
    <w:rsid w:val="00306CEA"/>
    <w:rsid w:val="00306E3B"/>
    <w:rsid w:val="00306EB6"/>
    <w:rsid w:val="0030752F"/>
    <w:rsid w:val="003077CF"/>
    <w:rsid w:val="00307895"/>
    <w:rsid w:val="00310357"/>
    <w:rsid w:val="00310483"/>
    <w:rsid w:val="00310D4A"/>
    <w:rsid w:val="003111B9"/>
    <w:rsid w:val="003112BE"/>
    <w:rsid w:val="00311355"/>
    <w:rsid w:val="00312480"/>
    <w:rsid w:val="00312C1A"/>
    <w:rsid w:val="0031316A"/>
    <w:rsid w:val="003132AE"/>
    <w:rsid w:val="003133B4"/>
    <w:rsid w:val="003136FD"/>
    <w:rsid w:val="003138F9"/>
    <w:rsid w:val="0031445F"/>
    <w:rsid w:val="00314A86"/>
    <w:rsid w:val="00315173"/>
    <w:rsid w:val="00315747"/>
    <w:rsid w:val="00315E88"/>
    <w:rsid w:val="00316138"/>
    <w:rsid w:val="00317888"/>
    <w:rsid w:val="00317C9F"/>
    <w:rsid w:val="00317D36"/>
    <w:rsid w:val="003205A2"/>
    <w:rsid w:val="00320A06"/>
    <w:rsid w:val="00320AC3"/>
    <w:rsid w:val="00320F23"/>
    <w:rsid w:val="00321497"/>
    <w:rsid w:val="003217D2"/>
    <w:rsid w:val="00321982"/>
    <w:rsid w:val="00321ED3"/>
    <w:rsid w:val="003229FA"/>
    <w:rsid w:val="00322EB5"/>
    <w:rsid w:val="00323BDD"/>
    <w:rsid w:val="00324430"/>
    <w:rsid w:val="00324615"/>
    <w:rsid w:val="00325944"/>
    <w:rsid w:val="003263F1"/>
    <w:rsid w:val="00326814"/>
    <w:rsid w:val="00326B5B"/>
    <w:rsid w:val="00326C0B"/>
    <w:rsid w:val="00330231"/>
    <w:rsid w:val="00331137"/>
    <w:rsid w:val="00331CBC"/>
    <w:rsid w:val="00332054"/>
    <w:rsid w:val="003321D1"/>
    <w:rsid w:val="00332397"/>
    <w:rsid w:val="0033239B"/>
    <w:rsid w:val="00332E23"/>
    <w:rsid w:val="00333FD4"/>
    <w:rsid w:val="0033429D"/>
    <w:rsid w:val="00334953"/>
    <w:rsid w:val="00334EF8"/>
    <w:rsid w:val="00335139"/>
    <w:rsid w:val="003356F1"/>
    <w:rsid w:val="00335D2A"/>
    <w:rsid w:val="00340115"/>
    <w:rsid w:val="003403B4"/>
    <w:rsid w:val="0034074E"/>
    <w:rsid w:val="0034094E"/>
    <w:rsid w:val="00341650"/>
    <w:rsid w:val="00342627"/>
    <w:rsid w:val="0034266C"/>
    <w:rsid w:val="00343E21"/>
    <w:rsid w:val="00344A5B"/>
    <w:rsid w:val="00344AE0"/>
    <w:rsid w:val="003452DA"/>
    <w:rsid w:val="0034558C"/>
    <w:rsid w:val="00345912"/>
    <w:rsid w:val="00345B60"/>
    <w:rsid w:val="00345EDF"/>
    <w:rsid w:val="003464CD"/>
    <w:rsid w:val="00346510"/>
    <w:rsid w:val="00346807"/>
    <w:rsid w:val="00346D66"/>
    <w:rsid w:val="00346E9D"/>
    <w:rsid w:val="00347516"/>
    <w:rsid w:val="00347F04"/>
    <w:rsid w:val="003501E6"/>
    <w:rsid w:val="0035126E"/>
    <w:rsid w:val="00351CE7"/>
    <w:rsid w:val="00351FA8"/>
    <w:rsid w:val="003522C0"/>
    <w:rsid w:val="00352769"/>
    <w:rsid w:val="00352E68"/>
    <w:rsid w:val="003532E2"/>
    <w:rsid w:val="00353FEA"/>
    <w:rsid w:val="003542D6"/>
    <w:rsid w:val="00354CA9"/>
    <w:rsid w:val="003569A0"/>
    <w:rsid w:val="003601CD"/>
    <w:rsid w:val="00360734"/>
    <w:rsid w:val="003608F9"/>
    <w:rsid w:val="00360CD9"/>
    <w:rsid w:val="00360DD6"/>
    <w:rsid w:val="00361018"/>
    <w:rsid w:val="0036124B"/>
    <w:rsid w:val="00361CFA"/>
    <w:rsid w:val="003622F1"/>
    <w:rsid w:val="00362834"/>
    <w:rsid w:val="003628FE"/>
    <w:rsid w:val="00363327"/>
    <w:rsid w:val="00363FF5"/>
    <w:rsid w:val="0036658D"/>
    <w:rsid w:val="00366764"/>
    <w:rsid w:val="003704E3"/>
    <w:rsid w:val="00370A28"/>
    <w:rsid w:val="00371D57"/>
    <w:rsid w:val="0037212A"/>
    <w:rsid w:val="003721DA"/>
    <w:rsid w:val="00372D83"/>
    <w:rsid w:val="00372DF8"/>
    <w:rsid w:val="0037347F"/>
    <w:rsid w:val="00373699"/>
    <w:rsid w:val="00373CF8"/>
    <w:rsid w:val="00373F78"/>
    <w:rsid w:val="0037431B"/>
    <w:rsid w:val="00374399"/>
    <w:rsid w:val="0037493F"/>
    <w:rsid w:val="0037506A"/>
    <w:rsid w:val="0037560A"/>
    <w:rsid w:val="00376262"/>
    <w:rsid w:val="003763A1"/>
    <w:rsid w:val="003768E2"/>
    <w:rsid w:val="00377473"/>
    <w:rsid w:val="0037760E"/>
    <w:rsid w:val="003803E0"/>
    <w:rsid w:val="0038054C"/>
    <w:rsid w:val="003805D3"/>
    <w:rsid w:val="003809AF"/>
    <w:rsid w:val="00380B36"/>
    <w:rsid w:val="003817A7"/>
    <w:rsid w:val="003817C0"/>
    <w:rsid w:val="0038191F"/>
    <w:rsid w:val="003819CC"/>
    <w:rsid w:val="00381B0C"/>
    <w:rsid w:val="0038290A"/>
    <w:rsid w:val="00382D8D"/>
    <w:rsid w:val="00382F22"/>
    <w:rsid w:val="003830A8"/>
    <w:rsid w:val="00384541"/>
    <w:rsid w:val="00384797"/>
    <w:rsid w:val="00385214"/>
    <w:rsid w:val="003856C4"/>
    <w:rsid w:val="003864B1"/>
    <w:rsid w:val="00386623"/>
    <w:rsid w:val="00387F2F"/>
    <w:rsid w:val="003900C7"/>
    <w:rsid w:val="003902D5"/>
    <w:rsid w:val="00390746"/>
    <w:rsid w:val="00390CF9"/>
    <w:rsid w:val="00391C58"/>
    <w:rsid w:val="00391C9B"/>
    <w:rsid w:val="003929E1"/>
    <w:rsid w:val="00392D78"/>
    <w:rsid w:val="00393264"/>
    <w:rsid w:val="00395064"/>
    <w:rsid w:val="0039534D"/>
    <w:rsid w:val="003953C1"/>
    <w:rsid w:val="00395F8F"/>
    <w:rsid w:val="003968A6"/>
    <w:rsid w:val="00396BA3"/>
    <w:rsid w:val="0039793B"/>
    <w:rsid w:val="003A07F8"/>
    <w:rsid w:val="003A1055"/>
    <w:rsid w:val="003A10AE"/>
    <w:rsid w:val="003A2176"/>
    <w:rsid w:val="003A2612"/>
    <w:rsid w:val="003A32A9"/>
    <w:rsid w:val="003A32DA"/>
    <w:rsid w:val="003A380D"/>
    <w:rsid w:val="003A3D26"/>
    <w:rsid w:val="003A3DF1"/>
    <w:rsid w:val="003A4027"/>
    <w:rsid w:val="003A42F7"/>
    <w:rsid w:val="003A4653"/>
    <w:rsid w:val="003A4794"/>
    <w:rsid w:val="003A481F"/>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D48"/>
    <w:rsid w:val="003B08A2"/>
    <w:rsid w:val="003B0BF4"/>
    <w:rsid w:val="003B0C91"/>
    <w:rsid w:val="003B0F8E"/>
    <w:rsid w:val="003B1111"/>
    <w:rsid w:val="003B1933"/>
    <w:rsid w:val="003B2B5E"/>
    <w:rsid w:val="003B30B3"/>
    <w:rsid w:val="003B3666"/>
    <w:rsid w:val="003B3E5C"/>
    <w:rsid w:val="003B41C7"/>
    <w:rsid w:val="003B496A"/>
    <w:rsid w:val="003B5D58"/>
    <w:rsid w:val="003B5FA0"/>
    <w:rsid w:val="003B6047"/>
    <w:rsid w:val="003B64C0"/>
    <w:rsid w:val="003B692F"/>
    <w:rsid w:val="003B693F"/>
    <w:rsid w:val="003B6DEA"/>
    <w:rsid w:val="003B6ECC"/>
    <w:rsid w:val="003B7250"/>
    <w:rsid w:val="003B7835"/>
    <w:rsid w:val="003B79B9"/>
    <w:rsid w:val="003B7A6C"/>
    <w:rsid w:val="003B7E92"/>
    <w:rsid w:val="003C01AC"/>
    <w:rsid w:val="003C04A9"/>
    <w:rsid w:val="003C0975"/>
    <w:rsid w:val="003C0D77"/>
    <w:rsid w:val="003C0FEC"/>
    <w:rsid w:val="003C10E1"/>
    <w:rsid w:val="003C1852"/>
    <w:rsid w:val="003C1943"/>
    <w:rsid w:val="003C2214"/>
    <w:rsid w:val="003C2B5C"/>
    <w:rsid w:val="003C2E92"/>
    <w:rsid w:val="003C308E"/>
    <w:rsid w:val="003C32EE"/>
    <w:rsid w:val="003C4506"/>
    <w:rsid w:val="003C4DB4"/>
    <w:rsid w:val="003C4E4D"/>
    <w:rsid w:val="003C5308"/>
    <w:rsid w:val="003C587C"/>
    <w:rsid w:val="003C62D9"/>
    <w:rsid w:val="003C6438"/>
    <w:rsid w:val="003C6D1D"/>
    <w:rsid w:val="003C6E27"/>
    <w:rsid w:val="003C6F87"/>
    <w:rsid w:val="003C7251"/>
    <w:rsid w:val="003C776C"/>
    <w:rsid w:val="003D02CD"/>
    <w:rsid w:val="003D2651"/>
    <w:rsid w:val="003D332D"/>
    <w:rsid w:val="003D3787"/>
    <w:rsid w:val="003D436D"/>
    <w:rsid w:val="003D4EC0"/>
    <w:rsid w:val="003D506A"/>
    <w:rsid w:val="003D5FD3"/>
    <w:rsid w:val="003D61B5"/>
    <w:rsid w:val="003D7F56"/>
    <w:rsid w:val="003E05D8"/>
    <w:rsid w:val="003E11AE"/>
    <w:rsid w:val="003E1D8E"/>
    <w:rsid w:val="003E28EB"/>
    <w:rsid w:val="003E3939"/>
    <w:rsid w:val="003E3AED"/>
    <w:rsid w:val="003E3B30"/>
    <w:rsid w:val="003E44E5"/>
    <w:rsid w:val="003E45D7"/>
    <w:rsid w:val="003E4D6F"/>
    <w:rsid w:val="003E53BB"/>
    <w:rsid w:val="003E54EB"/>
    <w:rsid w:val="003E5A6B"/>
    <w:rsid w:val="003E65F5"/>
    <w:rsid w:val="003E69BA"/>
    <w:rsid w:val="003E7287"/>
    <w:rsid w:val="003E7437"/>
    <w:rsid w:val="003E7EE9"/>
    <w:rsid w:val="003E7FC1"/>
    <w:rsid w:val="003F088A"/>
    <w:rsid w:val="003F0F5F"/>
    <w:rsid w:val="003F1034"/>
    <w:rsid w:val="003F1EF0"/>
    <w:rsid w:val="003F3EA5"/>
    <w:rsid w:val="003F4461"/>
    <w:rsid w:val="003F4A0E"/>
    <w:rsid w:val="003F4D08"/>
    <w:rsid w:val="003F589D"/>
    <w:rsid w:val="003F58AF"/>
    <w:rsid w:val="003F5B6E"/>
    <w:rsid w:val="003F63C0"/>
    <w:rsid w:val="003F6728"/>
    <w:rsid w:val="003F6F4E"/>
    <w:rsid w:val="00400C56"/>
    <w:rsid w:val="00400F0F"/>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967"/>
    <w:rsid w:val="00404D7E"/>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43CB"/>
    <w:rsid w:val="004147AC"/>
    <w:rsid w:val="0041488C"/>
    <w:rsid w:val="00414CDE"/>
    <w:rsid w:val="00414E3B"/>
    <w:rsid w:val="00414FEA"/>
    <w:rsid w:val="00415272"/>
    <w:rsid w:val="0041564F"/>
    <w:rsid w:val="00415802"/>
    <w:rsid w:val="00415998"/>
    <w:rsid w:val="00415C11"/>
    <w:rsid w:val="00415FE9"/>
    <w:rsid w:val="0041625C"/>
    <w:rsid w:val="004165DC"/>
    <w:rsid w:val="00416B0F"/>
    <w:rsid w:val="0041712E"/>
    <w:rsid w:val="004201D8"/>
    <w:rsid w:val="00420950"/>
    <w:rsid w:val="00420F2A"/>
    <w:rsid w:val="004216A9"/>
    <w:rsid w:val="00421CA3"/>
    <w:rsid w:val="00421D14"/>
    <w:rsid w:val="00421FA5"/>
    <w:rsid w:val="004226FE"/>
    <w:rsid w:val="00422FBD"/>
    <w:rsid w:val="00423047"/>
    <w:rsid w:val="00423D5F"/>
    <w:rsid w:val="0042434D"/>
    <w:rsid w:val="00424E9C"/>
    <w:rsid w:val="00426EC6"/>
    <w:rsid w:val="00427176"/>
    <w:rsid w:val="00427682"/>
    <w:rsid w:val="004300A1"/>
    <w:rsid w:val="004301DA"/>
    <w:rsid w:val="00430527"/>
    <w:rsid w:val="00430C55"/>
    <w:rsid w:val="00431DA5"/>
    <w:rsid w:val="00432187"/>
    <w:rsid w:val="004337B0"/>
    <w:rsid w:val="00433A7A"/>
    <w:rsid w:val="00433E14"/>
    <w:rsid w:val="00433F76"/>
    <w:rsid w:val="00433FB5"/>
    <w:rsid w:val="00434298"/>
    <w:rsid w:val="004348BB"/>
    <w:rsid w:val="00434915"/>
    <w:rsid w:val="0043553A"/>
    <w:rsid w:val="00435568"/>
    <w:rsid w:val="0043678A"/>
    <w:rsid w:val="004369B2"/>
    <w:rsid w:val="00437204"/>
    <w:rsid w:val="00437C25"/>
    <w:rsid w:val="00440955"/>
    <w:rsid w:val="00440EFA"/>
    <w:rsid w:val="004410A6"/>
    <w:rsid w:val="00441578"/>
    <w:rsid w:val="00441FB4"/>
    <w:rsid w:val="004422B4"/>
    <w:rsid w:val="004427EB"/>
    <w:rsid w:val="00442906"/>
    <w:rsid w:val="00442B92"/>
    <w:rsid w:val="00442D9C"/>
    <w:rsid w:val="00443376"/>
    <w:rsid w:val="004435DE"/>
    <w:rsid w:val="00444A9D"/>
    <w:rsid w:val="00445640"/>
    <w:rsid w:val="00445B98"/>
    <w:rsid w:val="004462E1"/>
    <w:rsid w:val="00446423"/>
    <w:rsid w:val="00446689"/>
    <w:rsid w:val="00447067"/>
    <w:rsid w:val="0044716A"/>
    <w:rsid w:val="00450059"/>
    <w:rsid w:val="004502CD"/>
    <w:rsid w:val="004505AF"/>
    <w:rsid w:val="00450DE8"/>
    <w:rsid w:val="004515C2"/>
    <w:rsid w:val="004518AF"/>
    <w:rsid w:val="00452273"/>
    <w:rsid w:val="004529BD"/>
    <w:rsid w:val="00453FF2"/>
    <w:rsid w:val="004540D9"/>
    <w:rsid w:val="004542FA"/>
    <w:rsid w:val="00455806"/>
    <w:rsid w:val="00455889"/>
    <w:rsid w:val="00455A8E"/>
    <w:rsid w:val="00455B5B"/>
    <w:rsid w:val="00456A1A"/>
    <w:rsid w:val="00456EB4"/>
    <w:rsid w:val="00456FF8"/>
    <w:rsid w:val="004577C1"/>
    <w:rsid w:val="00457F04"/>
    <w:rsid w:val="00460298"/>
    <w:rsid w:val="004611C1"/>
    <w:rsid w:val="004611C5"/>
    <w:rsid w:val="0046146E"/>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11E"/>
    <w:rsid w:val="00466646"/>
    <w:rsid w:val="00467140"/>
    <w:rsid w:val="004671FF"/>
    <w:rsid w:val="00467711"/>
    <w:rsid w:val="004704F3"/>
    <w:rsid w:val="004706F6"/>
    <w:rsid w:val="0047086A"/>
    <w:rsid w:val="00470EEA"/>
    <w:rsid w:val="004713D1"/>
    <w:rsid w:val="00472013"/>
    <w:rsid w:val="00472138"/>
    <w:rsid w:val="004721B2"/>
    <w:rsid w:val="004725E6"/>
    <w:rsid w:val="0047379E"/>
    <w:rsid w:val="00474848"/>
    <w:rsid w:val="00474DB4"/>
    <w:rsid w:val="00475E2D"/>
    <w:rsid w:val="0047630E"/>
    <w:rsid w:val="00476460"/>
    <w:rsid w:val="004765BA"/>
    <w:rsid w:val="00476EA2"/>
    <w:rsid w:val="0047749E"/>
    <w:rsid w:val="0048004B"/>
    <w:rsid w:val="00480083"/>
    <w:rsid w:val="00480185"/>
    <w:rsid w:val="004801D4"/>
    <w:rsid w:val="00480944"/>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E18"/>
    <w:rsid w:val="004855E0"/>
    <w:rsid w:val="00485942"/>
    <w:rsid w:val="00486160"/>
    <w:rsid w:val="0048675D"/>
    <w:rsid w:val="004871E4"/>
    <w:rsid w:val="00487CBD"/>
    <w:rsid w:val="00487DD1"/>
    <w:rsid w:val="00487F39"/>
    <w:rsid w:val="00490F6A"/>
    <w:rsid w:val="00491141"/>
    <w:rsid w:val="0049134B"/>
    <w:rsid w:val="00491ED9"/>
    <w:rsid w:val="00492332"/>
    <w:rsid w:val="00492994"/>
    <w:rsid w:val="004939D7"/>
    <w:rsid w:val="004944F8"/>
    <w:rsid w:val="00494CD6"/>
    <w:rsid w:val="004955D2"/>
    <w:rsid w:val="00495BB6"/>
    <w:rsid w:val="00496EF6"/>
    <w:rsid w:val="00496FEA"/>
    <w:rsid w:val="0049743B"/>
    <w:rsid w:val="00497579"/>
    <w:rsid w:val="00497C4D"/>
    <w:rsid w:val="00497DE4"/>
    <w:rsid w:val="004A13F5"/>
    <w:rsid w:val="004A15B3"/>
    <w:rsid w:val="004A1709"/>
    <w:rsid w:val="004A1894"/>
    <w:rsid w:val="004A3038"/>
    <w:rsid w:val="004A336A"/>
    <w:rsid w:val="004A33CD"/>
    <w:rsid w:val="004A38B9"/>
    <w:rsid w:val="004A3F07"/>
    <w:rsid w:val="004A463F"/>
    <w:rsid w:val="004A4803"/>
    <w:rsid w:val="004A4E9A"/>
    <w:rsid w:val="004A6352"/>
    <w:rsid w:val="004A74D2"/>
    <w:rsid w:val="004B0B07"/>
    <w:rsid w:val="004B0B1D"/>
    <w:rsid w:val="004B197E"/>
    <w:rsid w:val="004B1FD2"/>
    <w:rsid w:val="004B292A"/>
    <w:rsid w:val="004B2960"/>
    <w:rsid w:val="004B2A77"/>
    <w:rsid w:val="004B2C2D"/>
    <w:rsid w:val="004B3695"/>
    <w:rsid w:val="004B3B4A"/>
    <w:rsid w:val="004B3E74"/>
    <w:rsid w:val="004B3F40"/>
    <w:rsid w:val="004B3FD9"/>
    <w:rsid w:val="004B6512"/>
    <w:rsid w:val="004B69B2"/>
    <w:rsid w:val="004B728F"/>
    <w:rsid w:val="004B75EC"/>
    <w:rsid w:val="004B782D"/>
    <w:rsid w:val="004B79A1"/>
    <w:rsid w:val="004B7A7A"/>
    <w:rsid w:val="004B7D0D"/>
    <w:rsid w:val="004C070C"/>
    <w:rsid w:val="004C1866"/>
    <w:rsid w:val="004C2776"/>
    <w:rsid w:val="004C2C08"/>
    <w:rsid w:val="004C33EB"/>
    <w:rsid w:val="004C3FF1"/>
    <w:rsid w:val="004C4033"/>
    <w:rsid w:val="004C45C6"/>
    <w:rsid w:val="004C462E"/>
    <w:rsid w:val="004C47BE"/>
    <w:rsid w:val="004C56BB"/>
    <w:rsid w:val="004C6B21"/>
    <w:rsid w:val="004C6D9C"/>
    <w:rsid w:val="004C6EDC"/>
    <w:rsid w:val="004C6F4C"/>
    <w:rsid w:val="004C74B7"/>
    <w:rsid w:val="004C794B"/>
    <w:rsid w:val="004C7EF3"/>
    <w:rsid w:val="004D0044"/>
    <w:rsid w:val="004D0C68"/>
    <w:rsid w:val="004D0C88"/>
    <w:rsid w:val="004D0D91"/>
    <w:rsid w:val="004D12C4"/>
    <w:rsid w:val="004D13EA"/>
    <w:rsid w:val="004D1EAB"/>
    <w:rsid w:val="004D257E"/>
    <w:rsid w:val="004D25AB"/>
    <w:rsid w:val="004D2E91"/>
    <w:rsid w:val="004D364A"/>
    <w:rsid w:val="004D402E"/>
    <w:rsid w:val="004D4249"/>
    <w:rsid w:val="004D494B"/>
    <w:rsid w:val="004D4A0F"/>
    <w:rsid w:val="004D5775"/>
    <w:rsid w:val="004D595F"/>
    <w:rsid w:val="004D61A8"/>
    <w:rsid w:val="004D7133"/>
    <w:rsid w:val="004D796B"/>
    <w:rsid w:val="004D7C38"/>
    <w:rsid w:val="004D7FBF"/>
    <w:rsid w:val="004E0578"/>
    <w:rsid w:val="004E0F0B"/>
    <w:rsid w:val="004E1324"/>
    <w:rsid w:val="004E1360"/>
    <w:rsid w:val="004E1471"/>
    <w:rsid w:val="004E1996"/>
    <w:rsid w:val="004E1F08"/>
    <w:rsid w:val="004E1F6F"/>
    <w:rsid w:val="004E2151"/>
    <w:rsid w:val="004E2885"/>
    <w:rsid w:val="004E39F9"/>
    <w:rsid w:val="004E4050"/>
    <w:rsid w:val="004E420B"/>
    <w:rsid w:val="004E4B8A"/>
    <w:rsid w:val="004E51BB"/>
    <w:rsid w:val="004E5B01"/>
    <w:rsid w:val="004E5C74"/>
    <w:rsid w:val="004E67B3"/>
    <w:rsid w:val="004E7413"/>
    <w:rsid w:val="004E75B4"/>
    <w:rsid w:val="004E76FC"/>
    <w:rsid w:val="004F019B"/>
    <w:rsid w:val="004F01F7"/>
    <w:rsid w:val="004F03C3"/>
    <w:rsid w:val="004F0C02"/>
    <w:rsid w:val="004F0C1C"/>
    <w:rsid w:val="004F1386"/>
    <w:rsid w:val="004F1449"/>
    <w:rsid w:val="004F2245"/>
    <w:rsid w:val="004F237D"/>
    <w:rsid w:val="004F2A22"/>
    <w:rsid w:val="004F2EB8"/>
    <w:rsid w:val="004F348D"/>
    <w:rsid w:val="004F3650"/>
    <w:rsid w:val="004F3B41"/>
    <w:rsid w:val="004F4016"/>
    <w:rsid w:val="004F4564"/>
    <w:rsid w:val="004F50E1"/>
    <w:rsid w:val="004F53DE"/>
    <w:rsid w:val="004F5ED8"/>
    <w:rsid w:val="004F64DD"/>
    <w:rsid w:val="004F6533"/>
    <w:rsid w:val="004F665A"/>
    <w:rsid w:val="004F7427"/>
    <w:rsid w:val="004F7463"/>
    <w:rsid w:val="004F7699"/>
    <w:rsid w:val="00500171"/>
    <w:rsid w:val="005003A6"/>
    <w:rsid w:val="005004AB"/>
    <w:rsid w:val="005018AB"/>
    <w:rsid w:val="00501910"/>
    <w:rsid w:val="005019C1"/>
    <w:rsid w:val="005024FD"/>
    <w:rsid w:val="00502D8B"/>
    <w:rsid w:val="0050331E"/>
    <w:rsid w:val="005033CE"/>
    <w:rsid w:val="00503555"/>
    <w:rsid w:val="00503F0A"/>
    <w:rsid w:val="00504107"/>
    <w:rsid w:val="00504599"/>
    <w:rsid w:val="00504809"/>
    <w:rsid w:val="00505DBD"/>
    <w:rsid w:val="00505F18"/>
    <w:rsid w:val="0050677F"/>
    <w:rsid w:val="00506D13"/>
    <w:rsid w:val="00507464"/>
    <w:rsid w:val="00507A51"/>
    <w:rsid w:val="00507F92"/>
    <w:rsid w:val="0051067B"/>
    <w:rsid w:val="00510E64"/>
    <w:rsid w:val="005115D6"/>
    <w:rsid w:val="0051170F"/>
    <w:rsid w:val="00511AB2"/>
    <w:rsid w:val="00511C1D"/>
    <w:rsid w:val="005120D4"/>
    <w:rsid w:val="0051385A"/>
    <w:rsid w:val="0051396A"/>
    <w:rsid w:val="00513985"/>
    <w:rsid w:val="00514367"/>
    <w:rsid w:val="0051535C"/>
    <w:rsid w:val="005155CD"/>
    <w:rsid w:val="00515E61"/>
    <w:rsid w:val="00517594"/>
    <w:rsid w:val="00517622"/>
    <w:rsid w:val="005179CD"/>
    <w:rsid w:val="005179F5"/>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73"/>
    <w:rsid w:val="005246CC"/>
    <w:rsid w:val="00525505"/>
    <w:rsid w:val="00525A27"/>
    <w:rsid w:val="00525B5D"/>
    <w:rsid w:val="0052615D"/>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9F9"/>
    <w:rsid w:val="00534F0F"/>
    <w:rsid w:val="00535855"/>
    <w:rsid w:val="00536266"/>
    <w:rsid w:val="00536818"/>
    <w:rsid w:val="00536947"/>
    <w:rsid w:val="00536B0B"/>
    <w:rsid w:val="00536F59"/>
    <w:rsid w:val="00537221"/>
    <w:rsid w:val="00537D53"/>
    <w:rsid w:val="005401F3"/>
    <w:rsid w:val="00540D24"/>
    <w:rsid w:val="00540D34"/>
    <w:rsid w:val="0054138E"/>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804"/>
    <w:rsid w:val="00557A02"/>
    <w:rsid w:val="00557A50"/>
    <w:rsid w:val="00557D06"/>
    <w:rsid w:val="00561042"/>
    <w:rsid w:val="0056196B"/>
    <w:rsid w:val="00561FD9"/>
    <w:rsid w:val="005622AB"/>
    <w:rsid w:val="005628D2"/>
    <w:rsid w:val="0056363D"/>
    <w:rsid w:val="005643BD"/>
    <w:rsid w:val="00564BFF"/>
    <w:rsid w:val="00564D95"/>
    <w:rsid w:val="0056509A"/>
    <w:rsid w:val="005658C5"/>
    <w:rsid w:val="00565970"/>
    <w:rsid w:val="005660E2"/>
    <w:rsid w:val="0056613A"/>
    <w:rsid w:val="0056654D"/>
    <w:rsid w:val="00566725"/>
    <w:rsid w:val="005677D4"/>
    <w:rsid w:val="00571344"/>
    <w:rsid w:val="00571A0D"/>
    <w:rsid w:val="00571EAB"/>
    <w:rsid w:val="0057259D"/>
    <w:rsid w:val="00573021"/>
    <w:rsid w:val="005735FC"/>
    <w:rsid w:val="00573616"/>
    <w:rsid w:val="00573F6C"/>
    <w:rsid w:val="00574623"/>
    <w:rsid w:val="00574BB1"/>
    <w:rsid w:val="00574BBB"/>
    <w:rsid w:val="00574BEC"/>
    <w:rsid w:val="00575688"/>
    <w:rsid w:val="005756A5"/>
    <w:rsid w:val="0057598D"/>
    <w:rsid w:val="00575F02"/>
    <w:rsid w:val="00576498"/>
    <w:rsid w:val="005765DB"/>
    <w:rsid w:val="00580044"/>
    <w:rsid w:val="00580134"/>
    <w:rsid w:val="00581EB2"/>
    <w:rsid w:val="00582103"/>
    <w:rsid w:val="00582C08"/>
    <w:rsid w:val="00582C70"/>
    <w:rsid w:val="0058315D"/>
    <w:rsid w:val="00583185"/>
    <w:rsid w:val="00584123"/>
    <w:rsid w:val="00584668"/>
    <w:rsid w:val="00585959"/>
    <w:rsid w:val="00585BC2"/>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C12"/>
    <w:rsid w:val="005A4830"/>
    <w:rsid w:val="005A486A"/>
    <w:rsid w:val="005A4E0A"/>
    <w:rsid w:val="005A4FB1"/>
    <w:rsid w:val="005A54E0"/>
    <w:rsid w:val="005A75AD"/>
    <w:rsid w:val="005A79B9"/>
    <w:rsid w:val="005A7BC0"/>
    <w:rsid w:val="005A7D62"/>
    <w:rsid w:val="005A7E6C"/>
    <w:rsid w:val="005B0A78"/>
    <w:rsid w:val="005B0B58"/>
    <w:rsid w:val="005B188F"/>
    <w:rsid w:val="005B3B4E"/>
    <w:rsid w:val="005B4004"/>
    <w:rsid w:val="005B45AC"/>
    <w:rsid w:val="005B5169"/>
    <w:rsid w:val="005B51B2"/>
    <w:rsid w:val="005B53EB"/>
    <w:rsid w:val="005B5CC2"/>
    <w:rsid w:val="005B5E66"/>
    <w:rsid w:val="005B5F0A"/>
    <w:rsid w:val="005B63EF"/>
    <w:rsid w:val="005B66AD"/>
    <w:rsid w:val="005B6725"/>
    <w:rsid w:val="005B79CA"/>
    <w:rsid w:val="005B7C50"/>
    <w:rsid w:val="005B7DDF"/>
    <w:rsid w:val="005C202C"/>
    <w:rsid w:val="005C280E"/>
    <w:rsid w:val="005C29F8"/>
    <w:rsid w:val="005C2BA4"/>
    <w:rsid w:val="005C362A"/>
    <w:rsid w:val="005C3BB5"/>
    <w:rsid w:val="005C3DF6"/>
    <w:rsid w:val="005C4208"/>
    <w:rsid w:val="005C4311"/>
    <w:rsid w:val="005C50DB"/>
    <w:rsid w:val="005C6000"/>
    <w:rsid w:val="005C6BF5"/>
    <w:rsid w:val="005C6DCB"/>
    <w:rsid w:val="005C7E7C"/>
    <w:rsid w:val="005D0690"/>
    <w:rsid w:val="005D18BE"/>
    <w:rsid w:val="005D27F7"/>
    <w:rsid w:val="005D296B"/>
    <w:rsid w:val="005D2BAC"/>
    <w:rsid w:val="005D2BDF"/>
    <w:rsid w:val="005D2DDB"/>
    <w:rsid w:val="005D3F8B"/>
    <w:rsid w:val="005D4362"/>
    <w:rsid w:val="005D5131"/>
    <w:rsid w:val="005D5508"/>
    <w:rsid w:val="005D604C"/>
    <w:rsid w:val="005D6713"/>
    <w:rsid w:val="005D6D24"/>
    <w:rsid w:val="005D6EB4"/>
    <w:rsid w:val="005D7714"/>
    <w:rsid w:val="005E00AD"/>
    <w:rsid w:val="005E0303"/>
    <w:rsid w:val="005E1087"/>
    <w:rsid w:val="005E127B"/>
    <w:rsid w:val="005E2440"/>
    <w:rsid w:val="005E5083"/>
    <w:rsid w:val="005E59DB"/>
    <w:rsid w:val="005E6AE6"/>
    <w:rsid w:val="005E70DD"/>
    <w:rsid w:val="005E7410"/>
    <w:rsid w:val="005E751A"/>
    <w:rsid w:val="005F00C3"/>
    <w:rsid w:val="005F0A05"/>
    <w:rsid w:val="005F0D3B"/>
    <w:rsid w:val="005F1C33"/>
    <w:rsid w:val="005F28F5"/>
    <w:rsid w:val="005F2D87"/>
    <w:rsid w:val="005F2FF9"/>
    <w:rsid w:val="005F3399"/>
    <w:rsid w:val="005F408F"/>
    <w:rsid w:val="005F442C"/>
    <w:rsid w:val="005F5010"/>
    <w:rsid w:val="005F5514"/>
    <w:rsid w:val="005F55A1"/>
    <w:rsid w:val="005F5EDD"/>
    <w:rsid w:val="005F5FE9"/>
    <w:rsid w:val="005F6116"/>
    <w:rsid w:val="005F61B8"/>
    <w:rsid w:val="005F7457"/>
    <w:rsid w:val="005F7CB9"/>
    <w:rsid w:val="00600C5D"/>
    <w:rsid w:val="00600E15"/>
    <w:rsid w:val="006016F5"/>
    <w:rsid w:val="00602C4C"/>
    <w:rsid w:val="0060363C"/>
    <w:rsid w:val="00603B42"/>
    <w:rsid w:val="00604657"/>
    <w:rsid w:val="00605029"/>
    <w:rsid w:val="006051E8"/>
    <w:rsid w:val="0060541C"/>
    <w:rsid w:val="00605930"/>
    <w:rsid w:val="00605B96"/>
    <w:rsid w:val="00606346"/>
    <w:rsid w:val="006066C2"/>
    <w:rsid w:val="00606705"/>
    <w:rsid w:val="006073AD"/>
    <w:rsid w:val="006078CF"/>
    <w:rsid w:val="006104B2"/>
    <w:rsid w:val="006122DB"/>
    <w:rsid w:val="00612978"/>
    <w:rsid w:val="00612B24"/>
    <w:rsid w:val="006133A3"/>
    <w:rsid w:val="00613CEA"/>
    <w:rsid w:val="00613D6A"/>
    <w:rsid w:val="006148DA"/>
    <w:rsid w:val="00614B2B"/>
    <w:rsid w:val="00614E43"/>
    <w:rsid w:val="00615548"/>
    <w:rsid w:val="00615BD0"/>
    <w:rsid w:val="006164AF"/>
    <w:rsid w:val="006164C9"/>
    <w:rsid w:val="00616510"/>
    <w:rsid w:val="00616AB4"/>
    <w:rsid w:val="00616AF8"/>
    <w:rsid w:val="00616BA4"/>
    <w:rsid w:val="00616E19"/>
    <w:rsid w:val="00617714"/>
    <w:rsid w:val="00617B8B"/>
    <w:rsid w:val="00617F81"/>
    <w:rsid w:val="00620267"/>
    <w:rsid w:val="006203BF"/>
    <w:rsid w:val="00620A1E"/>
    <w:rsid w:val="006210B5"/>
    <w:rsid w:val="006217DF"/>
    <w:rsid w:val="00621E9E"/>
    <w:rsid w:val="006221A4"/>
    <w:rsid w:val="00622F65"/>
    <w:rsid w:val="006234B7"/>
    <w:rsid w:val="00623954"/>
    <w:rsid w:val="00625011"/>
    <w:rsid w:val="00625DA1"/>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3044"/>
    <w:rsid w:val="006332DC"/>
    <w:rsid w:val="006335E9"/>
    <w:rsid w:val="0063426D"/>
    <w:rsid w:val="006342FA"/>
    <w:rsid w:val="0063434A"/>
    <w:rsid w:val="00634AD8"/>
    <w:rsid w:val="00635026"/>
    <w:rsid w:val="00635660"/>
    <w:rsid w:val="006357C5"/>
    <w:rsid w:val="006359CF"/>
    <w:rsid w:val="00635E50"/>
    <w:rsid w:val="00636061"/>
    <w:rsid w:val="0063655B"/>
    <w:rsid w:val="00636B0E"/>
    <w:rsid w:val="006376ED"/>
    <w:rsid w:val="00637BE2"/>
    <w:rsid w:val="00637C47"/>
    <w:rsid w:val="006407B2"/>
    <w:rsid w:val="00640F04"/>
    <w:rsid w:val="00641149"/>
    <w:rsid w:val="0064117D"/>
    <w:rsid w:val="006414D9"/>
    <w:rsid w:val="00641893"/>
    <w:rsid w:val="00641AC8"/>
    <w:rsid w:val="0064217C"/>
    <w:rsid w:val="006424B2"/>
    <w:rsid w:val="00642FF1"/>
    <w:rsid w:val="00642FFD"/>
    <w:rsid w:val="0064369A"/>
    <w:rsid w:val="00643D78"/>
    <w:rsid w:val="00644A3A"/>
    <w:rsid w:val="00644AC8"/>
    <w:rsid w:val="0064501C"/>
    <w:rsid w:val="00645750"/>
    <w:rsid w:val="006457D1"/>
    <w:rsid w:val="00646642"/>
    <w:rsid w:val="00646E42"/>
    <w:rsid w:val="006470C4"/>
    <w:rsid w:val="0064716E"/>
    <w:rsid w:val="006478FC"/>
    <w:rsid w:val="006479A2"/>
    <w:rsid w:val="00647F29"/>
    <w:rsid w:val="00650385"/>
    <w:rsid w:val="00650524"/>
    <w:rsid w:val="00650873"/>
    <w:rsid w:val="00650E5B"/>
    <w:rsid w:val="00651E83"/>
    <w:rsid w:val="00652135"/>
    <w:rsid w:val="006536FF"/>
    <w:rsid w:val="00653B49"/>
    <w:rsid w:val="00653D42"/>
    <w:rsid w:val="006543C8"/>
    <w:rsid w:val="0065474E"/>
    <w:rsid w:val="00654A4B"/>
    <w:rsid w:val="0065503C"/>
    <w:rsid w:val="006550C3"/>
    <w:rsid w:val="006555C2"/>
    <w:rsid w:val="00655C91"/>
    <w:rsid w:val="00655F47"/>
    <w:rsid w:val="0065643A"/>
    <w:rsid w:val="00657135"/>
    <w:rsid w:val="00660173"/>
    <w:rsid w:val="006603CA"/>
    <w:rsid w:val="006618C8"/>
    <w:rsid w:val="006620F3"/>
    <w:rsid w:val="00662806"/>
    <w:rsid w:val="00664D35"/>
    <w:rsid w:val="00665097"/>
    <w:rsid w:val="00665E2F"/>
    <w:rsid w:val="00665E66"/>
    <w:rsid w:val="00666042"/>
    <w:rsid w:val="00667704"/>
    <w:rsid w:val="00667B66"/>
    <w:rsid w:val="00670C09"/>
    <w:rsid w:val="00671E7A"/>
    <w:rsid w:val="006728F7"/>
    <w:rsid w:val="00672CF2"/>
    <w:rsid w:val="00672EE9"/>
    <w:rsid w:val="006736C1"/>
    <w:rsid w:val="006737FF"/>
    <w:rsid w:val="00674187"/>
    <w:rsid w:val="006746B1"/>
    <w:rsid w:val="006748D9"/>
    <w:rsid w:val="00674A5C"/>
    <w:rsid w:val="00676225"/>
    <w:rsid w:val="00676431"/>
    <w:rsid w:val="006765F7"/>
    <w:rsid w:val="0067663D"/>
    <w:rsid w:val="006766B1"/>
    <w:rsid w:val="00676950"/>
    <w:rsid w:val="006771AA"/>
    <w:rsid w:val="00677BB1"/>
    <w:rsid w:val="00677C8C"/>
    <w:rsid w:val="006800AF"/>
    <w:rsid w:val="00680330"/>
    <w:rsid w:val="00680720"/>
    <w:rsid w:val="00681631"/>
    <w:rsid w:val="00681B2A"/>
    <w:rsid w:val="00681BA6"/>
    <w:rsid w:val="006822BE"/>
    <w:rsid w:val="006833AD"/>
    <w:rsid w:val="00683CF6"/>
    <w:rsid w:val="00684B51"/>
    <w:rsid w:val="00684EE4"/>
    <w:rsid w:val="00685039"/>
    <w:rsid w:val="006856E6"/>
    <w:rsid w:val="00685BA9"/>
    <w:rsid w:val="00686ABE"/>
    <w:rsid w:val="00686D7F"/>
    <w:rsid w:val="00686E2E"/>
    <w:rsid w:val="006879FA"/>
    <w:rsid w:val="006904CC"/>
    <w:rsid w:val="006905C9"/>
    <w:rsid w:val="00690A61"/>
    <w:rsid w:val="00690AC9"/>
    <w:rsid w:val="00691390"/>
    <w:rsid w:val="00691ABA"/>
    <w:rsid w:val="0069207F"/>
    <w:rsid w:val="00692B95"/>
    <w:rsid w:val="006936D7"/>
    <w:rsid w:val="006938D2"/>
    <w:rsid w:val="00693A7B"/>
    <w:rsid w:val="00694372"/>
    <w:rsid w:val="00694A39"/>
    <w:rsid w:val="00694EEA"/>
    <w:rsid w:val="00695A84"/>
    <w:rsid w:val="00695D78"/>
    <w:rsid w:val="00696E62"/>
    <w:rsid w:val="0069727E"/>
    <w:rsid w:val="006972BA"/>
    <w:rsid w:val="006973EB"/>
    <w:rsid w:val="00697434"/>
    <w:rsid w:val="006A01BD"/>
    <w:rsid w:val="006A02EA"/>
    <w:rsid w:val="006A08B4"/>
    <w:rsid w:val="006A11BE"/>
    <w:rsid w:val="006A28DE"/>
    <w:rsid w:val="006A36C0"/>
    <w:rsid w:val="006A3AA9"/>
    <w:rsid w:val="006A417F"/>
    <w:rsid w:val="006A451B"/>
    <w:rsid w:val="006A4596"/>
    <w:rsid w:val="006A5203"/>
    <w:rsid w:val="006A5881"/>
    <w:rsid w:val="006A72FD"/>
    <w:rsid w:val="006A7CCA"/>
    <w:rsid w:val="006A7DB5"/>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7031"/>
    <w:rsid w:val="006B75A3"/>
    <w:rsid w:val="006C0729"/>
    <w:rsid w:val="006C0CA1"/>
    <w:rsid w:val="006C25C4"/>
    <w:rsid w:val="006C2704"/>
    <w:rsid w:val="006C28CF"/>
    <w:rsid w:val="006C3252"/>
    <w:rsid w:val="006C3322"/>
    <w:rsid w:val="006C3A3D"/>
    <w:rsid w:val="006C3B7E"/>
    <w:rsid w:val="006C4BB8"/>
    <w:rsid w:val="006C4DA7"/>
    <w:rsid w:val="006C4F90"/>
    <w:rsid w:val="006C575D"/>
    <w:rsid w:val="006C58FD"/>
    <w:rsid w:val="006C6111"/>
    <w:rsid w:val="006C6B39"/>
    <w:rsid w:val="006C6D4D"/>
    <w:rsid w:val="006C7125"/>
    <w:rsid w:val="006D117B"/>
    <w:rsid w:val="006D16E4"/>
    <w:rsid w:val="006D1A2B"/>
    <w:rsid w:val="006D20B0"/>
    <w:rsid w:val="006D21A8"/>
    <w:rsid w:val="006D3BD7"/>
    <w:rsid w:val="006D437F"/>
    <w:rsid w:val="006D44DC"/>
    <w:rsid w:val="006D4F8F"/>
    <w:rsid w:val="006D5982"/>
    <w:rsid w:val="006D5A8B"/>
    <w:rsid w:val="006D5C56"/>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226"/>
    <w:rsid w:val="006E3F55"/>
    <w:rsid w:val="006E4B85"/>
    <w:rsid w:val="006E52F6"/>
    <w:rsid w:val="006E5AE4"/>
    <w:rsid w:val="006E60EA"/>
    <w:rsid w:val="006E6280"/>
    <w:rsid w:val="006F0FFF"/>
    <w:rsid w:val="006F1DE4"/>
    <w:rsid w:val="006F2250"/>
    <w:rsid w:val="006F2592"/>
    <w:rsid w:val="006F2A7D"/>
    <w:rsid w:val="006F3531"/>
    <w:rsid w:val="006F391E"/>
    <w:rsid w:val="006F3C93"/>
    <w:rsid w:val="006F4307"/>
    <w:rsid w:val="006F4BF7"/>
    <w:rsid w:val="006F5957"/>
    <w:rsid w:val="006F6B8F"/>
    <w:rsid w:val="0070083E"/>
    <w:rsid w:val="00700E96"/>
    <w:rsid w:val="00700FD9"/>
    <w:rsid w:val="00701B5B"/>
    <w:rsid w:val="00702A40"/>
    <w:rsid w:val="00702CFF"/>
    <w:rsid w:val="00703FA0"/>
    <w:rsid w:val="00704C17"/>
    <w:rsid w:val="00704E6A"/>
    <w:rsid w:val="007057AB"/>
    <w:rsid w:val="007059B2"/>
    <w:rsid w:val="007072DC"/>
    <w:rsid w:val="00707AF3"/>
    <w:rsid w:val="00707D22"/>
    <w:rsid w:val="0071007C"/>
    <w:rsid w:val="0071022D"/>
    <w:rsid w:val="007104B6"/>
    <w:rsid w:val="00710CAA"/>
    <w:rsid w:val="00711473"/>
    <w:rsid w:val="007122B2"/>
    <w:rsid w:val="00712877"/>
    <w:rsid w:val="007134D3"/>
    <w:rsid w:val="0071385D"/>
    <w:rsid w:val="00713B92"/>
    <w:rsid w:val="007146BE"/>
    <w:rsid w:val="00715CA8"/>
    <w:rsid w:val="00715E1E"/>
    <w:rsid w:val="007164C1"/>
    <w:rsid w:val="00716EB9"/>
    <w:rsid w:val="00717580"/>
    <w:rsid w:val="00717710"/>
    <w:rsid w:val="007200FD"/>
    <w:rsid w:val="0072060C"/>
    <w:rsid w:val="00720AC8"/>
    <w:rsid w:val="00721FDA"/>
    <w:rsid w:val="007227E3"/>
    <w:rsid w:val="007239EC"/>
    <w:rsid w:val="00723A08"/>
    <w:rsid w:val="00724BCB"/>
    <w:rsid w:val="00724E03"/>
    <w:rsid w:val="00724EC4"/>
    <w:rsid w:val="00724F2E"/>
    <w:rsid w:val="00725433"/>
    <w:rsid w:val="007257BA"/>
    <w:rsid w:val="00725955"/>
    <w:rsid w:val="00725A32"/>
    <w:rsid w:val="007262AD"/>
    <w:rsid w:val="007270F5"/>
    <w:rsid w:val="00727644"/>
    <w:rsid w:val="00727E58"/>
    <w:rsid w:val="007303FE"/>
    <w:rsid w:val="0073090D"/>
    <w:rsid w:val="00730C62"/>
    <w:rsid w:val="007312B2"/>
    <w:rsid w:val="00731E72"/>
    <w:rsid w:val="0073226E"/>
    <w:rsid w:val="007327EA"/>
    <w:rsid w:val="00733048"/>
    <w:rsid w:val="007341C1"/>
    <w:rsid w:val="00734221"/>
    <w:rsid w:val="0073456C"/>
    <w:rsid w:val="0073461B"/>
    <w:rsid w:val="007350F7"/>
    <w:rsid w:val="007362A1"/>
    <w:rsid w:val="00736620"/>
    <w:rsid w:val="00736AE6"/>
    <w:rsid w:val="00736E83"/>
    <w:rsid w:val="00737087"/>
    <w:rsid w:val="007413DC"/>
    <w:rsid w:val="0074189E"/>
    <w:rsid w:val="007419A9"/>
    <w:rsid w:val="007419E3"/>
    <w:rsid w:val="00741A36"/>
    <w:rsid w:val="00742A9D"/>
    <w:rsid w:val="00742DCB"/>
    <w:rsid w:val="00742E14"/>
    <w:rsid w:val="00742F8B"/>
    <w:rsid w:val="00743643"/>
    <w:rsid w:val="00743759"/>
    <w:rsid w:val="00743EED"/>
    <w:rsid w:val="00744152"/>
    <w:rsid w:val="0074473E"/>
    <w:rsid w:val="0074520E"/>
    <w:rsid w:val="00745BF1"/>
    <w:rsid w:val="0074762E"/>
    <w:rsid w:val="00747DFB"/>
    <w:rsid w:val="007504AA"/>
    <w:rsid w:val="00750CD5"/>
    <w:rsid w:val="00751BFA"/>
    <w:rsid w:val="007524CC"/>
    <w:rsid w:val="007529F4"/>
    <w:rsid w:val="00752BAF"/>
    <w:rsid w:val="00752D76"/>
    <w:rsid w:val="00752EFE"/>
    <w:rsid w:val="00752FA3"/>
    <w:rsid w:val="0075451F"/>
    <w:rsid w:val="007545B3"/>
    <w:rsid w:val="00755AF7"/>
    <w:rsid w:val="00756827"/>
    <w:rsid w:val="00756ABA"/>
    <w:rsid w:val="00756B33"/>
    <w:rsid w:val="00757054"/>
    <w:rsid w:val="00757B8A"/>
    <w:rsid w:val="00757D21"/>
    <w:rsid w:val="0076014E"/>
    <w:rsid w:val="007605BB"/>
    <w:rsid w:val="00760C8C"/>
    <w:rsid w:val="007617A4"/>
    <w:rsid w:val="00762DE8"/>
    <w:rsid w:val="0076314D"/>
    <w:rsid w:val="007631DD"/>
    <w:rsid w:val="00763780"/>
    <w:rsid w:val="007637D6"/>
    <w:rsid w:val="00763C24"/>
    <w:rsid w:val="00763F84"/>
    <w:rsid w:val="00764DDE"/>
    <w:rsid w:val="00764FE1"/>
    <w:rsid w:val="00767A2B"/>
    <w:rsid w:val="007703CC"/>
    <w:rsid w:val="00770816"/>
    <w:rsid w:val="007709B9"/>
    <w:rsid w:val="00770AF9"/>
    <w:rsid w:val="0077120F"/>
    <w:rsid w:val="007717C9"/>
    <w:rsid w:val="0077223E"/>
    <w:rsid w:val="0077257F"/>
    <w:rsid w:val="00773230"/>
    <w:rsid w:val="0077340A"/>
    <w:rsid w:val="00773D70"/>
    <w:rsid w:val="00773DD2"/>
    <w:rsid w:val="007742F1"/>
    <w:rsid w:val="00774726"/>
    <w:rsid w:val="00774972"/>
    <w:rsid w:val="00774A11"/>
    <w:rsid w:val="00774A90"/>
    <w:rsid w:val="00774DE0"/>
    <w:rsid w:val="00775686"/>
    <w:rsid w:val="00775716"/>
    <w:rsid w:val="007757B1"/>
    <w:rsid w:val="00775845"/>
    <w:rsid w:val="007765EF"/>
    <w:rsid w:val="007767D3"/>
    <w:rsid w:val="00776DD1"/>
    <w:rsid w:val="00776F26"/>
    <w:rsid w:val="0077712B"/>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806"/>
    <w:rsid w:val="007870F8"/>
    <w:rsid w:val="007874BB"/>
    <w:rsid w:val="00787AEB"/>
    <w:rsid w:val="007905E6"/>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A00C1"/>
    <w:rsid w:val="007A0221"/>
    <w:rsid w:val="007A1398"/>
    <w:rsid w:val="007A1B2A"/>
    <w:rsid w:val="007A2822"/>
    <w:rsid w:val="007A35E2"/>
    <w:rsid w:val="007A3964"/>
    <w:rsid w:val="007A3A34"/>
    <w:rsid w:val="007A467C"/>
    <w:rsid w:val="007A470E"/>
    <w:rsid w:val="007A5B01"/>
    <w:rsid w:val="007A5B63"/>
    <w:rsid w:val="007A5BA6"/>
    <w:rsid w:val="007A5EC1"/>
    <w:rsid w:val="007A62B9"/>
    <w:rsid w:val="007A6310"/>
    <w:rsid w:val="007A6818"/>
    <w:rsid w:val="007A715D"/>
    <w:rsid w:val="007A7E81"/>
    <w:rsid w:val="007A7E93"/>
    <w:rsid w:val="007B0A26"/>
    <w:rsid w:val="007B1221"/>
    <w:rsid w:val="007B1B7E"/>
    <w:rsid w:val="007B1DB7"/>
    <w:rsid w:val="007B2B8D"/>
    <w:rsid w:val="007B35BE"/>
    <w:rsid w:val="007B46BF"/>
    <w:rsid w:val="007B5383"/>
    <w:rsid w:val="007B6017"/>
    <w:rsid w:val="007B61E6"/>
    <w:rsid w:val="007B69ED"/>
    <w:rsid w:val="007B6B98"/>
    <w:rsid w:val="007B78ED"/>
    <w:rsid w:val="007B7ACE"/>
    <w:rsid w:val="007B7D25"/>
    <w:rsid w:val="007C0107"/>
    <w:rsid w:val="007C0E6F"/>
    <w:rsid w:val="007C139C"/>
    <w:rsid w:val="007C1AC4"/>
    <w:rsid w:val="007C1BCF"/>
    <w:rsid w:val="007C1FC9"/>
    <w:rsid w:val="007C2607"/>
    <w:rsid w:val="007C29FA"/>
    <w:rsid w:val="007C2ABB"/>
    <w:rsid w:val="007C2BE4"/>
    <w:rsid w:val="007C3C89"/>
    <w:rsid w:val="007C3E25"/>
    <w:rsid w:val="007C4262"/>
    <w:rsid w:val="007C4B0E"/>
    <w:rsid w:val="007C5CB2"/>
    <w:rsid w:val="007C66BF"/>
    <w:rsid w:val="007C67E2"/>
    <w:rsid w:val="007C7971"/>
    <w:rsid w:val="007C7DFF"/>
    <w:rsid w:val="007D01BC"/>
    <w:rsid w:val="007D100A"/>
    <w:rsid w:val="007D1137"/>
    <w:rsid w:val="007D116C"/>
    <w:rsid w:val="007D12EA"/>
    <w:rsid w:val="007D156B"/>
    <w:rsid w:val="007D219D"/>
    <w:rsid w:val="007D2F92"/>
    <w:rsid w:val="007D374D"/>
    <w:rsid w:val="007D3D18"/>
    <w:rsid w:val="007D3F55"/>
    <w:rsid w:val="007D4253"/>
    <w:rsid w:val="007D433F"/>
    <w:rsid w:val="007D435F"/>
    <w:rsid w:val="007D527A"/>
    <w:rsid w:val="007D5D8B"/>
    <w:rsid w:val="007D5FA6"/>
    <w:rsid w:val="007D64C9"/>
    <w:rsid w:val="007D6635"/>
    <w:rsid w:val="007D6BB1"/>
    <w:rsid w:val="007D755C"/>
    <w:rsid w:val="007D798F"/>
    <w:rsid w:val="007D7A20"/>
    <w:rsid w:val="007E0A04"/>
    <w:rsid w:val="007E10E7"/>
    <w:rsid w:val="007E1738"/>
    <w:rsid w:val="007E1833"/>
    <w:rsid w:val="007E2779"/>
    <w:rsid w:val="007E3073"/>
    <w:rsid w:val="007E3B19"/>
    <w:rsid w:val="007E4314"/>
    <w:rsid w:val="007E4572"/>
    <w:rsid w:val="007E5038"/>
    <w:rsid w:val="007E57D2"/>
    <w:rsid w:val="007E58E3"/>
    <w:rsid w:val="007E5E5B"/>
    <w:rsid w:val="007E6407"/>
    <w:rsid w:val="007E6810"/>
    <w:rsid w:val="007E6F97"/>
    <w:rsid w:val="007E6F9F"/>
    <w:rsid w:val="007E7764"/>
    <w:rsid w:val="007E77D6"/>
    <w:rsid w:val="007E7C36"/>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4E2"/>
    <w:rsid w:val="007F2DDE"/>
    <w:rsid w:val="007F337D"/>
    <w:rsid w:val="007F3B1A"/>
    <w:rsid w:val="007F3BA1"/>
    <w:rsid w:val="007F41FD"/>
    <w:rsid w:val="007F4592"/>
    <w:rsid w:val="007F5071"/>
    <w:rsid w:val="007F50EE"/>
    <w:rsid w:val="007F53F1"/>
    <w:rsid w:val="007F5604"/>
    <w:rsid w:val="007F6192"/>
    <w:rsid w:val="007F6756"/>
    <w:rsid w:val="007F67A9"/>
    <w:rsid w:val="007F67C7"/>
    <w:rsid w:val="007F6AFF"/>
    <w:rsid w:val="007F7063"/>
    <w:rsid w:val="007F7E44"/>
    <w:rsid w:val="007F7FF8"/>
    <w:rsid w:val="00802665"/>
    <w:rsid w:val="00802A46"/>
    <w:rsid w:val="00803155"/>
    <w:rsid w:val="00803CFD"/>
    <w:rsid w:val="00803FBB"/>
    <w:rsid w:val="0080439F"/>
    <w:rsid w:val="008043A8"/>
    <w:rsid w:val="00805DD3"/>
    <w:rsid w:val="00806AE6"/>
    <w:rsid w:val="00806C75"/>
    <w:rsid w:val="00807AD3"/>
    <w:rsid w:val="008108AC"/>
    <w:rsid w:val="008115FD"/>
    <w:rsid w:val="00811A99"/>
    <w:rsid w:val="00811B13"/>
    <w:rsid w:val="008137CC"/>
    <w:rsid w:val="0081430E"/>
    <w:rsid w:val="00814341"/>
    <w:rsid w:val="008149EF"/>
    <w:rsid w:val="008151EC"/>
    <w:rsid w:val="00815B9B"/>
    <w:rsid w:val="00816065"/>
    <w:rsid w:val="00817042"/>
    <w:rsid w:val="008174C3"/>
    <w:rsid w:val="00820441"/>
    <w:rsid w:val="008206CE"/>
    <w:rsid w:val="00820AD0"/>
    <w:rsid w:val="00821BA2"/>
    <w:rsid w:val="008221C1"/>
    <w:rsid w:val="008227D4"/>
    <w:rsid w:val="00823232"/>
    <w:rsid w:val="00823A32"/>
    <w:rsid w:val="00823B4C"/>
    <w:rsid w:val="0082411F"/>
    <w:rsid w:val="00825455"/>
    <w:rsid w:val="00825520"/>
    <w:rsid w:val="0082560D"/>
    <w:rsid w:val="0082568C"/>
    <w:rsid w:val="0082574D"/>
    <w:rsid w:val="00825D03"/>
    <w:rsid w:val="00825F7C"/>
    <w:rsid w:val="00826A26"/>
    <w:rsid w:val="00826CF1"/>
    <w:rsid w:val="00826D36"/>
    <w:rsid w:val="00827192"/>
    <w:rsid w:val="00827EE7"/>
    <w:rsid w:val="00827FF4"/>
    <w:rsid w:val="00830159"/>
    <w:rsid w:val="00830178"/>
    <w:rsid w:val="00831025"/>
    <w:rsid w:val="00831752"/>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4082F"/>
    <w:rsid w:val="00841302"/>
    <w:rsid w:val="00841CCE"/>
    <w:rsid w:val="00843E0F"/>
    <w:rsid w:val="008446B4"/>
    <w:rsid w:val="00844ADE"/>
    <w:rsid w:val="00844FD2"/>
    <w:rsid w:val="00845096"/>
    <w:rsid w:val="00845242"/>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21F9"/>
    <w:rsid w:val="00852263"/>
    <w:rsid w:val="00852D5E"/>
    <w:rsid w:val="0085317B"/>
    <w:rsid w:val="0085328E"/>
    <w:rsid w:val="00853F0A"/>
    <w:rsid w:val="008546BE"/>
    <w:rsid w:val="0085496F"/>
    <w:rsid w:val="00854A7F"/>
    <w:rsid w:val="008555F3"/>
    <w:rsid w:val="00855879"/>
    <w:rsid w:val="0085627F"/>
    <w:rsid w:val="00856344"/>
    <w:rsid w:val="008567C0"/>
    <w:rsid w:val="00856A9E"/>
    <w:rsid w:val="00856B0E"/>
    <w:rsid w:val="00856BA3"/>
    <w:rsid w:val="00856C4E"/>
    <w:rsid w:val="00856DE7"/>
    <w:rsid w:val="008579DB"/>
    <w:rsid w:val="00857B7C"/>
    <w:rsid w:val="00857C39"/>
    <w:rsid w:val="00857E4F"/>
    <w:rsid w:val="00861035"/>
    <w:rsid w:val="008610A8"/>
    <w:rsid w:val="00861D31"/>
    <w:rsid w:val="00861FBA"/>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F1"/>
    <w:rsid w:val="00865331"/>
    <w:rsid w:val="008657CA"/>
    <w:rsid w:val="00865DD5"/>
    <w:rsid w:val="0086649A"/>
    <w:rsid w:val="008667B9"/>
    <w:rsid w:val="00866B4D"/>
    <w:rsid w:val="00866DC4"/>
    <w:rsid w:val="008676CB"/>
    <w:rsid w:val="00870121"/>
    <w:rsid w:val="0087093B"/>
    <w:rsid w:val="00870B5A"/>
    <w:rsid w:val="00870D14"/>
    <w:rsid w:val="0087115E"/>
    <w:rsid w:val="0087130D"/>
    <w:rsid w:val="008716CB"/>
    <w:rsid w:val="008719C4"/>
    <w:rsid w:val="0087345D"/>
    <w:rsid w:val="00873713"/>
    <w:rsid w:val="0087456C"/>
    <w:rsid w:val="00875068"/>
    <w:rsid w:val="008751D3"/>
    <w:rsid w:val="008756B3"/>
    <w:rsid w:val="00876394"/>
    <w:rsid w:val="008765AB"/>
    <w:rsid w:val="00876657"/>
    <w:rsid w:val="00876D2A"/>
    <w:rsid w:val="00877012"/>
    <w:rsid w:val="00877614"/>
    <w:rsid w:val="00877D81"/>
    <w:rsid w:val="00880550"/>
    <w:rsid w:val="0088093A"/>
    <w:rsid w:val="00881450"/>
    <w:rsid w:val="008815F1"/>
    <w:rsid w:val="008816C1"/>
    <w:rsid w:val="00881D3B"/>
    <w:rsid w:val="008826C6"/>
    <w:rsid w:val="00883322"/>
    <w:rsid w:val="00883F13"/>
    <w:rsid w:val="008841EE"/>
    <w:rsid w:val="00884FD4"/>
    <w:rsid w:val="00885C35"/>
    <w:rsid w:val="00886A21"/>
    <w:rsid w:val="00886FCF"/>
    <w:rsid w:val="0088758A"/>
    <w:rsid w:val="008877E3"/>
    <w:rsid w:val="008878CC"/>
    <w:rsid w:val="00887C29"/>
    <w:rsid w:val="0089046C"/>
    <w:rsid w:val="00890AC9"/>
    <w:rsid w:val="00891F3E"/>
    <w:rsid w:val="00892DD7"/>
    <w:rsid w:val="00892FF3"/>
    <w:rsid w:val="00893497"/>
    <w:rsid w:val="008942E7"/>
    <w:rsid w:val="00894709"/>
    <w:rsid w:val="00895550"/>
    <w:rsid w:val="00895AA2"/>
    <w:rsid w:val="00897094"/>
    <w:rsid w:val="00897286"/>
    <w:rsid w:val="00897563"/>
    <w:rsid w:val="00897815"/>
    <w:rsid w:val="008A0549"/>
    <w:rsid w:val="008A0F62"/>
    <w:rsid w:val="008A2533"/>
    <w:rsid w:val="008A28C4"/>
    <w:rsid w:val="008A36B7"/>
    <w:rsid w:val="008A3934"/>
    <w:rsid w:val="008A3DC6"/>
    <w:rsid w:val="008A4E4A"/>
    <w:rsid w:val="008A4FB7"/>
    <w:rsid w:val="008A517B"/>
    <w:rsid w:val="008A5402"/>
    <w:rsid w:val="008A54C8"/>
    <w:rsid w:val="008A663E"/>
    <w:rsid w:val="008A6DCA"/>
    <w:rsid w:val="008A6FBA"/>
    <w:rsid w:val="008A791B"/>
    <w:rsid w:val="008A793F"/>
    <w:rsid w:val="008B00F3"/>
    <w:rsid w:val="008B048F"/>
    <w:rsid w:val="008B08DA"/>
    <w:rsid w:val="008B0C67"/>
    <w:rsid w:val="008B0DB0"/>
    <w:rsid w:val="008B1088"/>
    <w:rsid w:val="008B2598"/>
    <w:rsid w:val="008B4009"/>
    <w:rsid w:val="008B4956"/>
    <w:rsid w:val="008B52D1"/>
    <w:rsid w:val="008B532F"/>
    <w:rsid w:val="008B600B"/>
    <w:rsid w:val="008B60E2"/>
    <w:rsid w:val="008B6511"/>
    <w:rsid w:val="008B7475"/>
    <w:rsid w:val="008B7787"/>
    <w:rsid w:val="008B7DF5"/>
    <w:rsid w:val="008C070D"/>
    <w:rsid w:val="008C0F61"/>
    <w:rsid w:val="008C26A6"/>
    <w:rsid w:val="008C34A2"/>
    <w:rsid w:val="008C3525"/>
    <w:rsid w:val="008C390F"/>
    <w:rsid w:val="008C436C"/>
    <w:rsid w:val="008C49E3"/>
    <w:rsid w:val="008C4BD5"/>
    <w:rsid w:val="008C56EE"/>
    <w:rsid w:val="008C5922"/>
    <w:rsid w:val="008C5FD7"/>
    <w:rsid w:val="008C688A"/>
    <w:rsid w:val="008D012E"/>
    <w:rsid w:val="008D0823"/>
    <w:rsid w:val="008D09A7"/>
    <w:rsid w:val="008D194B"/>
    <w:rsid w:val="008D1AC8"/>
    <w:rsid w:val="008D1F5C"/>
    <w:rsid w:val="008D2663"/>
    <w:rsid w:val="008D2829"/>
    <w:rsid w:val="008D3349"/>
    <w:rsid w:val="008D3482"/>
    <w:rsid w:val="008D3484"/>
    <w:rsid w:val="008D369E"/>
    <w:rsid w:val="008D3817"/>
    <w:rsid w:val="008D433F"/>
    <w:rsid w:val="008D49D7"/>
    <w:rsid w:val="008D4DFC"/>
    <w:rsid w:val="008D51A7"/>
    <w:rsid w:val="008D584B"/>
    <w:rsid w:val="008D5D5F"/>
    <w:rsid w:val="008D66A2"/>
    <w:rsid w:val="008D6AA4"/>
    <w:rsid w:val="008D794C"/>
    <w:rsid w:val="008E0D19"/>
    <w:rsid w:val="008E16F9"/>
    <w:rsid w:val="008E1C65"/>
    <w:rsid w:val="008E2491"/>
    <w:rsid w:val="008E2621"/>
    <w:rsid w:val="008E31C4"/>
    <w:rsid w:val="008E3ECC"/>
    <w:rsid w:val="008E6410"/>
    <w:rsid w:val="008E64EB"/>
    <w:rsid w:val="008E6658"/>
    <w:rsid w:val="008E69AC"/>
    <w:rsid w:val="008E6F00"/>
    <w:rsid w:val="008E7AF3"/>
    <w:rsid w:val="008E7B87"/>
    <w:rsid w:val="008F0291"/>
    <w:rsid w:val="008F1F71"/>
    <w:rsid w:val="008F26D4"/>
    <w:rsid w:val="008F3F33"/>
    <w:rsid w:val="008F44BD"/>
    <w:rsid w:val="008F4B6F"/>
    <w:rsid w:val="008F4C82"/>
    <w:rsid w:val="008F4E37"/>
    <w:rsid w:val="008F4F89"/>
    <w:rsid w:val="008F540C"/>
    <w:rsid w:val="008F5415"/>
    <w:rsid w:val="008F56AC"/>
    <w:rsid w:val="008F5DB7"/>
    <w:rsid w:val="008F7306"/>
    <w:rsid w:val="00900744"/>
    <w:rsid w:val="009008F2"/>
    <w:rsid w:val="00900A11"/>
    <w:rsid w:val="009012D4"/>
    <w:rsid w:val="009016E8"/>
    <w:rsid w:val="00901F75"/>
    <w:rsid w:val="00902308"/>
    <w:rsid w:val="009023AD"/>
    <w:rsid w:val="00902431"/>
    <w:rsid w:val="009026F3"/>
    <w:rsid w:val="009028CA"/>
    <w:rsid w:val="00903774"/>
    <w:rsid w:val="0090388A"/>
    <w:rsid w:val="0090412A"/>
    <w:rsid w:val="00904E40"/>
    <w:rsid w:val="00905040"/>
    <w:rsid w:val="00905291"/>
    <w:rsid w:val="00906600"/>
    <w:rsid w:val="009068F2"/>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A33"/>
    <w:rsid w:val="00914535"/>
    <w:rsid w:val="00915D46"/>
    <w:rsid w:val="00915FBE"/>
    <w:rsid w:val="00916835"/>
    <w:rsid w:val="00916E70"/>
    <w:rsid w:val="009170DE"/>
    <w:rsid w:val="009172F2"/>
    <w:rsid w:val="009176D0"/>
    <w:rsid w:val="00917E2C"/>
    <w:rsid w:val="00920AEA"/>
    <w:rsid w:val="00921789"/>
    <w:rsid w:val="009228C1"/>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332A"/>
    <w:rsid w:val="009333BB"/>
    <w:rsid w:val="009340E3"/>
    <w:rsid w:val="0093456C"/>
    <w:rsid w:val="009349AB"/>
    <w:rsid w:val="009353C7"/>
    <w:rsid w:val="0093562B"/>
    <w:rsid w:val="009356C1"/>
    <w:rsid w:val="00935B96"/>
    <w:rsid w:val="00936827"/>
    <w:rsid w:val="00936C53"/>
    <w:rsid w:val="00937A74"/>
    <w:rsid w:val="00937C4F"/>
    <w:rsid w:val="009404D6"/>
    <w:rsid w:val="009408C2"/>
    <w:rsid w:val="009415EB"/>
    <w:rsid w:val="009418D8"/>
    <w:rsid w:val="00941BB7"/>
    <w:rsid w:val="0094300A"/>
    <w:rsid w:val="00943314"/>
    <w:rsid w:val="009437E9"/>
    <w:rsid w:val="00943A67"/>
    <w:rsid w:val="00943CE1"/>
    <w:rsid w:val="00943EFA"/>
    <w:rsid w:val="009447A3"/>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F6F"/>
    <w:rsid w:val="00952078"/>
    <w:rsid w:val="009520B1"/>
    <w:rsid w:val="00952244"/>
    <w:rsid w:val="00952282"/>
    <w:rsid w:val="009526B8"/>
    <w:rsid w:val="0095288C"/>
    <w:rsid w:val="0095471A"/>
    <w:rsid w:val="00954EDD"/>
    <w:rsid w:val="009550A6"/>
    <w:rsid w:val="0095537B"/>
    <w:rsid w:val="009553C6"/>
    <w:rsid w:val="00955FDB"/>
    <w:rsid w:val="0095611C"/>
    <w:rsid w:val="009567E3"/>
    <w:rsid w:val="009569B8"/>
    <w:rsid w:val="00956BFB"/>
    <w:rsid w:val="00956DB0"/>
    <w:rsid w:val="00956DFE"/>
    <w:rsid w:val="00956F82"/>
    <w:rsid w:val="0095745C"/>
    <w:rsid w:val="00957E03"/>
    <w:rsid w:val="00960F94"/>
    <w:rsid w:val="009611F2"/>
    <w:rsid w:val="009615EC"/>
    <w:rsid w:val="009616A9"/>
    <w:rsid w:val="00961E1B"/>
    <w:rsid w:val="009620B1"/>
    <w:rsid w:val="0096257C"/>
    <w:rsid w:val="00963870"/>
    <w:rsid w:val="00963E16"/>
    <w:rsid w:val="00964467"/>
    <w:rsid w:val="00964A72"/>
    <w:rsid w:val="00964AF5"/>
    <w:rsid w:val="00965B71"/>
    <w:rsid w:val="00965F4F"/>
    <w:rsid w:val="00966232"/>
    <w:rsid w:val="00966ECC"/>
    <w:rsid w:val="00966ED1"/>
    <w:rsid w:val="00967488"/>
    <w:rsid w:val="009676BE"/>
    <w:rsid w:val="009702B6"/>
    <w:rsid w:val="009705DF"/>
    <w:rsid w:val="0097078D"/>
    <w:rsid w:val="0097089F"/>
    <w:rsid w:val="009709BF"/>
    <w:rsid w:val="0097168D"/>
    <w:rsid w:val="00972124"/>
    <w:rsid w:val="00972442"/>
    <w:rsid w:val="009725F4"/>
    <w:rsid w:val="00972BC8"/>
    <w:rsid w:val="0097308E"/>
    <w:rsid w:val="00973669"/>
    <w:rsid w:val="0097445D"/>
    <w:rsid w:val="00975876"/>
    <w:rsid w:val="00976DF1"/>
    <w:rsid w:val="00977D0D"/>
    <w:rsid w:val="0098003F"/>
    <w:rsid w:val="009821AF"/>
    <w:rsid w:val="00982A58"/>
    <w:rsid w:val="00983370"/>
    <w:rsid w:val="00983B46"/>
    <w:rsid w:val="00983FE2"/>
    <w:rsid w:val="00984301"/>
    <w:rsid w:val="009844B5"/>
    <w:rsid w:val="0098478C"/>
    <w:rsid w:val="00985234"/>
    <w:rsid w:val="00985987"/>
    <w:rsid w:val="00986037"/>
    <w:rsid w:val="00986244"/>
    <w:rsid w:val="00987611"/>
    <w:rsid w:val="009901EF"/>
    <w:rsid w:val="009906FC"/>
    <w:rsid w:val="0099146F"/>
    <w:rsid w:val="00991685"/>
    <w:rsid w:val="00992A44"/>
    <w:rsid w:val="00992ACE"/>
    <w:rsid w:val="009934CE"/>
    <w:rsid w:val="00993705"/>
    <w:rsid w:val="00993DC2"/>
    <w:rsid w:val="0099447D"/>
    <w:rsid w:val="009945C3"/>
    <w:rsid w:val="0099500B"/>
    <w:rsid w:val="00995398"/>
    <w:rsid w:val="00995441"/>
    <w:rsid w:val="00995737"/>
    <w:rsid w:val="00995D3B"/>
    <w:rsid w:val="00995E40"/>
    <w:rsid w:val="00996297"/>
    <w:rsid w:val="00996DD5"/>
    <w:rsid w:val="009976D0"/>
    <w:rsid w:val="00997807"/>
    <w:rsid w:val="00997B72"/>
    <w:rsid w:val="00997FCA"/>
    <w:rsid w:val="009A02AB"/>
    <w:rsid w:val="009A1058"/>
    <w:rsid w:val="009A15FD"/>
    <w:rsid w:val="009A16E4"/>
    <w:rsid w:val="009A221D"/>
    <w:rsid w:val="009A2965"/>
    <w:rsid w:val="009A378E"/>
    <w:rsid w:val="009A4BAC"/>
    <w:rsid w:val="009A5641"/>
    <w:rsid w:val="009A58F2"/>
    <w:rsid w:val="009A62A4"/>
    <w:rsid w:val="009A6BE8"/>
    <w:rsid w:val="009A70E0"/>
    <w:rsid w:val="009A755E"/>
    <w:rsid w:val="009A7A16"/>
    <w:rsid w:val="009A7C65"/>
    <w:rsid w:val="009B02BC"/>
    <w:rsid w:val="009B0761"/>
    <w:rsid w:val="009B0853"/>
    <w:rsid w:val="009B0B39"/>
    <w:rsid w:val="009B0EF0"/>
    <w:rsid w:val="009B122B"/>
    <w:rsid w:val="009B1384"/>
    <w:rsid w:val="009B1F40"/>
    <w:rsid w:val="009B2617"/>
    <w:rsid w:val="009B2B72"/>
    <w:rsid w:val="009B3481"/>
    <w:rsid w:val="009B37A2"/>
    <w:rsid w:val="009B3D8D"/>
    <w:rsid w:val="009B4FDA"/>
    <w:rsid w:val="009B5A0F"/>
    <w:rsid w:val="009B6143"/>
    <w:rsid w:val="009B6586"/>
    <w:rsid w:val="009B6C2A"/>
    <w:rsid w:val="009B739A"/>
    <w:rsid w:val="009B76C5"/>
    <w:rsid w:val="009B7EAA"/>
    <w:rsid w:val="009C0E2A"/>
    <w:rsid w:val="009C1AEB"/>
    <w:rsid w:val="009C2B83"/>
    <w:rsid w:val="009C394A"/>
    <w:rsid w:val="009C3CCF"/>
    <w:rsid w:val="009C4E7A"/>
    <w:rsid w:val="009C5632"/>
    <w:rsid w:val="009C5AE7"/>
    <w:rsid w:val="009C60CE"/>
    <w:rsid w:val="009C613A"/>
    <w:rsid w:val="009C6495"/>
    <w:rsid w:val="009C65E9"/>
    <w:rsid w:val="009C66EA"/>
    <w:rsid w:val="009C74BD"/>
    <w:rsid w:val="009C7F16"/>
    <w:rsid w:val="009D0D68"/>
    <w:rsid w:val="009D0E53"/>
    <w:rsid w:val="009D1412"/>
    <w:rsid w:val="009D2511"/>
    <w:rsid w:val="009D292D"/>
    <w:rsid w:val="009D2AD3"/>
    <w:rsid w:val="009D378C"/>
    <w:rsid w:val="009D3860"/>
    <w:rsid w:val="009D3F56"/>
    <w:rsid w:val="009D4123"/>
    <w:rsid w:val="009D44B9"/>
    <w:rsid w:val="009D5850"/>
    <w:rsid w:val="009D70F6"/>
    <w:rsid w:val="009D72C2"/>
    <w:rsid w:val="009D7F96"/>
    <w:rsid w:val="009D7F9E"/>
    <w:rsid w:val="009E026B"/>
    <w:rsid w:val="009E097D"/>
    <w:rsid w:val="009E147E"/>
    <w:rsid w:val="009E186D"/>
    <w:rsid w:val="009E2199"/>
    <w:rsid w:val="009E28A5"/>
    <w:rsid w:val="009E3512"/>
    <w:rsid w:val="009E385A"/>
    <w:rsid w:val="009E38AF"/>
    <w:rsid w:val="009E39EA"/>
    <w:rsid w:val="009E4023"/>
    <w:rsid w:val="009E40E1"/>
    <w:rsid w:val="009E470F"/>
    <w:rsid w:val="009E58E6"/>
    <w:rsid w:val="009E5C7A"/>
    <w:rsid w:val="009E693B"/>
    <w:rsid w:val="009E6C1A"/>
    <w:rsid w:val="009E7699"/>
    <w:rsid w:val="009F104E"/>
    <w:rsid w:val="009F2D7B"/>
    <w:rsid w:val="009F3208"/>
    <w:rsid w:val="009F53DD"/>
    <w:rsid w:val="009F5EEA"/>
    <w:rsid w:val="009F6292"/>
    <w:rsid w:val="009F6331"/>
    <w:rsid w:val="009F64D5"/>
    <w:rsid w:val="009F69E7"/>
    <w:rsid w:val="009F6D6C"/>
    <w:rsid w:val="009F6E02"/>
    <w:rsid w:val="009F764E"/>
    <w:rsid w:val="009F79A2"/>
    <w:rsid w:val="00A003EF"/>
    <w:rsid w:val="00A00E1D"/>
    <w:rsid w:val="00A017B3"/>
    <w:rsid w:val="00A018D4"/>
    <w:rsid w:val="00A01C3F"/>
    <w:rsid w:val="00A02020"/>
    <w:rsid w:val="00A02FAD"/>
    <w:rsid w:val="00A032E1"/>
    <w:rsid w:val="00A03745"/>
    <w:rsid w:val="00A03EFA"/>
    <w:rsid w:val="00A06AB0"/>
    <w:rsid w:val="00A06EFB"/>
    <w:rsid w:val="00A07887"/>
    <w:rsid w:val="00A07910"/>
    <w:rsid w:val="00A10323"/>
    <w:rsid w:val="00A104F8"/>
    <w:rsid w:val="00A10548"/>
    <w:rsid w:val="00A117F6"/>
    <w:rsid w:val="00A11BD4"/>
    <w:rsid w:val="00A11CDC"/>
    <w:rsid w:val="00A12592"/>
    <w:rsid w:val="00A12797"/>
    <w:rsid w:val="00A12915"/>
    <w:rsid w:val="00A12B68"/>
    <w:rsid w:val="00A12F48"/>
    <w:rsid w:val="00A134AA"/>
    <w:rsid w:val="00A13E00"/>
    <w:rsid w:val="00A13F7C"/>
    <w:rsid w:val="00A148BB"/>
    <w:rsid w:val="00A14932"/>
    <w:rsid w:val="00A14AEA"/>
    <w:rsid w:val="00A14B5D"/>
    <w:rsid w:val="00A14DB4"/>
    <w:rsid w:val="00A15C8A"/>
    <w:rsid w:val="00A15D41"/>
    <w:rsid w:val="00A171A9"/>
    <w:rsid w:val="00A17ED1"/>
    <w:rsid w:val="00A20096"/>
    <w:rsid w:val="00A202E9"/>
    <w:rsid w:val="00A20411"/>
    <w:rsid w:val="00A20643"/>
    <w:rsid w:val="00A224F8"/>
    <w:rsid w:val="00A225C5"/>
    <w:rsid w:val="00A22677"/>
    <w:rsid w:val="00A22761"/>
    <w:rsid w:val="00A23301"/>
    <w:rsid w:val="00A23384"/>
    <w:rsid w:val="00A237A4"/>
    <w:rsid w:val="00A251C4"/>
    <w:rsid w:val="00A256F6"/>
    <w:rsid w:val="00A25BE9"/>
    <w:rsid w:val="00A27325"/>
    <w:rsid w:val="00A2794A"/>
    <w:rsid w:val="00A27AD7"/>
    <w:rsid w:val="00A30602"/>
    <w:rsid w:val="00A30828"/>
    <w:rsid w:val="00A3100D"/>
    <w:rsid w:val="00A31711"/>
    <w:rsid w:val="00A31E8A"/>
    <w:rsid w:val="00A328F2"/>
    <w:rsid w:val="00A32A5E"/>
    <w:rsid w:val="00A33464"/>
    <w:rsid w:val="00A33668"/>
    <w:rsid w:val="00A338F4"/>
    <w:rsid w:val="00A33C81"/>
    <w:rsid w:val="00A34633"/>
    <w:rsid w:val="00A34F69"/>
    <w:rsid w:val="00A3674D"/>
    <w:rsid w:val="00A37231"/>
    <w:rsid w:val="00A37AF1"/>
    <w:rsid w:val="00A40EE2"/>
    <w:rsid w:val="00A429E0"/>
    <w:rsid w:val="00A42BA4"/>
    <w:rsid w:val="00A430B5"/>
    <w:rsid w:val="00A432F3"/>
    <w:rsid w:val="00A4449C"/>
    <w:rsid w:val="00A44506"/>
    <w:rsid w:val="00A447E0"/>
    <w:rsid w:val="00A44B7A"/>
    <w:rsid w:val="00A44BD9"/>
    <w:rsid w:val="00A4503C"/>
    <w:rsid w:val="00A45E9F"/>
    <w:rsid w:val="00A46274"/>
    <w:rsid w:val="00A46BF2"/>
    <w:rsid w:val="00A46DE5"/>
    <w:rsid w:val="00A47064"/>
    <w:rsid w:val="00A479A0"/>
    <w:rsid w:val="00A47C7A"/>
    <w:rsid w:val="00A5046C"/>
    <w:rsid w:val="00A51737"/>
    <w:rsid w:val="00A51AE0"/>
    <w:rsid w:val="00A51FF7"/>
    <w:rsid w:val="00A526BE"/>
    <w:rsid w:val="00A5296C"/>
    <w:rsid w:val="00A52ABB"/>
    <w:rsid w:val="00A52D97"/>
    <w:rsid w:val="00A540E9"/>
    <w:rsid w:val="00A54544"/>
    <w:rsid w:val="00A55DCE"/>
    <w:rsid w:val="00A5601C"/>
    <w:rsid w:val="00A561FA"/>
    <w:rsid w:val="00A564E2"/>
    <w:rsid w:val="00A56893"/>
    <w:rsid w:val="00A56F73"/>
    <w:rsid w:val="00A5723B"/>
    <w:rsid w:val="00A57F1B"/>
    <w:rsid w:val="00A6073D"/>
    <w:rsid w:val="00A60743"/>
    <w:rsid w:val="00A60C3E"/>
    <w:rsid w:val="00A60DE4"/>
    <w:rsid w:val="00A619BE"/>
    <w:rsid w:val="00A6295C"/>
    <w:rsid w:val="00A62987"/>
    <w:rsid w:val="00A62D75"/>
    <w:rsid w:val="00A62E72"/>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77"/>
    <w:rsid w:val="00A70E62"/>
    <w:rsid w:val="00A7106F"/>
    <w:rsid w:val="00A7143A"/>
    <w:rsid w:val="00A71F5F"/>
    <w:rsid w:val="00A725EA"/>
    <w:rsid w:val="00A72CD9"/>
    <w:rsid w:val="00A73054"/>
    <w:rsid w:val="00A73454"/>
    <w:rsid w:val="00A7412C"/>
    <w:rsid w:val="00A741CC"/>
    <w:rsid w:val="00A74AAC"/>
    <w:rsid w:val="00A7519F"/>
    <w:rsid w:val="00A770C1"/>
    <w:rsid w:val="00A77AB3"/>
    <w:rsid w:val="00A77DF9"/>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90581"/>
    <w:rsid w:val="00A90691"/>
    <w:rsid w:val="00A90921"/>
    <w:rsid w:val="00A90E71"/>
    <w:rsid w:val="00A911BE"/>
    <w:rsid w:val="00A91457"/>
    <w:rsid w:val="00A91AFF"/>
    <w:rsid w:val="00A92650"/>
    <w:rsid w:val="00A928D3"/>
    <w:rsid w:val="00A92AAD"/>
    <w:rsid w:val="00A92B80"/>
    <w:rsid w:val="00A93979"/>
    <w:rsid w:val="00A947D9"/>
    <w:rsid w:val="00A94C55"/>
    <w:rsid w:val="00A95280"/>
    <w:rsid w:val="00A95316"/>
    <w:rsid w:val="00A95CF9"/>
    <w:rsid w:val="00A96962"/>
    <w:rsid w:val="00A96A21"/>
    <w:rsid w:val="00A97229"/>
    <w:rsid w:val="00A97899"/>
    <w:rsid w:val="00AA010F"/>
    <w:rsid w:val="00AA04BD"/>
    <w:rsid w:val="00AA0A55"/>
    <w:rsid w:val="00AA0D04"/>
    <w:rsid w:val="00AA0DB3"/>
    <w:rsid w:val="00AA1D7A"/>
    <w:rsid w:val="00AA23BD"/>
    <w:rsid w:val="00AA265C"/>
    <w:rsid w:val="00AA2BB8"/>
    <w:rsid w:val="00AA3109"/>
    <w:rsid w:val="00AA3787"/>
    <w:rsid w:val="00AA3A28"/>
    <w:rsid w:val="00AA46D2"/>
    <w:rsid w:val="00AA4DAF"/>
    <w:rsid w:val="00AA52A3"/>
    <w:rsid w:val="00AA55EE"/>
    <w:rsid w:val="00AA588F"/>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38B4"/>
    <w:rsid w:val="00AB39FB"/>
    <w:rsid w:val="00AB3E77"/>
    <w:rsid w:val="00AB484C"/>
    <w:rsid w:val="00AB4BBB"/>
    <w:rsid w:val="00AB4C33"/>
    <w:rsid w:val="00AB4D3F"/>
    <w:rsid w:val="00AB4F35"/>
    <w:rsid w:val="00AB4FE1"/>
    <w:rsid w:val="00AB527A"/>
    <w:rsid w:val="00AB559A"/>
    <w:rsid w:val="00AB61CB"/>
    <w:rsid w:val="00AB6240"/>
    <w:rsid w:val="00AB6873"/>
    <w:rsid w:val="00AB7284"/>
    <w:rsid w:val="00AB7E25"/>
    <w:rsid w:val="00AC0646"/>
    <w:rsid w:val="00AC08FB"/>
    <w:rsid w:val="00AC10EE"/>
    <w:rsid w:val="00AC1418"/>
    <w:rsid w:val="00AC161E"/>
    <w:rsid w:val="00AC165B"/>
    <w:rsid w:val="00AC2111"/>
    <w:rsid w:val="00AC23D5"/>
    <w:rsid w:val="00AC3342"/>
    <w:rsid w:val="00AC4C6C"/>
    <w:rsid w:val="00AC53A7"/>
    <w:rsid w:val="00AC5AA5"/>
    <w:rsid w:val="00AC64F8"/>
    <w:rsid w:val="00AC68F1"/>
    <w:rsid w:val="00AC79E3"/>
    <w:rsid w:val="00AC7BB6"/>
    <w:rsid w:val="00AC7DF9"/>
    <w:rsid w:val="00AD0017"/>
    <w:rsid w:val="00AD07C2"/>
    <w:rsid w:val="00AD0841"/>
    <w:rsid w:val="00AD0E97"/>
    <w:rsid w:val="00AD16DC"/>
    <w:rsid w:val="00AD1F69"/>
    <w:rsid w:val="00AD2361"/>
    <w:rsid w:val="00AD282D"/>
    <w:rsid w:val="00AD2C8C"/>
    <w:rsid w:val="00AD2F85"/>
    <w:rsid w:val="00AD3ABC"/>
    <w:rsid w:val="00AD3C71"/>
    <w:rsid w:val="00AD4883"/>
    <w:rsid w:val="00AD5583"/>
    <w:rsid w:val="00AD631B"/>
    <w:rsid w:val="00AD6891"/>
    <w:rsid w:val="00AD6DA0"/>
    <w:rsid w:val="00AD7470"/>
    <w:rsid w:val="00AE01D5"/>
    <w:rsid w:val="00AE0C10"/>
    <w:rsid w:val="00AE129E"/>
    <w:rsid w:val="00AE1917"/>
    <w:rsid w:val="00AE1972"/>
    <w:rsid w:val="00AE1DB6"/>
    <w:rsid w:val="00AE232C"/>
    <w:rsid w:val="00AE237C"/>
    <w:rsid w:val="00AE25E2"/>
    <w:rsid w:val="00AE2880"/>
    <w:rsid w:val="00AE3220"/>
    <w:rsid w:val="00AE46E7"/>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C1C"/>
    <w:rsid w:val="00AF205E"/>
    <w:rsid w:val="00AF230A"/>
    <w:rsid w:val="00AF29C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2670"/>
    <w:rsid w:val="00B02904"/>
    <w:rsid w:val="00B02B95"/>
    <w:rsid w:val="00B02C5F"/>
    <w:rsid w:val="00B02FC5"/>
    <w:rsid w:val="00B032DE"/>
    <w:rsid w:val="00B03F1D"/>
    <w:rsid w:val="00B042E6"/>
    <w:rsid w:val="00B049D2"/>
    <w:rsid w:val="00B062C6"/>
    <w:rsid w:val="00B06902"/>
    <w:rsid w:val="00B06A84"/>
    <w:rsid w:val="00B06C3E"/>
    <w:rsid w:val="00B07423"/>
    <w:rsid w:val="00B07427"/>
    <w:rsid w:val="00B0742B"/>
    <w:rsid w:val="00B07818"/>
    <w:rsid w:val="00B07CBA"/>
    <w:rsid w:val="00B10E2D"/>
    <w:rsid w:val="00B12152"/>
    <w:rsid w:val="00B1280F"/>
    <w:rsid w:val="00B139EE"/>
    <w:rsid w:val="00B14746"/>
    <w:rsid w:val="00B1488E"/>
    <w:rsid w:val="00B14E9C"/>
    <w:rsid w:val="00B14FA1"/>
    <w:rsid w:val="00B15367"/>
    <w:rsid w:val="00B15707"/>
    <w:rsid w:val="00B15FA1"/>
    <w:rsid w:val="00B16422"/>
    <w:rsid w:val="00B16A26"/>
    <w:rsid w:val="00B17288"/>
    <w:rsid w:val="00B20541"/>
    <w:rsid w:val="00B20856"/>
    <w:rsid w:val="00B20988"/>
    <w:rsid w:val="00B20D5E"/>
    <w:rsid w:val="00B21404"/>
    <w:rsid w:val="00B2403F"/>
    <w:rsid w:val="00B240EA"/>
    <w:rsid w:val="00B2484B"/>
    <w:rsid w:val="00B2497F"/>
    <w:rsid w:val="00B2510D"/>
    <w:rsid w:val="00B25A9D"/>
    <w:rsid w:val="00B26417"/>
    <w:rsid w:val="00B27947"/>
    <w:rsid w:val="00B302AC"/>
    <w:rsid w:val="00B30403"/>
    <w:rsid w:val="00B3121C"/>
    <w:rsid w:val="00B315F0"/>
    <w:rsid w:val="00B32291"/>
    <w:rsid w:val="00B32CC7"/>
    <w:rsid w:val="00B336CD"/>
    <w:rsid w:val="00B33BA6"/>
    <w:rsid w:val="00B3462E"/>
    <w:rsid w:val="00B34CD5"/>
    <w:rsid w:val="00B34D52"/>
    <w:rsid w:val="00B34EE6"/>
    <w:rsid w:val="00B35FEC"/>
    <w:rsid w:val="00B37700"/>
    <w:rsid w:val="00B37C74"/>
    <w:rsid w:val="00B37FB3"/>
    <w:rsid w:val="00B408EE"/>
    <w:rsid w:val="00B40D82"/>
    <w:rsid w:val="00B40DE1"/>
    <w:rsid w:val="00B42223"/>
    <w:rsid w:val="00B4298B"/>
    <w:rsid w:val="00B43785"/>
    <w:rsid w:val="00B43D31"/>
    <w:rsid w:val="00B446FF"/>
    <w:rsid w:val="00B45AFC"/>
    <w:rsid w:val="00B45B73"/>
    <w:rsid w:val="00B45F00"/>
    <w:rsid w:val="00B461E1"/>
    <w:rsid w:val="00B46259"/>
    <w:rsid w:val="00B46857"/>
    <w:rsid w:val="00B47068"/>
    <w:rsid w:val="00B476A3"/>
    <w:rsid w:val="00B47D91"/>
    <w:rsid w:val="00B5018E"/>
    <w:rsid w:val="00B50241"/>
    <w:rsid w:val="00B505CD"/>
    <w:rsid w:val="00B50C91"/>
    <w:rsid w:val="00B50F8A"/>
    <w:rsid w:val="00B51029"/>
    <w:rsid w:val="00B51C5C"/>
    <w:rsid w:val="00B51E62"/>
    <w:rsid w:val="00B5226C"/>
    <w:rsid w:val="00B5246B"/>
    <w:rsid w:val="00B5350E"/>
    <w:rsid w:val="00B5360D"/>
    <w:rsid w:val="00B54174"/>
    <w:rsid w:val="00B54491"/>
    <w:rsid w:val="00B54904"/>
    <w:rsid w:val="00B55C2D"/>
    <w:rsid w:val="00B56D0B"/>
    <w:rsid w:val="00B5712D"/>
    <w:rsid w:val="00B5766A"/>
    <w:rsid w:val="00B57976"/>
    <w:rsid w:val="00B60990"/>
    <w:rsid w:val="00B61941"/>
    <w:rsid w:val="00B61DC4"/>
    <w:rsid w:val="00B63617"/>
    <w:rsid w:val="00B6413B"/>
    <w:rsid w:val="00B645B3"/>
    <w:rsid w:val="00B648A2"/>
    <w:rsid w:val="00B654C1"/>
    <w:rsid w:val="00B659D3"/>
    <w:rsid w:val="00B65C2C"/>
    <w:rsid w:val="00B67038"/>
    <w:rsid w:val="00B670C4"/>
    <w:rsid w:val="00B67F4C"/>
    <w:rsid w:val="00B67FFE"/>
    <w:rsid w:val="00B7068F"/>
    <w:rsid w:val="00B70C7F"/>
    <w:rsid w:val="00B70F12"/>
    <w:rsid w:val="00B70FBF"/>
    <w:rsid w:val="00B71866"/>
    <w:rsid w:val="00B725C2"/>
    <w:rsid w:val="00B72A16"/>
    <w:rsid w:val="00B72CF0"/>
    <w:rsid w:val="00B73485"/>
    <w:rsid w:val="00B74D9F"/>
    <w:rsid w:val="00B7653B"/>
    <w:rsid w:val="00B76E91"/>
    <w:rsid w:val="00B771D7"/>
    <w:rsid w:val="00B801B2"/>
    <w:rsid w:val="00B8225C"/>
    <w:rsid w:val="00B8277D"/>
    <w:rsid w:val="00B82897"/>
    <w:rsid w:val="00B82D3F"/>
    <w:rsid w:val="00B831A9"/>
    <w:rsid w:val="00B83857"/>
    <w:rsid w:val="00B84348"/>
    <w:rsid w:val="00B847D9"/>
    <w:rsid w:val="00B85251"/>
    <w:rsid w:val="00B853CC"/>
    <w:rsid w:val="00B8653C"/>
    <w:rsid w:val="00B866EE"/>
    <w:rsid w:val="00B86E84"/>
    <w:rsid w:val="00B86E85"/>
    <w:rsid w:val="00B8751C"/>
    <w:rsid w:val="00B87F36"/>
    <w:rsid w:val="00B9048A"/>
    <w:rsid w:val="00B90835"/>
    <w:rsid w:val="00B91C11"/>
    <w:rsid w:val="00B91D2A"/>
    <w:rsid w:val="00B92C38"/>
    <w:rsid w:val="00B930FA"/>
    <w:rsid w:val="00B94815"/>
    <w:rsid w:val="00B954DC"/>
    <w:rsid w:val="00B9739D"/>
    <w:rsid w:val="00B97669"/>
    <w:rsid w:val="00BA0429"/>
    <w:rsid w:val="00BA0A2B"/>
    <w:rsid w:val="00BA0C99"/>
    <w:rsid w:val="00BA0CEE"/>
    <w:rsid w:val="00BA0CFF"/>
    <w:rsid w:val="00BA1C32"/>
    <w:rsid w:val="00BA1C69"/>
    <w:rsid w:val="00BA2104"/>
    <w:rsid w:val="00BA25C6"/>
    <w:rsid w:val="00BA27B0"/>
    <w:rsid w:val="00BA2D86"/>
    <w:rsid w:val="00BA4780"/>
    <w:rsid w:val="00BA480A"/>
    <w:rsid w:val="00BA4863"/>
    <w:rsid w:val="00BA5482"/>
    <w:rsid w:val="00BA55AE"/>
    <w:rsid w:val="00BA56C8"/>
    <w:rsid w:val="00BA576B"/>
    <w:rsid w:val="00BA57AA"/>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48E9"/>
    <w:rsid w:val="00BB4BB2"/>
    <w:rsid w:val="00BB4FD7"/>
    <w:rsid w:val="00BB504D"/>
    <w:rsid w:val="00BB56EB"/>
    <w:rsid w:val="00BB57F4"/>
    <w:rsid w:val="00BB5945"/>
    <w:rsid w:val="00BB6859"/>
    <w:rsid w:val="00BB76D3"/>
    <w:rsid w:val="00BB79DA"/>
    <w:rsid w:val="00BB7BC9"/>
    <w:rsid w:val="00BB7FC0"/>
    <w:rsid w:val="00BC060A"/>
    <w:rsid w:val="00BC0656"/>
    <w:rsid w:val="00BC0C42"/>
    <w:rsid w:val="00BC110E"/>
    <w:rsid w:val="00BC114A"/>
    <w:rsid w:val="00BC1EF1"/>
    <w:rsid w:val="00BC2850"/>
    <w:rsid w:val="00BC4159"/>
    <w:rsid w:val="00BC4655"/>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181F"/>
    <w:rsid w:val="00BD18C1"/>
    <w:rsid w:val="00BD1E3E"/>
    <w:rsid w:val="00BD1F7F"/>
    <w:rsid w:val="00BD2E91"/>
    <w:rsid w:val="00BD3654"/>
    <w:rsid w:val="00BD399A"/>
    <w:rsid w:val="00BD39CA"/>
    <w:rsid w:val="00BD3B5B"/>
    <w:rsid w:val="00BD516D"/>
    <w:rsid w:val="00BD528E"/>
    <w:rsid w:val="00BD5633"/>
    <w:rsid w:val="00BD6926"/>
    <w:rsid w:val="00BD7229"/>
    <w:rsid w:val="00BD7718"/>
    <w:rsid w:val="00BE002A"/>
    <w:rsid w:val="00BE00F4"/>
    <w:rsid w:val="00BE028C"/>
    <w:rsid w:val="00BE1439"/>
    <w:rsid w:val="00BE2255"/>
    <w:rsid w:val="00BE22A7"/>
    <w:rsid w:val="00BE23B1"/>
    <w:rsid w:val="00BE2F38"/>
    <w:rsid w:val="00BE3411"/>
    <w:rsid w:val="00BE38AA"/>
    <w:rsid w:val="00BE3901"/>
    <w:rsid w:val="00BE4067"/>
    <w:rsid w:val="00BE4D0D"/>
    <w:rsid w:val="00BE4D98"/>
    <w:rsid w:val="00BE57DD"/>
    <w:rsid w:val="00BE7103"/>
    <w:rsid w:val="00BE77D8"/>
    <w:rsid w:val="00BE7D2E"/>
    <w:rsid w:val="00BF006D"/>
    <w:rsid w:val="00BF04FB"/>
    <w:rsid w:val="00BF1740"/>
    <w:rsid w:val="00BF1CCA"/>
    <w:rsid w:val="00BF232E"/>
    <w:rsid w:val="00BF2D9E"/>
    <w:rsid w:val="00BF2EE2"/>
    <w:rsid w:val="00BF313B"/>
    <w:rsid w:val="00BF340D"/>
    <w:rsid w:val="00BF3511"/>
    <w:rsid w:val="00BF45F7"/>
    <w:rsid w:val="00BF4690"/>
    <w:rsid w:val="00BF4699"/>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650"/>
    <w:rsid w:val="00C03CB4"/>
    <w:rsid w:val="00C04118"/>
    <w:rsid w:val="00C041AB"/>
    <w:rsid w:val="00C04582"/>
    <w:rsid w:val="00C05F06"/>
    <w:rsid w:val="00C05FF0"/>
    <w:rsid w:val="00C069CB"/>
    <w:rsid w:val="00C06B8F"/>
    <w:rsid w:val="00C06D5A"/>
    <w:rsid w:val="00C07414"/>
    <w:rsid w:val="00C07BAA"/>
    <w:rsid w:val="00C10675"/>
    <w:rsid w:val="00C10A6D"/>
    <w:rsid w:val="00C11E87"/>
    <w:rsid w:val="00C12079"/>
    <w:rsid w:val="00C12403"/>
    <w:rsid w:val="00C12AD6"/>
    <w:rsid w:val="00C12B69"/>
    <w:rsid w:val="00C133FC"/>
    <w:rsid w:val="00C136D3"/>
    <w:rsid w:val="00C13A4D"/>
    <w:rsid w:val="00C13FB5"/>
    <w:rsid w:val="00C1411B"/>
    <w:rsid w:val="00C14200"/>
    <w:rsid w:val="00C144E3"/>
    <w:rsid w:val="00C146B3"/>
    <w:rsid w:val="00C149D9"/>
    <w:rsid w:val="00C14D48"/>
    <w:rsid w:val="00C15355"/>
    <w:rsid w:val="00C16040"/>
    <w:rsid w:val="00C163A8"/>
    <w:rsid w:val="00C17A08"/>
    <w:rsid w:val="00C17A3B"/>
    <w:rsid w:val="00C17DB1"/>
    <w:rsid w:val="00C203BC"/>
    <w:rsid w:val="00C20C52"/>
    <w:rsid w:val="00C20F76"/>
    <w:rsid w:val="00C21BFD"/>
    <w:rsid w:val="00C227BD"/>
    <w:rsid w:val="00C22B92"/>
    <w:rsid w:val="00C2395D"/>
    <w:rsid w:val="00C239D6"/>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300B2"/>
    <w:rsid w:val="00C317C5"/>
    <w:rsid w:val="00C3192D"/>
    <w:rsid w:val="00C31AE4"/>
    <w:rsid w:val="00C325A5"/>
    <w:rsid w:val="00C33434"/>
    <w:rsid w:val="00C33ED6"/>
    <w:rsid w:val="00C346FC"/>
    <w:rsid w:val="00C34B5F"/>
    <w:rsid w:val="00C34C0E"/>
    <w:rsid w:val="00C34F6D"/>
    <w:rsid w:val="00C3520A"/>
    <w:rsid w:val="00C35527"/>
    <w:rsid w:val="00C35777"/>
    <w:rsid w:val="00C35EDD"/>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69A5"/>
    <w:rsid w:val="00C470E8"/>
    <w:rsid w:val="00C47BD1"/>
    <w:rsid w:val="00C47E1D"/>
    <w:rsid w:val="00C50290"/>
    <w:rsid w:val="00C50978"/>
    <w:rsid w:val="00C516D2"/>
    <w:rsid w:val="00C519FB"/>
    <w:rsid w:val="00C51C7C"/>
    <w:rsid w:val="00C51F60"/>
    <w:rsid w:val="00C5316F"/>
    <w:rsid w:val="00C5413F"/>
    <w:rsid w:val="00C55A80"/>
    <w:rsid w:val="00C55B98"/>
    <w:rsid w:val="00C56D79"/>
    <w:rsid w:val="00C56E77"/>
    <w:rsid w:val="00C5703A"/>
    <w:rsid w:val="00C570AA"/>
    <w:rsid w:val="00C570D2"/>
    <w:rsid w:val="00C57490"/>
    <w:rsid w:val="00C5757B"/>
    <w:rsid w:val="00C579FF"/>
    <w:rsid w:val="00C613F4"/>
    <w:rsid w:val="00C61B83"/>
    <w:rsid w:val="00C61C2E"/>
    <w:rsid w:val="00C62A09"/>
    <w:rsid w:val="00C62E1E"/>
    <w:rsid w:val="00C63075"/>
    <w:rsid w:val="00C644F5"/>
    <w:rsid w:val="00C65D57"/>
    <w:rsid w:val="00C66181"/>
    <w:rsid w:val="00C663C3"/>
    <w:rsid w:val="00C7010E"/>
    <w:rsid w:val="00C70716"/>
    <w:rsid w:val="00C71446"/>
    <w:rsid w:val="00C71F0B"/>
    <w:rsid w:val="00C72024"/>
    <w:rsid w:val="00C723F9"/>
    <w:rsid w:val="00C72C4A"/>
    <w:rsid w:val="00C73A67"/>
    <w:rsid w:val="00C73A6F"/>
    <w:rsid w:val="00C73AC1"/>
    <w:rsid w:val="00C74691"/>
    <w:rsid w:val="00C748B0"/>
    <w:rsid w:val="00C74928"/>
    <w:rsid w:val="00C74ADE"/>
    <w:rsid w:val="00C74DA6"/>
    <w:rsid w:val="00C74E3D"/>
    <w:rsid w:val="00C74EEA"/>
    <w:rsid w:val="00C75449"/>
    <w:rsid w:val="00C75C3F"/>
    <w:rsid w:val="00C75DB4"/>
    <w:rsid w:val="00C766CC"/>
    <w:rsid w:val="00C76811"/>
    <w:rsid w:val="00C77356"/>
    <w:rsid w:val="00C773D6"/>
    <w:rsid w:val="00C773DB"/>
    <w:rsid w:val="00C7780C"/>
    <w:rsid w:val="00C77920"/>
    <w:rsid w:val="00C77D8E"/>
    <w:rsid w:val="00C80869"/>
    <w:rsid w:val="00C80CA6"/>
    <w:rsid w:val="00C814C0"/>
    <w:rsid w:val="00C81DA9"/>
    <w:rsid w:val="00C81FBD"/>
    <w:rsid w:val="00C82076"/>
    <w:rsid w:val="00C82955"/>
    <w:rsid w:val="00C83443"/>
    <w:rsid w:val="00C836AB"/>
    <w:rsid w:val="00C83769"/>
    <w:rsid w:val="00C84957"/>
    <w:rsid w:val="00C86149"/>
    <w:rsid w:val="00C86164"/>
    <w:rsid w:val="00C87801"/>
    <w:rsid w:val="00C87B9E"/>
    <w:rsid w:val="00C90152"/>
    <w:rsid w:val="00C910BC"/>
    <w:rsid w:val="00C91B94"/>
    <w:rsid w:val="00C91F30"/>
    <w:rsid w:val="00C9207A"/>
    <w:rsid w:val="00C92EE4"/>
    <w:rsid w:val="00C94146"/>
    <w:rsid w:val="00C947E2"/>
    <w:rsid w:val="00C9488E"/>
    <w:rsid w:val="00C94EBD"/>
    <w:rsid w:val="00C94F56"/>
    <w:rsid w:val="00C95094"/>
    <w:rsid w:val="00C9549F"/>
    <w:rsid w:val="00C958EA"/>
    <w:rsid w:val="00C95C84"/>
    <w:rsid w:val="00C95D2E"/>
    <w:rsid w:val="00C960B4"/>
    <w:rsid w:val="00C96236"/>
    <w:rsid w:val="00C96339"/>
    <w:rsid w:val="00C96D95"/>
    <w:rsid w:val="00C96EFF"/>
    <w:rsid w:val="00C973D4"/>
    <w:rsid w:val="00CA0009"/>
    <w:rsid w:val="00CA0148"/>
    <w:rsid w:val="00CA1448"/>
    <w:rsid w:val="00CA14C2"/>
    <w:rsid w:val="00CA15B6"/>
    <w:rsid w:val="00CA1CD9"/>
    <w:rsid w:val="00CA1E5A"/>
    <w:rsid w:val="00CA26F4"/>
    <w:rsid w:val="00CA2834"/>
    <w:rsid w:val="00CA2A29"/>
    <w:rsid w:val="00CA32B2"/>
    <w:rsid w:val="00CA3B2F"/>
    <w:rsid w:val="00CA3C56"/>
    <w:rsid w:val="00CA41C7"/>
    <w:rsid w:val="00CA4E1D"/>
    <w:rsid w:val="00CA5009"/>
    <w:rsid w:val="00CA539F"/>
    <w:rsid w:val="00CA5B28"/>
    <w:rsid w:val="00CA5CDB"/>
    <w:rsid w:val="00CA62E8"/>
    <w:rsid w:val="00CA64BC"/>
    <w:rsid w:val="00CA6970"/>
    <w:rsid w:val="00CA7F35"/>
    <w:rsid w:val="00CB0A72"/>
    <w:rsid w:val="00CB0E6B"/>
    <w:rsid w:val="00CB13C6"/>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276"/>
    <w:rsid w:val="00CC15AB"/>
    <w:rsid w:val="00CC190A"/>
    <w:rsid w:val="00CC1FBF"/>
    <w:rsid w:val="00CC2002"/>
    <w:rsid w:val="00CC2244"/>
    <w:rsid w:val="00CC2356"/>
    <w:rsid w:val="00CC2963"/>
    <w:rsid w:val="00CC2BC9"/>
    <w:rsid w:val="00CC3094"/>
    <w:rsid w:val="00CC30ED"/>
    <w:rsid w:val="00CC3891"/>
    <w:rsid w:val="00CC3A85"/>
    <w:rsid w:val="00CC3C4A"/>
    <w:rsid w:val="00CC3DFD"/>
    <w:rsid w:val="00CC3F24"/>
    <w:rsid w:val="00CC407C"/>
    <w:rsid w:val="00CC415E"/>
    <w:rsid w:val="00CC42A7"/>
    <w:rsid w:val="00CC489E"/>
    <w:rsid w:val="00CC4BE1"/>
    <w:rsid w:val="00CC5450"/>
    <w:rsid w:val="00CC6131"/>
    <w:rsid w:val="00CC625A"/>
    <w:rsid w:val="00CC634E"/>
    <w:rsid w:val="00CC640E"/>
    <w:rsid w:val="00CC6FD4"/>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CE8"/>
    <w:rsid w:val="00CE230E"/>
    <w:rsid w:val="00CE23A6"/>
    <w:rsid w:val="00CE2572"/>
    <w:rsid w:val="00CE25F8"/>
    <w:rsid w:val="00CE2D39"/>
    <w:rsid w:val="00CE5122"/>
    <w:rsid w:val="00CE5723"/>
    <w:rsid w:val="00CE585C"/>
    <w:rsid w:val="00CE59CE"/>
    <w:rsid w:val="00CE5A76"/>
    <w:rsid w:val="00CE5AB0"/>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24A4"/>
    <w:rsid w:val="00CF25EE"/>
    <w:rsid w:val="00CF2696"/>
    <w:rsid w:val="00CF26EB"/>
    <w:rsid w:val="00CF2823"/>
    <w:rsid w:val="00CF289A"/>
    <w:rsid w:val="00CF3BA8"/>
    <w:rsid w:val="00CF4807"/>
    <w:rsid w:val="00CF57A2"/>
    <w:rsid w:val="00CF6742"/>
    <w:rsid w:val="00CF723B"/>
    <w:rsid w:val="00CF7466"/>
    <w:rsid w:val="00CF78D5"/>
    <w:rsid w:val="00CF7D45"/>
    <w:rsid w:val="00D001D3"/>
    <w:rsid w:val="00D002E6"/>
    <w:rsid w:val="00D00430"/>
    <w:rsid w:val="00D00A45"/>
    <w:rsid w:val="00D0106A"/>
    <w:rsid w:val="00D01281"/>
    <w:rsid w:val="00D01C0F"/>
    <w:rsid w:val="00D020C1"/>
    <w:rsid w:val="00D021B8"/>
    <w:rsid w:val="00D03701"/>
    <w:rsid w:val="00D03ABE"/>
    <w:rsid w:val="00D03B1F"/>
    <w:rsid w:val="00D04044"/>
    <w:rsid w:val="00D04150"/>
    <w:rsid w:val="00D0432D"/>
    <w:rsid w:val="00D0481B"/>
    <w:rsid w:val="00D048BC"/>
    <w:rsid w:val="00D04B1F"/>
    <w:rsid w:val="00D05754"/>
    <w:rsid w:val="00D05A64"/>
    <w:rsid w:val="00D06420"/>
    <w:rsid w:val="00D067E6"/>
    <w:rsid w:val="00D0701F"/>
    <w:rsid w:val="00D0754F"/>
    <w:rsid w:val="00D0796B"/>
    <w:rsid w:val="00D07A59"/>
    <w:rsid w:val="00D07B24"/>
    <w:rsid w:val="00D07E18"/>
    <w:rsid w:val="00D113C6"/>
    <w:rsid w:val="00D11478"/>
    <w:rsid w:val="00D11730"/>
    <w:rsid w:val="00D11A66"/>
    <w:rsid w:val="00D11AB4"/>
    <w:rsid w:val="00D124AA"/>
    <w:rsid w:val="00D13592"/>
    <w:rsid w:val="00D147BB"/>
    <w:rsid w:val="00D14A03"/>
    <w:rsid w:val="00D14A1B"/>
    <w:rsid w:val="00D15531"/>
    <w:rsid w:val="00D1596B"/>
    <w:rsid w:val="00D159BF"/>
    <w:rsid w:val="00D15AA1"/>
    <w:rsid w:val="00D15CCA"/>
    <w:rsid w:val="00D15D44"/>
    <w:rsid w:val="00D1639C"/>
    <w:rsid w:val="00D16519"/>
    <w:rsid w:val="00D16730"/>
    <w:rsid w:val="00D20CBF"/>
    <w:rsid w:val="00D2159F"/>
    <w:rsid w:val="00D21EAA"/>
    <w:rsid w:val="00D22496"/>
    <w:rsid w:val="00D224A3"/>
    <w:rsid w:val="00D22710"/>
    <w:rsid w:val="00D2417D"/>
    <w:rsid w:val="00D244B8"/>
    <w:rsid w:val="00D259F9"/>
    <w:rsid w:val="00D25CBC"/>
    <w:rsid w:val="00D25D65"/>
    <w:rsid w:val="00D261D9"/>
    <w:rsid w:val="00D2643C"/>
    <w:rsid w:val="00D2679D"/>
    <w:rsid w:val="00D26AFC"/>
    <w:rsid w:val="00D27663"/>
    <w:rsid w:val="00D2768C"/>
    <w:rsid w:val="00D300B3"/>
    <w:rsid w:val="00D31507"/>
    <w:rsid w:val="00D318C8"/>
    <w:rsid w:val="00D31CB1"/>
    <w:rsid w:val="00D31E59"/>
    <w:rsid w:val="00D32975"/>
    <w:rsid w:val="00D33675"/>
    <w:rsid w:val="00D33B36"/>
    <w:rsid w:val="00D342B0"/>
    <w:rsid w:val="00D34C54"/>
    <w:rsid w:val="00D34C6B"/>
    <w:rsid w:val="00D35A49"/>
    <w:rsid w:val="00D362C5"/>
    <w:rsid w:val="00D37503"/>
    <w:rsid w:val="00D37BF0"/>
    <w:rsid w:val="00D37CB4"/>
    <w:rsid w:val="00D40505"/>
    <w:rsid w:val="00D40767"/>
    <w:rsid w:val="00D40CCF"/>
    <w:rsid w:val="00D412A0"/>
    <w:rsid w:val="00D41665"/>
    <w:rsid w:val="00D42114"/>
    <w:rsid w:val="00D42148"/>
    <w:rsid w:val="00D427E8"/>
    <w:rsid w:val="00D43287"/>
    <w:rsid w:val="00D43659"/>
    <w:rsid w:val="00D43B22"/>
    <w:rsid w:val="00D43C4D"/>
    <w:rsid w:val="00D43D13"/>
    <w:rsid w:val="00D43DCF"/>
    <w:rsid w:val="00D44007"/>
    <w:rsid w:val="00D44A9B"/>
    <w:rsid w:val="00D44E98"/>
    <w:rsid w:val="00D475B5"/>
    <w:rsid w:val="00D47756"/>
    <w:rsid w:val="00D47EAB"/>
    <w:rsid w:val="00D505B7"/>
    <w:rsid w:val="00D50738"/>
    <w:rsid w:val="00D50AC2"/>
    <w:rsid w:val="00D50DBC"/>
    <w:rsid w:val="00D5103B"/>
    <w:rsid w:val="00D51519"/>
    <w:rsid w:val="00D5193F"/>
    <w:rsid w:val="00D52478"/>
    <w:rsid w:val="00D533A5"/>
    <w:rsid w:val="00D534B7"/>
    <w:rsid w:val="00D54096"/>
    <w:rsid w:val="00D558DA"/>
    <w:rsid w:val="00D5642C"/>
    <w:rsid w:val="00D56EC4"/>
    <w:rsid w:val="00D57811"/>
    <w:rsid w:val="00D57BA5"/>
    <w:rsid w:val="00D60294"/>
    <w:rsid w:val="00D60B20"/>
    <w:rsid w:val="00D60B5F"/>
    <w:rsid w:val="00D60F2F"/>
    <w:rsid w:val="00D61A9B"/>
    <w:rsid w:val="00D62058"/>
    <w:rsid w:val="00D632C7"/>
    <w:rsid w:val="00D63489"/>
    <w:rsid w:val="00D6417A"/>
    <w:rsid w:val="00D64954"/>
    <w:rsid w:val="00D6512E"/>
    <w:rsid w:val="00D6602F"/>
    <w:rsid w:val="00D6658E"/>
    <w:rsid w:val="00D66C6D"/>
    <w:rsid w:val="00D6748C"/>
    <w:rsid w:val="00D708DA"/>
    <w:rsid w:val="00D70BA4"/>
    <w:rsid w:val="00D718AE"/>
    <w:rsid w:val="00D719BF"/>
    <w:rsid w:val="00D72031"/>
    <w:rsid w:val="00D7220A"/>
    <w:rsid w:val="00D72986"/>
    <w:rsid w:val="00D74080"/>
    <w:rsid w:val="00D740F0"/>
    <w:rsid w:val="00D74CAD"/>
    <w:rsid w:val="00D751F6"/>
    <w:rsid w:val="00D752A3"/>
    <w:rsid w:val="00D75351"/>
    <w:rsid w:val="00D76A05"/>
    <w:rsid w:val="00D76EC9"/>
    <w:rsid w:val="00D77305"/>
    <w:rsid w:val="00D775C5"/>
    <w:rsid w:val="00D77DD2"/>
    <w:rsid w:val="00D80AB4"/>
    <w:rsid w:val="00D81639"/>
    <w:rsid w:val="00D82204"/>
    <w:rsid w:val="00D825E5"/>
    <w:rsid w:val="00D82883"/>
    <w:rsid w:val="00D82CD4"/>
    <w:rsid w:val="00D82CF3"/>
    <w:rsid w:val="00D832AF"/>
    <w:rsid w:val="00D8338E"/>
    <w:rsid w:val="00D83829"/>
    <w:rsid w:val="00D8388A"/>
    <w:rsid w:val="00D83B2D"/>
    <w:rsid w:val="00D84540"/>
    <w:rsid w:val="00D84F8A"/>
    <w:rsid w:val="00D853AE"/>
    <w:rsid w:val="00D85879"/>
    <w:rsid w:val="00D85F7F"/>
    <w:rsid w:val="00D8608C"/>
    <w:rsid w:val="00D867D0"/>
    <w:rsid w:val="00D86855"/>
    <w:rsid w:val="00D86ED8"/>
    <w:rsid w:val="00D8749C"/>
    <w:rsid w:val="00D87B4B"/>
    <w:rsid w:val="00D90B7C"/>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E60"/>
    <w:rsid w:val="00DA0126"/>
    <w:rsid w:val="00DA052D"/>
    <w:rsid w:val="00DA0B69"/>
    <w:rsid w:val="00DA0D8C"/>
    <w:rsid w:val="00DA173C"/>
    <w:rsid w:val="00DA1829"/>
    <w:rsid w:val="00DA2081"/>
    <w:rsid w:val="00DA2B33"/>
    <w:rsid w:val="00DA3157"/>
    <w:rsid w:val="00DA3835"/>
    <w:rsid w:val="00DA3C7A"/>
    <w:rsid w:val="00DA4C4C"/>
    <w:rsid w:val="00DA561D"/>
    <w:rsid w:val="00DA5BC6"/>
    <w:rsid w:val="00DA5E82"/>
    <w:rsid w:val="00DA65FF"/>
    <w:rsid w:val="00DA71BF"/>
    <w:rsid w:val="00DA79C9"/>
    <w:rsid w:val="00DA7FAE"/>
    <w:rsid w:val="00DB05D9"/>
    <w:rsid w:val="00DB0A73"/>
    <w:rsid w:val="00DB1150"/>
    <w:rsid w:val="00DB129D"/>
    <w:rsid w:val="00DB1363"/>
    <w:rsid w:val="00DB1776"/>
    <w:rsid w:val="00DB20BC"/>
    <w:rsid w:val="00DB2393"/>
    <w:rsid w:val="00DB2B16"/>
    <w:rsid w:val="00DB2E4E"/>
    <w:rsid w:val="00DB3324"/>
    <w:rsid w:val="00DB3B9E"/>
    <w:rsid w:val="00DB3EC5"/>
    <w:rsid w:val="00DB497E"/>
    <w:rsid w:val="00DB4B81"/>
    <w:rsid w:val="00DB5FF7"/>
    <w:rsid w:val="00DB62B8"/>
    <w:rsid w:val="00DB635A"/>
    <w:rsid w:val="00DB6F36"/>
    <w:rsid w:val="00DB7205"/>
    <w:rsid w:val="00DB7BA1"/>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B01"/>
    <w:rsid w:val="00DD1D55"/>
    <w:rsid w:val="00DD2023"/>
    <w:rsid w:val="00DD20DA"/>
    <w:rsid w:val="00DD2119"/>
    <w:rsid w:val="00DD2761"/>
    <w:rsid w:val="00DD2A90"/>
    <w:rsid w:val="00DD32CC"/>
    <w:rsid w:val="00DD3719"/>
    <w:rsid w:val="00DD3830"/>
    <w:rsid w:val="00DD397E"/>
    <w:rsid w:val="00DD4294"/>
    <w:rsid w:val="00DD4E25"/>
    <w:rsid w:val="00DD5B7A"/>
    <w:rsid w:val="00DD5DC6"/>
    <w:rsid w:val="00DD6165"/>
    <w:rsid w:val="00DD62B9"/>
    <w:rsid w:val="00DD65BB"/>
    <w:rsid w:val="00DD6B4A"/>
    <w:rsid w:val="00DD6BA8"/>
    <w:rsid w:val="00DD6D47"/>
    <w:rsid w:val="00DD7917"/>
    <w:rsid w:val="00DD7CEF"/>
    <w:rsid w:val="00DE01CB"/>
    <w:rsid w:val="00DE0E25"/>
    <w:rsid w:val="00DE189A"/>
    <w:rsid w:val="00DE1E11"/>
    <w:rsid w:val="00DE26B3"/>
    <w:rsid w:val="00DE2E22"/>
    <w:rsid w:val="00DE39DE"/>
    <w:rsid w:val="00DE3B9C"/>
    <w:rsid w:val="00DE45AB"/>
    <w:rsid w:val="00DE4615"/>
    <w:rsid w:val="00DE4B04"/>
    <w:rsid w:val="00DE5045"/>
    <w:rsid w:val="00DE50D6"/>
    <w:rsid w:val="00DE5141"/>
    <w:rsid w:val="00DE58A0"/>
    <w:rsid w:val="00DE58DB"/>
    <w:rsid w:val="00DE5B71"/>
    <w:rsid w:val="00DE6F62"/>
    <w:rsid w:val="00DE73FB"/>
    <w:rsid w:val="00DF14E7"/>
    <w:rsid w:val="00DF1529"/>
    <w:rsid w:val="00DF2103"/>
    <w:rsid w:val="00DF232D"/>
    <w:rsid w:val="00DF2D3A"/>
    <w:rsid w:val="00DF30F0"/>
    <w:rsid w:val="00DF34E4"/>
    <w:rsid w:val="00DF4C35"/>
    <w:rsid w:val="00DF570E"/>
    <w:rsid w:val="00DF5DC9"/>
    <w:rsid w:val="00DF60AA"/>
    <w:rsid w:val="00DF63A7"/>
    <w:rsid w:val="00DF64AF"/>
    <w:rsid w:val="00DF64D2"/>
    <w:rsid w:val="00DF6698"/>
    <w:rsid w:val="00DF6E30"/>
    <w:rsid w:val="00DF7022"/>
    <w:rsid w:val="00DF719B"/>
    <w:rsid w:val="00DF7992"/>
    <w:rsid w:val="00DF79E4"/>
    <w:rsid w:val="00E00A9A"/>
    <w:rsid w:val="00E0207A"/>
    <w:rsid w:val="00E023E6"/>
    <w:rsid w:val="00E02C35"/>
    <w:rsid w:val="00E02FFE"/>
    <w:rsid w:val="00E0321D"/>
    <w:rsid w:val="00E039A5"/>
    <w:rsid w:val="00E049BD"/>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B95"/>
    <w:rsid w:val="00E14CF0"/>
    <w:rsid w:val="00E14EEE"/>
    <w:rsid w:val="00E16198"/>
    <w:rsid w:val="00E16243"/>
    <w:rsid w:val="00E1624B"/>
    <w:rsid w:val="00E168EE"/>
    <w:rsid w:val="00E16C42"/>
    <w:rsid w:val="00E1723E"/>
    <w:rsid w:val="00E17503"/>
    <w:rsid w:val="00E17EA4"/>
    <w:rsid w:val="00E17F49"/>
    <w:rsid w:val="00E2006D"/>
    <w:rsid w:val="00E20418"/>
    <w:rsid w:val="00E2096F"/>
    <w:rsid w:val="00E20E93"/>
    <w:rsid w:val="00E21107"/>
    <w:rsid w:val="00E21412"/>
    <w:rsid w:val="00E21598"/>
    <w:rsid w:val="00E22104"/>
    <w:rsid w:val="00E22454"/>
    <w:rsid w:val="00E22486"/>
    <w:rsid w:val="00E22739"/>
    <w:rsid w:val="00E227F0"/>
    <w:rsid w:val="00E22993"/>
    <w:rsid w:val="00E229A0"/>
    <w:rsid w:val="00E230CB"/>
    <w:rsid w:val="00E236E4"/>
    <w:rsid w:val="00E23E25"/>
    <w:rsid w:val="00E23F69"/>
    <w:rsid w:val="00E24CF9"/>
    <w:rsid w:val="00E24FDD"/>
    <w:rsid w:val="00E25159"/>
    <w:rsid w:val="00E253F1"/>
    <w:rsid w:val="00E25577"/>
    <w:rsid w:val="00E2583D"/>
    <w:rsid w:val="00E258AA"/>
    <w:rsid w:val="00E25AC1"/>
    <w:rsid w:val="00E26040"/>
    <w:rsid w:val="00E27116"/>
    <w:rsid w:val="00E27408"/>
    <w:rsid w:val="00E27FCF"/>
    <w:rsid w:val="00E3160B"/>
    <w:rsid w:val="00E31E0B"/>
    <w:rsid w:val="00E31E29"/>
    <w:rsid w:val="00E32882"/>
    <w:rsid w:val="00E32B9B"/>
    <w:rsid w:val="00E3369B"/>
    <w:rsid w:val="00E34CDC"/>
    <w:rsid w:val="00E361E1"/>
    <w:rsid w:val="00E366C8"/>
    <w:rsid w:val="00E368B4"/>
    <w:rsid w:val="00E36EAB"/>
    <w:rsid w:val="00E37144"/>
    <w:rsid w:val="00E37375"/>
    <w:rsid w:val="00E37592"/>
    <w:rsid w:val="00E37FDF"/>
    <w:rsid w:val="00E4039F"/>
    <w:rsid w:val="00E4112E"/>
    <w:rsid w:val="00E414DC"/>
    <w:rsid w:val="00E418E6"/>
    <w:rsid w:val="00E428BD"/>
    <w:rsid w:val="00E43292"/>
    <w:rsid w:val="00E4333D"/>
    <w:rsid w:val="00E4371F"/>
    <w:rsid w:val="00E444AA"/>
    <w:rsid w:val="00E44845"/>
    <w:rsid w:val="00E448E9"/>
    <w:rsid w:val="00E44FC4"/>
    <w:rsid w:val="00E46206"/>
    <w:rsid w:val="00E46F61"/>
    <w:rsid w:val="00E47413"/>
    <w:rsid w:val="00E47C30"/>
    <w:rsid w:val="00E50C0E"/>
    <w:rsid w:val="00E5168B"/>
    <w:rsid w:val="00E5212B"/>
    <w:rsid w:val="00E52466"/>
    <w:rsid w:val="00E52597"/>
    <w:rsid w:val="00E526FC"/>
    <w:rsid w:val="00E52CF6"/>
    <w:rsid w:val="00E53761"/>
    <w:rsid w:val="00E53870"/>
    <w:rsid w:val="00E538FF"/>
    <w:rsid w:val="00E539AB"/>
    <w:rsid w:val="00E54407"/>
    <w:rsid w:val="00E54DDA"/>
    <w:rsid w:val="00E54F53"/>
    <w:rsid w:val="00E55491"/>
    <w:rsid w:val="00E5628F"/>
    <w:rsid w:val="00E56DE3"/>
    <w:rsid w:val="00E57771"/>
    <w:rsid w:val="00E57C92"/>
    <w:rsid w:val="00E60622"/>
    <w:rsid w:val="00E6079D"/>
    <w:rsid w:val="00E614E8"/>
    <w:rsid w:val="00E6158C"/>
    <w:rsid w:val="00E619AC"/>
    <w:rsid w:val="00E626FE"/>
    <w:rsid w:val="00E63DBA"/>
    <w:rsid w:val="00E6417D"/>
    <w:rsid w:val="00E64BF3"/>
    <w:rsid w:val="00E65E32"/>
    <w:rsid w:val="00E65E64"/>
    <w:rsid w:val="00E66E30"/>
    <w:rsid w:val="00E67387"/>
    <w:rsid w:val="00E67B35"/>
    <w:rsid w:val="00E70266"/>
    <w:rsid w:val="00E702C2"/>
    <w:rsid w:val="00E706BB"/>
    <w:rsid w:val="00E70AFA"/>
    <w:rsid w:val="00E7109D"/>
    <w:rsid w:val="00E718ED"/>
    <w:rsid w:val="00E71B5C"/>
    <w:rsid w:val="00E722D0"/>
    <w:rsid w:val="00E726E2"/>
    <w:rsid w:val="00E7292D"/>
    <w:rsid w:val="00E73CA5"/>
    <w:rsid w:val="00E743A4"/>
    <w:rsid w:val="00E75248"/>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14E"/>
    <w:rsid w:val="00E86165"/>
    <w:rsid w:val="00E8627A"/>
    <w:rsid w:val="00E866D0"/>
    <w:rsid w:val="00E870F7"/>
    <w:rsid w:val="00E877AC"/>
    <w:rsid w:val="00E87854"/>
    <w:rsid w:val="00E878D3"/>
    <w:rsid w:val="00E87D62"/>
    <w:rsid w:val="00E90DE9"/>
    <w:rsid w:val="00E9110B"/>
    <w:rsid w:val="00E91363"/>
    <w:rsid w:val="00E91570"/>
    <w:rsid w:val="00E91F8B"/>
    <w:rsid w:val="00E928DD"/>
    <w:rsid w:val="00E92EFB"/>
    <w:rsid w:val="00E93DFE"/>
    <w:rsid w:val="00E946D9"/>
    <w:rsid w:val="00E956A8"/>
    <w:rsid w:val="00E959A2"/>
    <w:rsid w:val="00E95FA9"/>
    <w:rsid w:val="00E95FBF"/>
    <w:rsid w:val="00E97863"/>
    <w:rsid w:val="00E97CD6"/>
    <w:rsid w:val="00EA0264"/>
    <w:rsid w:val="00EA0390"/>
    <w:rsid w:val="00EA0E37"/>
    <w:rsid w:val="00EA1474"/>
    <w:rsid w:val="00EA2918"/>
    <w:rsid w:val="00EA2C74"/>
    <w:rsid w:val="00EA355A"/>
    <w:rsid w:val="00EA3E3C"/>
    <w:rsid w:val="00EA3E48"/>
    <w:rsid w:val="00EA41B8"/>
    <w:rsid w:val="00EA4406"/>
    <w:rsid w:val="00EA4DAA"/>
    <w:rsid w:val="00EA5A14"/>
    <w:rsid w:val="00EA5BA9"/>
    <w:rsid w:val="00EA5D59"/>
    <w:rsid w:val="00EA656F"/>
    <w:rsid w:val="00EA65BC"/>
    <w:rsid w:val="00EA6A17"/>
    <w:rsid w:val="00EA71C0"/>
    <w:rsid w:val="00EA72EC"/>
    <w:rsid w:val="00EA78D0"/>
    <w:rsid w:val="00EB0146"/>
    <w:rsid w:val="00EB057F"/>
    <w:rsid w:val="00EB12DE"/>
    <w:rsid w:val="00EB16F4"/>
    <w:rsid w:val="00EB1E77"/>
    <w:rsid w:val="00EB2405"/>
    <w:rsid w:val="00EB2BB1"/>
    <w:rsid w:val="00EB2CCE"/>
    <w:rsid w:val="00EB351D"/>
    <w:rsid w:val="00EB381C"/>
    <w:rsid w:val="00EB4DCB"/>
    <w:rsid w:val="00EB5120"/>
    <w:rsid w:val="00EB6900"/>
    <w:rsid w:val="00EB6BAA"/>
    <w:rsid w:val="00EB6C1F"/>
    <w:rsid w:val="00EB6D2B"/>
    <w:rsid w:val="00EB70E3"/>
    <w:rsid w:val="00EB73B5"/>
    <w:rsid w:val="00EB7555"/>
    <w:rsid w:val="00EB7CAF"/>
    <w:rsid w:val="00EC00A5"/>
    <w:rsid w:val="00EC0636"/>
    <w:rsid w:val="00EC083A"/>
    <w:rsid w:val="00EC0A63"/>
    <w:rsid w:val="00EC0BBB"/>
    <w:rsid w:val="00EC0EDB"/>
    <w:rsid w:val="00EC0F6D"/>
    <w:rsid w:val="00EC1064"/>
    <w:rsid w:val="00EC14BE"/>
    <w:rsid w:val="00EC1707"/>
    <w:rsid w:val="00EC174C"/>
    <w:rsid w:val="00EC1ED8"/>
    <w:rsid w:val="00EC2237"/>
    <w:rsid w:val="00EC2977"/>
    <w:rsid w:val="00EC3DD9"/>
    <w:rsid w:val="00EC46E4"/>
    <w:rsid w:val="00EC4AD3"/>
    <w:rsid w:val="00EC5281"/>
    <w:rsid w:val="00EC5920"/>
    <w:rsid w:val="00EC5A65"/>
    <w:rsid w:val="00EC5F63"/>
    <w:rsid w:val="00EC61AC"/>
    <w:rsid w:val="00EC63A2"/>
    <w:rsid w:val="00ED0065"/>
    <w:rsid w:val="00ED08F3"/>
    <w:rsid w:val="00ED0C6A"/>
    <w:rsid w:val="00ED0DDE"/>
    <w:rsid w:val="00ED152D"/>
    <w:rsid w:val="00ED1949"/>
    <w:rsid w:val="00ED197C"/>
    <w:rsid w:val="00ED2552"/>
    <w:rsid w:val="00ED272C"/>
    <w:rsid w:val="00ED2DDD"/>
    <w:rsid w:val="00ED485F"/>
    <w:rsid w:val="00ED4930"/>
    <w:rsid w:val="00ED4CBB"/>
    <w:rsid w:val="00ED5509"/>
    <w:rsid w:val="00ED55AA"/>
    <w:rsid w:val="00ED55B7"/>
    <w:rsid w:val="00ED5FCE"/>
    <w:rsid w:val="00ED64DE"/>
    <w:rsid w:val="00ED6638"/>
    <w:rsid w:val="00ED6E79"/>
    <w:rsid w:val="00ED712A"/>
    <w:rsid w:val="00ED71A6"/>
    <w:rsid w:val="00EE0028"/>
    <w:rsid w:val="00EE0221"/>
    <w:rsid w:val="00EE03CC"/>
    <w:rsid w:val="00EE051F"/>
    <w:rsid w:val="00EE05B7"/>
    <w:rsid w:val="00EE0C65"/>
    <w:rsid w:val="00EE1282"/>
    <w:rsid w:val="00EE1BB8"/>
    <w:rsid w:val="00EE1DD1"/>
    <w:rsid w:val="00EE25F9"/>
    <w:rsid w:val="00EE29AF"/>
    <w:rsid w:val="00EE3463"/>
    <w:rsid w:val="00EE37EE"/>
    <w:rsid w:val="00EE39A4"/>
    <w:rsid w:val="00EE4B59"/>
    <w:rsid w:val="00EE50A8"/>
    <w:rsid w:val="00EE6372"/>
    <w:rsid w:val="00EE7829"/>
    <w:rsid w:val="00EF0279"/>
    <w:rsid w:val="00EF0629"/>
    <w:rsid w:val="00EF09DF"/>
    <w:rsid w:val="00EF0D49"/>
    <w:rsid w:val="00EF1594"/>
    <w:rsid w:val="00EF1C23"/>
    <w:rsid w:val="00EF269C"/>
    <w:rsid w:val="00EF3463"/>
    <w:rsid w:val="00EF36A1"/>
    <w:rsid w:val="00EF389F"/>
    <w:rsid w:val="00EF40A9"/>
    <w:rsid w:val="00EF4A6B"/>
    <w:rsid w:val="00EF4CAF"/>
    <w:rsid w:val="00EF4E00"/>
    <w:rsid w:val="00EF540A"/>
    <w:rsid w:val="00EF719E"/>
    <w:rsid w:val="00EF76FE"/>
    <w:rsid w:val="00F0064D"/>
    <w:rsid w:val="00F006BC"/>
    <w:rsid w:val="00F0087F"/>
    <w:rsid w:val="00F00C37"/>
    <w:rsid w:val="00F00C86"/>
    <w:rsid w:val="00F01005"/>
    <w:rsid w:val="00F0119D"/>
    <w:rsid w:val="00F020B0"/>
    <w:rsid w:val="00F0433A"/>
    <w:rsid w:val="00F044BF"/>
    <w:rsid w:val="00F04643"/>
    <w:rsid w:val="00F0577A"/>
    <w:rsid w:val="00F0619B"/>
    <w:rsid w:val="00F06B73"/>
    <w:rsid w:val="00F06EF8"/>
    <w:rsid w:val="00F07728"/>
    <w:rsid w:val="00F11700"/>
    <w:rsid w:val="00F118CF"/>
    <w:rsid w:val="00F11F45"/>
    <w:rsid w:val="00F12DC0"/>
    <w:rsid w:val="00F147FA"/>
    <w:rsid w:val="00F1486B"/>
    <w:rsid w:val="00F14D0B"/>
    <w:rsid w:val="00F14FC6"/>
    <w:rsid w:val="00F159F8"/>
    <w:rsid w:val="00F15AA8"/>
    <w:rsid w:val="00F15D77"/>
    <w:rsid w:val="00F17D5E"/>
    <w:rsid w:val="00F20369"/>
    <w:rsid w:val="00F20899"/>
    <w:rsid w:val="00F20E57"/>
    <w:rsid w:val="00F21273"/>
    <w:rsid w:val="00F217F9"/>
    <w:rsid w:val="00F21D64"/>
    <w:rsid w:val="00F21EFC"/>
    <w:rsid w:val="00F2262B"/>
    <w:rsid w:val="00F23BFE"/>
    <w:rsid w:val="00F2456C"/>
    <w:rsid w:val="00F2548E"/>
    <w:rsid w:val="00F25965"/>
    <w:rsid w:val="00F2704B"/>
    <w:rsid w:val="00F302A0"/>
    <w:rsid w:val="00F3080C"/>
    <w:rsid w:val="00F31AD8"/>
    <w:rsid w:val="00F32751"/>
    <w:rsid w:val="00F339CE"/>
    <w:rsid w:val="00F33E76"/>
    <w:rsid w:val="00F342F9"/>
    <w:rsid w:val="00F345C3"/>
    <w:rsid w:val="00F3469B"/>
    <w:rsid w:val="00F348B2"/>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F4E"/>
    <w:rsid w:val="00F44379"/>
    <w:rsid w:val="00F45348"/>
    <w:rsid w:val="00F45CB7"/>
    <w:rsid w:val="00F46CC4"/>
    <w:rsid w:val="00F47996"/>
    <w:rsid w:val="00F47E58"/>
    <w:rsid w:val="00F50527"/>
    <w:rsid w:val="00F507BE"/>
    <w:rsid w:val="00F50C82"/>
    <w:rsid w:val="00F50F62"/>
    <w:rsid w:val="00F51011"/>
    <w:rsid w:val="00F5126C"/>
    <w:rsid w:val="00F52ED5"/>
    <w:rsid w:val="00F5303D"/>
    <w:rsid w:val="00F5382A"/>
    <w:rsid w:val="00F5391D"/>
    <w:rsid w:val="00F5435D"/>
    <w:rsid w:val="00F54A50"/>
    <w:rsid w:val="00F54F47"/>
    <w:rsid w:val="00F54FAA"/>
    <w:rsid w:val="00F55079"/>
    <w:rsid w:val="00F55896"/>
    <w:rsid w:val="00F55CF9"/>
    <w:rsid w:val="00F56834"/>
    <w:rsid w:val="00F56A8F"/>
    <w:rsid w:val="00F56C00"/>
    <w:rsid w:val="00F571EB"/>
    <w:rsid w:val="00F617DC"/>
    <w:rsid w:val="00F61BCF"/>
    <w:rsid w:val="00F621BD"/>
    <w:rsid w:val="00F627C0"/>
    <w:rsid w:val="00F6348D"/>
    <w:rsid w:val="00F63955"/>
    <w:rsid w:val="00F640BF"/>
    <w:rsid w:val="00F6415A"/>
    <w:rsid w:val="00F64753"/>
    <w:rsid w:val="00F64FB0"/>
    <w:rsid w:val="00F651BC"/>
    <w:rsid w:val="00F67165"/>
    <w:rsid w:val="00F672DF"/>
    <w:rsid w:val="00F67894"/>
    <w:rsid w:val="00F67CCA"/>
    <w:rsid w:val="00F67FA4"/>
    <w:rsid w:val="00F7071C"/>
    <w:rsid w:val="00F70B2D"/>
    <w:rsid w:val="00F70B9C"/>
    <w:rsid w:val="00F719E6"/>
    <w:rsid w:val="00F72908"/>
    <w:rsid w:val="00F72E24"/>
    <w:rsid w:val="00F74CF3"/>
    <w:rsid w:val="00F74E2A"/>
    <w:rsid w:val="00F7539A"/>
    <w:rsid w:val="00F754D5"/>
    <w:rsid w:val="00F75864"/>
    <w:rsid w:val="00F76251"/>
    <w:rsid w:val="00F7673F"/>
    <w:rsid w:val="00F76DDA"/>
    <w:rsid w:val="00F76FE8"/>
    <w:rsid w:val="00F8015F"/>
    <w:rsid w:val="00F80505"/>
    <w:rsid w:val="00F807FB"/>
    <w:rsid w:val="00F80C71"/>
    <w:rsid w:val="00F812BA"/>
    <w:rsid w:val="00F82595"/>
    <w:rsid w:val="00F829C9"/>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4B4"/>
    <w:rsid w:val="00F91D32"/>
    <w:rsid w:val="00F92785"/>
    <w:rsid w:val="00F94783"/>
    <w:rsid w:val="00F9524E"/>
    <w:rsid w:val="00F95AA3"/>
    <w:rsid w:val="00F95B43"/>
    <w:rsid w:val="00F95BD7"/>
    <w:rsid w:val="00F95FEA"/>
    <w:rsid w:val="00F960AD"/>
    <w:rsid w:val="00F96489"/>
    <w:rsid w:val="00F964E8"/>
    <w:rsid w:val="00F968CB"/>
    <w:rsid w:val="00F970BA"/>
    <w:rsid w:val="00F97124"/>
    <w:rsid w:val="00F9713C"/>
    <w:rsid w:val="00F97C17"/>
    <w:rsid w:val="00F97FAF"/>
    <w:rsid w:val="00FA002A"/>
    <w:rsid w:val="00FA1420"/>
    <w:rsid w:val="00FA2553"/>
    <w:rsid w:val="00FA318E"/>
    <w:rsid w:val="00FA3375"/>
    <w:rsid w:val="00FA3AFB"/>
    <w:rsid w:val="00FA45A1"/>
    <w:rsid w:val="00FA4AAF"/>
    <w:rsid w:val="00FA5E02"/>
    <w:rsid w:val="00FA5F04"/>
    <w:rsid w:val="00FA62A2"/>
    <w:rsid w:val="00FA69B8"/>
    <w:rsid w:val="00FA6C7B"/>
    <w:rsid w:val="00FA6CA0"/>
    <w:rsid w:val="00FA72A0"/>
    <w:rsid w:val="00FA7580"/>
    <w:rsid w:val="00FB0D0A"/>
    <w:rsid w:val="00FB1048"/>
    <w:rsid w:val="00FB146D"/>
    <w:rsid w:val="00FB1F1C"/>
    <w:rsid w:val="00FB221D"/>
    <w:rsid w:val="00FB2D29"/>
    <w:rsid w:val="00FB30A1"/>
    <w:rsid w:val="00FB31DD"/>
    <w:rsid w:val="00FB32A4"/>
    <w:rsid w:val="00FB4692"/>
    <w:rsid w:val="00FB47B4"/>
    <w:rsid w:val="00FB4B8E"/>
    <w:rsid w:val="00FB4E79"/>
    <w:rsid w:val="00FB51A3"/>
    <w:rsid w:val="00FB520B"/>
    <w:rsid w:val="00FB52E0"/>
    <w:rsid w:val="00FB5342"/>
    <w:rsid w:val="00FB6462"/>
    <w:rsid w:val="00FB6BFE"/>
    <w:rsid w:val="00FB6E80"/>
    <w:rsid w:val="00FB785D"/>
    <w:rsid w:val="00FC001D"/>
    <w:rsid w:val="00FC0108"/>
    <w:rsid w:val="00FC0549"/>
    <w:rsid w:val="00FC083E"/>
    <w:rsid w:val="00FC08A3"/>
    <w:rsid w:val="00FC0AC7"/>
    <w:rsid w:val="00FC11C1"/>
    <w:rsid w:val="00FC1251"/>
    <w:rsid w:val="00FC15D4"/>
    <w:rsid w:val="00FC1AA8"/>
    <w:rsid w:val="00FC1ADC"/>
    <w:rsid w:val="00FC2B12"/>
    <w:rsid w:val="00FC42B7"/>
    <w:rsid w:val="00FC4B93"/>
    <w:rsid w:val="00FC5451"/>
    <w:rsid w:val="00FC5979"/>
    <w:rsid w:val="00FC74CA"/>
    <w:rsid w:val="00FC75A5"/>
    <w:rsid w:val="00FC769C"/>
    <w:rsid w:val="00FC7D76"/>
    <w:rsid w:val="00FC7E3A"/>
    <w:rsid w:val="00FD059E"/>
    <w:rsid w:val="00FD0CE4"/>
    <w:rsid w:val="00FD17E9"/>
    <w:rsid w:val="00FD2AC4"/>
    <w:rsid w:val="00FD4802"/>
    <w:rsid w:val="00FD4A6F"/>
    <w:rsid w:val="00FD4B29"/>
    <w:rsid w:val="00FD4FDD"/>
    <w:rsid w:val="00FD5357"/>
    <w:rsid w:val="00FD5602"/>
    <w:rsid w:val="00FD5C75"/>
    <w:rsid w:val="00FD7A8D"/>
    <w:rsid w:val="00FD7DD8"/>
    <w:rsid w:val="00FD7F65"/>
    <w:rsid w:val="00FE02B2"/>
    <w:rsid w:val="00FE0565"/>
    <w:rsid w:val="00FE0F05"/>
    <w:rsid w:val="00FE1118"/>
    <w:rsid w:val="00FE122D"/>
    <w:rsid w:val="00FE1B3A"/>
    <w:rsid w:val="00FE2056"/>
    <w:rsid w:val="00FE2066"/>
    <w:rsid w:val="00FE27FA"/>
    <w:rsid w:val="00FE4015"/>
    <w:rsid w:val="00FE4661"/>
    <w:rsid w:val="00FE51E3"/>
    <w:rsid w:val="00FE5C1F"/>
    <w:rsid w:val="00FE6398"/>
    <w:rsid w:val="00FE661F"/>
    <w:rsid w:val="00FE68B6"/>
    <w:rsid w:val="00FE6F1B"/>
    <w:rsid w:val="00FE7611"/>
    <w:rsid w:val="00FE783A"/>
    <w:rsid w:val="00FE7D29"/>
    <w:rsid w:val="00FF026D"/>
    <w:rsid w:val="00FF0DB8"/>
    <w:rsid w:val="00FF10AB"/>
    <w:rsid w:val="00FF155B"/>
    <w:rsid w:val="00FF2166"/>
    <w:rsid w:val="00FF244B"/>
    <w:rsid w:val="00FF260A"/>
    <w:rsid w:val="00FF3F3A"/>
    <w:rsid w:val="00FF46E3"/>
    <w:rsid w:val="00FF5474"/>
    <w:rsid w:val="00FF54D0"/>
    <w:rsid w:val="00FF5FFF"/>
    <w:rsid w:val="00FF6FF6"/>
    <w:rsid w:val="00FF7204"/>
    <w:rsid w:val="00FF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40278"/>
  <w15:docId w15:val="{5C3F68FD-D9AD-417D-BCBB-3997486E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5B2"/>
    <w:pPr>
      <w:spacing w:before="60" w:after="60" w:line="240" w:lineRule="auto"/>
    </w:pPr>
    <w:rPr>
      <w:rFonts w:ascii="Arial" w:hAnsi="Arial"/>
      <w:sz w:val="16"/>
    </w:rPr>
  </w:style>
  <w:style w:type="paragraph" w:styleId="Heading1">
    <w:name w:val="heading 1"/>
    <w:basedOn w:val="Normal"/>
    <w:next w:val="Normal"/>
    <w:link w:val="Heading1Char"/>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Normal"/>
    <w:next w:val="Normal"/>
    <w:link w:val="Heading2Char"/>
    <w:uiPriority w:val="9"/>
    <w:unhideWhenUsed/>
    <w:qFormat/>
    <w:rsid w:val="008645AD"/>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4C2776"/>
    <w:pPr>
      <w:keepNext/>
      <w:keepLines/>
      <w:spacing w:before="24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7742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28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8645AD"/>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4C2776"/>
    <w:rPr>
      <w:rFonts w:ascii="Arial" w:eastAsiaTheme="majorEastAsia" w:hAnsi="Arial" w:cstheme="majorBidi"/>
      <w:b/>
      <w:bCs/>
      <w:sz w:val="16"/>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 w:val="24"/>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7742F1"/>
    <w:rPr>
      <w:rFonts w:asciiTheme="majorHAnsi" w:eastAsiaTheme="majorEastAsia" w:hAnsiTheme="majorHAnsi" w:cstheme="majorBidi"/>
      <w:i/>
      <w:iCs/>
      <w:color w:val="365F91" w:themeColor="accent1" w:themeShade="BF"/>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before="0" w:after="0"/>
    </w:pPr>
    <w:rPr>
      <w:rFonts w:eastAsia="Times New Roman" w:cs="Arial"/>
      <w:color w:val="2222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2020041191">
          <w:marLeft w:val="0"/>
          <w:marRight w:val="0"/>
          <w:marTop w:val="0"/>
          <w:marBottom w:val="150"/>
          <w:divBdr>
            <w:top w:val="none" w:sz="0" w:space="0" w:color="auto"/>
            <w:left w:val="none" w:sz="0" w:space="0" w:color="auto"/>
            <w:bottom w:val="none" w:sz="0" w:space="0" w:color="auto"/>
            <w:right w:val="none" w:sz="0" w:space="0" w:color="auto"/>
          </w:divBdr>
        </w:div>
        <w:div w:id="1898078886">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1092167359">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289673781">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 w:id="676611782">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751465934">
          <w:marLeft w:val="0"/>
          <w:marRight w:val="0"/>
          <w:marTop w:val="75"/>
          <w:marBottom w:val="75"/>
          <w:divBdr>
            <w:top w:val="none" w:sz="0" w:space="0" w:color="auto"/>
            <w:left w:val="none" w:sz="0" w:space="0" w:color="auto"/>
            <w:bottom w:val="none" w:sz="0" w:space="0" w:color="auto"/>
            <w:right w:val="none" w:sz="0" w:space="0" w:color="auto"/>
          </w:divBdr>
        </w:div>
        <w:div w:id="185751529">
          <w:marLeft w:val="0"/>
          <w:marRight w:val="0"/>
          <w:marTop w:val="75"/>
          <w:marBottom w:val="22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1955480511">
          <w:marLeft w:val="0"/>
          <w:marRight w:val="0"/>
          <w:marTop w:val="0"/>
          <w:marBottom w:val="150"/>
          <w:divBdr>
            <w:top w:val="none" w:sz="0" w:space="0" w:color="auto"/>
            <w:left w:val="none" w:sz="0" w:space="0" w:color="auto"/>
            <w:bottom w:val="none" w:sz="0" w:space="0" w:color="auto"/>
            <w:right w:val="none" w:sz="0" w:space="0" w:color="auto"/>
          </w:divBdr>
        </w:div>
        <w:div w:id="94712170">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2121759734">
          <w:marLeft w:val="0"/>
          <w:marRight w:val="0"/>
          <w:marTop w:val="0"/>
          <w:marBottom w:val="150"/>
          <w:divBdr>
            <w:top w:val="none" w:sz="0" w:space="0" w:color="auto"/>
            <w:left w:val="none" w:sz="0" w:space="0" w:color="auto"/>
            <w:bottom w:val="none" w:sz="0" w:space="0" w:color="auto"/>
            <w:right w:val="none" w:sz="0" w:space="0" w:color="auto"/>
          </w:divBdr>
        </w:div>
        <w:div w:id="969017410">
          <w:marLeft w:val="0"/>
          <w:marRight w:val="0"/>
          <w:marTop w:val="0"/>
          <w:marBottom w:val="150"/>
          <w:divBdr>
            <w:top w:val="none" w:sz="0" w:space="0" w:color="auto"/>
            <w:left w:val="none" w:sz="0" w:space="0" w:color="auto"/>
            <w:bottom w:val="none" w:sz="0" w:space="0" w:color="auto"/>
            <w:right w:val="none" w:sz="0" w:space="0" w:color="auto"/>
          </w:divBdr>
        </w:div>
      </w:divsChild>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34751897">
          <w:marLeft w:val="0"/>
          <w:marRight w:val="0"/>
          <w:marTop w:val="0"/>
          <w:marBottom w:val="150"/>
          <w:divBdr>
            <w:top w:val="none" w:sz="0" w:space="0" w:color="auto"/>
            <w:left w:val="none" w:sz="0" w:space="0" w:color="auto"/>
            <w:bottom w:val="none" w:sz="0" w:space="0" w:color="auto"/>
            <w:right w:val="none" w:sz="0" w:space="0" w:color="auto"/>
          </w:divBdr>
        </w:div>
        <w:div w:id="1618758744">
          <w:marLeft w:val="0"/>
          <w:marRight w:val="0"/>
          <w:marTop w:val="0"/>
          <w:marBottom w:val="150"/>
          <w:divBdr>
            <w:top w:val="none" w:sz="0" w:space="0" w:color="auto"/>
            <w:left w:val="none" w:sz="0" w:space="0" w:color="auto"/>
            <w:bottom w:val="none" w:sz="0" w:space="0" w:color="auto"/>
            <w:right w:val="none" w:sz="0" w:space="0" w:color="auto"/>
          </w:divBdr>
        </w:div>
      </w:divsChild>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2013677850">
          <w:marLeft w:val="0"/>
          <w:marRight w:val="0"/>
          <w:marTop w:val="0"/>
          <w:marBottom w:val="150"/>
          <w:divBdr>
            <w:top w:val="none" w:sz="0" w:space="0" w:color="auto"/>
            <w:left w:val="none" w:sz="0" w:space="0" w:color="auto"/>
            <w:bottom w:val="none" w:sz="0" w:space="0" w:color="auto"/>
            <w:right w:val="none" w:sz="0" w:space="0" w:color="auto"/>
          </w:divBdr>
        </w:div>
        <w:div w:id="196689167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3715E16EAB77488364DB5A7DF40B5A" ma:contentTypeVersion="12" ma:contentTypeDescription="Create a new document." ma:contentTypeScope="" ma:versionID="9d910d1478a0d971c479fde643948901">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95ece80a52bca9fec6d4c17f78110e1b"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Notes"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7635ab0-52e7-4e33-aa76-893cd120ef45">DNVT47QTA7NQ-509440880-390880</_dlc_DocId>
    <_dlc_DocIdUrl xmlns="b7635ab0-52e7-4e33-aa76-893cd120ef45">
      <Url>https://sharepoint.aemcorp.com/ed/EDMITS/_layouts/15/DocIdRedir.aspx?ID=DNVT47QTA7NQ-509440880-390880</Url>
      <Description>DNVT47QTA7NQ-509440880-390880</Description>
    </_dlc_DocIdUrl>
    <RoutingTargetFolder xmlns="http://schemas.microsoft.com/sharepoint/v3" xsi:nil="true"/>
    <Document_x0020_Purpose xmlns="75b8f200-01bb-4893-a3c4-f3a17e332d98" xsi:nil="true"/>
    <_dlc_DocIdPersistId xmlns="b7635ab0-52e7-4e33-aa76-893cd120ef45">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2.xml><?xml version="1.0" encoding="utf-8"?>
<ds:datastoreItem xmlns:ds="http://schemas.openxmlformats.org/officeDocument/2006/customXml" ds:itemID="{D11F2FB3-7987-4B56-9947-5BC145E75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635ab0-52e7-4e33-aa76-893cd120ef45"/>
    <ds:schemaRef ds:uri="75b8f200-01bb-4893-a3c4-f3a17e33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b7635ab0-52e7-4e33-aa76-893cd120ef45"/>
    <ds:schemaRef ds:uri="http://schemas.microsoft.com/sharepoint/v3"/>
    <ds:schemaRef ds:uri="75b8f200-01bb-4893-a3c4-f3a17e332d98"/>
  </ds:schemaRefs>
</ds:datastoreItem>
</file>

<file path=customXml/itemProps4.xml><?xml version="1.0" encoding="utf-8"?>
<ds:datastoreItem xmlns:ds="http://schemas.openxmlformats.org/officeDocument/2006/customXml" ds:itemID="{B7F4699C-0160-4AB3-A519-BCFA7AA343EB}">
  <ds:schemaRefs>
    <ds:schemaRef ds:uri="http://schemas.microsoft.com/sharepoint/events"/>
  </ds:schemaRefs>
</ds:datastoreItem>
</file>

<file path=customXml/itemProps5.xml><?xml version="1.0" encoding="utf-8"?>
<ds:datastoreItem xmlns:ds="http://schemas.openxmlformats.org/officeDocument/2006/customXml" ds:itemID="{F6431FC6-DC9B-48EF-94CD-FE94C5A9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45568</Words>
  <Characters>259739</Characters>
  <Application>Microsoft Office Word</Application>
  <DocSecurity>0</DocSecurity>
  <Lines>2164</Lines>
  <Paragraphs>609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O'Grady</dc:creator>
  <cp:lastModifiedBy>Ashley Augustine</cp:lastModifiedBy>
  <cp:revision>2</cp:revision>
  <cp:lastPrinted>2014-08-19T16:56:00Z</cp:lastPrinted>
  <dcterms:created xsi:type="dcterms:W3CDTF">2022-06-29T13:59:00Z</dcterms:created>
  <dcterms:modified xsi:type="dcterms:W3CDTF">2022-06-29T13:59:00Z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0x0101002B3715E16EAB77488364DB5A7DF40B5A</vt:lpwstr>
  </property>
  <property fmtid="{D5CDD505-2E9C-101B-9397-08002B2CF9AE}" pid="3" name="_dlc_DocIdItemGuid">
    <vt:lpwstr>23355a40-5f7a-4a1f-9d79-b27f0c2196d2</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