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Start w:id="4" w:name="_GoBack"/>
      <w:bookmarkEnd w:id="0"/>
      <w:bookmarkEnd w:id="4"/>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B34FCD1"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CC5489">
        <w:rPr>
          <w:rFonts w:cs="Arial"/>
          <w:b/>
          <w:bCs/>
          <w:color w:val="000000" w:themeColor="text1"/>
          <w:sz w:val="28"/>
          <w:szCs w:val="28"/>
        </w:rPr>
        <w:t>3</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Louisiana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38FB37D5"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3, 2025</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014DD19D" w:rsidR="007742F1" w:rsidRPr="002C274F" w:rsidRDefault="007742F1" w:rsidP="002C274F">
      <w:pPr>
        <w:rPr>
          <w:rFonts w:asciiTheme="majorHAnsi" w:hAnsiTheme="majorHAnsi"/>
          <w:b/>
          <w:bCs/>
          <w:sz w:val="20"/>
          <w:szCs w:val="20"/>
        </w:rPr>
      </w:pPr>
      <w:r w:rsidRPr="002C274F">
        <w:rPr>
          <w:b/>
          <w:bCs/>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Louisiana Department of Education’s (LDOE) general supervision system is an integrated system of oversight and support intended to (1) ensure that all children with disabilities have available to them a free appropriate public education which emphasizes special education and related services designed to meet their unique needs; (2) ensure that the rights of children with disabilities and their parents or guardians are protected; (3) assist States, localities, educational service agencies and federal agencies to provide for the education of all children with disabilities; and (4) assist and ensure the effectiveness of efforts to educate children with disabilities leading to improved outcomes. The components described below are part of an interconnected system designed to ensure compliance and drive our state toward meeting expectations regarding federal and state requirements.</w:t>
      </w:r>
      <w:r w:rsidRPr="00781112">
        <w:rPr>
          <w:rFonts w:cs="Arial"/>
          <w:color w:val="000000" w:themeColor="text1"/>
          <w:szCs w:val="16"/>
        </w:rPr>
        <w:br/>
      </w:r>
      <w:r w:rsidRPr="00781112">
        <w:rPr>
          <w:rFonts w:cs="Arial"/>
          <w:color w:val="000000" w:themeColor="text1"/>
          <w:szCs w:val="16"/>
        </w:rPr>
        <w:br/>
        <w:t xml:space="preserve">The general supervision system partnered with intentional statewide strategy has resulted in three years in a row of improved academic achievement for students with disabilities and in 2023-2024, for the first time ever, reducing the achievement gap between students with disabilities and their non-disabled peers by 1 percent. Graduation rate increases in 2023-2024 for students with disabilities also surpassed their non-disabled peers. </w:t>
      </w:r>
      <w:r w:rsidRPr="00781112">
        <w:rPr>
          <w:rFonts w:cs="Arial"/>
          <w:color w:val="000000" w:themeColor="text1"/>
          <w:szCs w:val="16"/>
        </w:rPr>
        <w:br/>
      </w:r>
      <w:r w:rsidRPr="00781112">
        <w:rPr>
          <w:rFonts w:cs="Arial"/>
          <w:color w:val="000000" w:themeColor="text1"/>
          <w:szCs w:val="16"/>
        </w:rPr>
        <w:br/>
        <w:t>This is the latest data to show Louisiana students are maintaining and accelerating academic gains made since the pandemic:</w:t>
      </w:r>
      <w:r w:rsidRPr="00781112">
        <w:rPr>
          <w:rFonts w:cs="Arial"/>
          <w:color w:val="000000" w:themeColor="text1"/>
          <w:szCs w:val="16"/>
        </w:rPr>
        <w:br/>
      </w:r>
      <w:r w:rsidRPr="00781112">
        <w:rPr>
          <w:rFonts w:cs="Arial"/>
          <w:color w:val="000000" w:themeColor="text1"/>
          <w:szCs w:val="16"/>
        </w:rPr>
        <w:br/>
        <w:t>Louisiana's students with disabilities and economically disadvantaged students have grown for the past three years on state LEAP assessments and on NAEP.</w:t>
      </w:r>
      <w:r w:rsidRPr="00781112">
        <w:rPr>
          <w:rFonts w:cs="Arial"/>
          <w:color w:val="000000" w:themeColor="text1"/>
          <w:szCs w:val="16"/>
        </w:rPr>
        <w:br/>
        <w:t>Louisiana climbed to 32nd from 43rd based on the most recent NAEP rankings and Louisiana students with disabilities outperformed students with disabilities across the country.</w:t>
      </w:r>
      <w:r w:rsidRPr="00781112">
        <w:rPr>
          <w:rFonts w:cs="Arial"/>
          <w:color w:val="000000" w:themeColor="text1"/>
          <w:szCs w:val="16"/>
        </w:rPr>
        <w:br/>
        <w:t xml:space="preserve">Louisiana's 4th graders led the country again in reading growth on The Nation's Report Card in 2024. </w:t>
      </w:r>
      <w:r w:rsidRPr="00781112">
        <w:rPr>
          <w:rFonts w:cs="Arial"/>
          <w:color w:val="000000" w:themeColor="text1"/>
          <w:szCs w:val="16"/>
        </w:rPr>
        <w:br/>
        <w:t>Louisiana's students with disabilities demonstrated increased academic performance for the third year in a row.</w:t>
      </w:r>
      <w:r w:rsidRPr="00781112">
        <w:rPr>
          <w:rFonts w:cs="Arial"/>
          <w:color w:val="000000" w:themeColor="text1"/>
          <w:szCs w:val="16"/>
        </w:rPr>
        <w:br/>
        <w:t>Louisiana has achieved its highest national rankings ever, moving from 46th to 40th on the U.S. News &amp; World Report Best States ranking.</w:t>
      </w:r>
      <w:r w:rsidRPr="00781112">
        <w:rPr>
          <w:rFonts w:cs="Arial"/>
          <w:color w:val="000000" w:themeColor="text1"/>
          <w:szCs w:val="16"/>
        </w:rPr>
        <w:br/>
        <w:t>Louisiana's 4th graders led the country in reading growth and economically disadvantaged 4th graders improved from 42nd to 11th in reading on The Nation’s Report Card in 2022.</w:t>
      </w:r>
      <w:r w:rsidRPr="00781112">
        <w:rPr>
          <w:rFonts w:cs="Arial"/>
          <w:color w:val="000000" w:themeColor="text1"/>
          <w:szCs w:val="16"/>
        </w:rPr>
        <w:br/>
        <w:t>Louisiana is one of three states where average reading achievement in 2023 was above 2019 levels.</w:t>
      </w:r>
      <w:r w:rsidRPr="00781112">
        <w:rPr>
          <w:rFonts w:cs="Arial"/>
          <w:color w:val="000000" w:themeColor="text1"/>
          <w:szCs w:val="16"/>
        </w:rPr>
        <w:br/>
        <w:t>Louisiana ranked at the top of a national list recognizing states for adopting a comprehensive early literacy policy to provide students with the foundational reading skills to learn, graduate, and succeed.</w:t>
      </w:r>
      <w:r w:rsidRPr="00781112">
        <w:rPr>
          <w:rFonts w:cs="Arial"/>
          <w:color w:val="000000" w:themeColor="text1"/>
          <w:szCs w:val="16"/>
        </w:rPr>
        <w:br/>
        <w:t>Louisiana’s most recent cohort graduation rate increased.</w:t>
      </w:r>
      <w:r w:rsidRPr="00781112">
        <w:rPr>
          <w:rFonts w:cs="Arial"/>
          <w:color w:val="000000" w:themeColor="text1"/>
          <w:szCs w:val="16"/>
        </w:rPr>
        <w:br/>
        <w:t>Louisiana maintained LEAP gains made over the past two years on the most recent state assessments.</w:t>
      </w:r>
      <w:r w:rsidRPr="00781112">
        <w:rPr>
          <w:rFonts w:cs="Arial"/>
          <w:color w:val="000000" w:themeColor="text1"/>
          <w:szCs w:val="16"/>
        </w:rPr>
        <w:br/>
        <w:t>Louisiana students in grades K-3 improved their reading scores by 10 percentage points on the state’s first universal literacy screener.</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r w:rsidRPr="00781112">
        <w:rPr>
          <w:color w:val="000000" w:themeColor="text1"/>
        </w:rPr>
        <w:t xml:space="preserve">Louisiana continues to receive technical assistance from the IDEA Data Center (IDC) who helps states collect, report, analyze, and use high-quality data. This partnership has provided comprehensive on-site and virtual assistance to Louisiana's team. Louisiana's team also participates in the Data Quality Peer Groups, DMS support structures, IDEA Leadership Conference, HOLA events and NASDSE conference. Louisiana's State Director also participates in various national support cohorts and special education organizations. In 2023-2024, Louisiana sent a team to NCSI's monitoring policy writing workshop, which resulted in revisions to current monitoring policy. Additionally, the DMS support provided by TA Centers also served as impactful technical assistance resulting in documented clear, concise procedures. See attachment for full technical assistance response and actions Louisiana took. </w:t>
      </w: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188</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55F0525C"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6ED4E205" w14:textId="2E339254" w:rsidR="00256572" w:rsidRPr="00680744" w:rsidRDefault="00256572" w:rsidP="00680744">
      <w:pPr>
        <w:rPr>
          <w:b/>
          <w:bCs/>
        </w:rPr>
      </w:pPr>
      <w:r w:rsidRPr="00680744">
        <w:rPr>
          <w:b/>
          <w:bCs/>
        </w:rPr>
        <w:t>Describe the process the State uses to select LEAs for monitoring, the schedule, and number of LEAs monitored per year.</w:t>
      </w:r>
    </w:p>
    <w:p w14:paraId="77EFC6FC" w14:textId="1967493C" w:rsidR="00256572" w:rsidRPr="00A964C2" w:rsidRDefault="00256572" w:rsidP="00680744">
      <w:pPr>
        <w:rPr>
          <w:bCs/>
        </w:rPr>
      </w:pPr>
      <w:r w:rsidRPr="00A964C2">
        <w:rPr>
          <w:bCs/>
        </w:rPr>
        <w:t xml:space="preserve">LDOE recognizes its duty to ensure statutory and regulatory requirements relative to federal education programs and program monitoring are followed with fidelity and implemented in accordance with established policies and procedures. The Division of Statewide Monitoring exists as the agency’s hub for all of federal program monitoring. More specifically, this centralized monitoring hub houses two complete sections of qualified and experienced IDEA monitors. In Louisiana, we implement a continuous improvement model of monitoring that is 3-prong; a one-pager describing the model is on our website: https://doe.louisiana.gov/docs/default-source/students-with-disabilities/monitoring-one-pager.pdf?sfvrsn=6a09083b_3 . It encompasses three layers of monitoring support that are inclusive of varying degrees of compliance and performance outcomes. This integrated 3-prong model is inclusive of the following monitoring activities: (1) risk-based monitoring which now includes complaints, (2) SPP/APR monitoring, reporting, data analysis, outreach and reporting, and (3) fiscal monitoring and the management of results at each level. Our student centered monitoring occurs at the risk-based level. As a result, this process utilizes a tiered system of ranking through a stakeholder approved risk-based selection process and also follows the six-year cyclical requirements released in the most recent OSEP guidance. Risk-based monitoring allows for the annual analysis and comparison of student performance data for the students with disabilities subgroup, and identifies where growth and/or decline has occurred. This allows for a deeper dive into data, and more diverse, meaningful monitoring experiences. Through this process, LDOE can uncover the root cause for systemic issues of non-compliance. Additionally, the risk-based process evaluates every school system every year for monitoring support. Factors considered during the monitoring selection process currently include a Subgroup Performance on Statewide Assessments in both English Language Arts and Mathematics, the results of the most recent LEA Determination, and Graduation and Dropout rates. Other factors include one or more of the following components: state </w:t>
      </w:r>
      <w:r w:rsidRPr="00A964C2">
        <w:rPr>
          <w:bCs/>
        </w:rPr>
        <w:lastRenderedPageBreak/>
        <w:t xml:space="preserve">complaints, fiscal audits, and/or other agency established goals and priorities such as those identified in the State Systemic Improvement Plan (SSIP). Results from the ranking process informs the level and type of monitoring which is most appropriate. While every school system eligible for monitoring will receive either a desk audit or on-site monitoring within a six year period, annually, school systems are ranked in the following categories of risks: low, moderate, and high. The factors weighted to determine the level of risks assist in guiding the monitoring selection process and the monitoring experiences. The monitoring schedule is a collaborative effort and encompasses a quarterly schedule whereby schools system are formally notified, monitoring, and student specific results are disseminated. Additionally, for IDEA any school system requiring a corrective action plan, is required to correct any student specific findings of non-compliance immediately but in no case will other findings not be corrected and verified within one year of identification. Every school system is monitored every year for Annual Performance Report Indicators. Every school system is evaluated for procedural compliance with the IDEA Part, B grant. Additionally, a risk based process exists for fiscal monitoring of IDEA programs and services by the education finance team. In Louisiana, for 2 of 3 of the prongs of monitoring every school system is monitored every year. However, risk based monitoring and the number of school systems monitored is determined by an annual risk ranking. Approximately, one-third of our school systems receive some kind of direct, student centered monitoring support annually. However, the LDOE reserves the right to make adjustments barring unforeseen circumstances. </w:t>
      </w:r>
      <w:r w:rsidRPr="00A964C2">
        <w:rPr>
          <w:bCs/>
        </w:rPr>
        <w:br/>
      </w:r>
      <w:r w:rsidRPr="00A964C2">
        <w:rPr>
          <w:bCs/>
        </w:rPr>
        <w:br/>
        <w:t xml:space="preserve">LDOE is responsible for monitoring subrecipients to ensure that the IDEA Part B program is effectively implemented and funds are used for authorized purposes and in accordance with federal statutes, regulations, and the terms and conditions of the subaward. Procedures are used to standardize the oversight, evaluation, and monitoring guidelines of each LEA. Federal regulatory provisions under which LDOE monitors for fiscal accountability and compliance are the Education Department General Administrative Regulations (EDGAR), the Uniform Administrative Requirements, Cost Principles, and Audit Requirements for Federal Awards (commonly known as the Uniform Grant Guidance or Uniform Guidance), and IDEA Part B. All LEAs receive certain fiscal monitoring activities through our electronic grants management system (egms) in which program staff review LEA IDEA budgets and engage in feedback. Additionally, fiscal monitoring is conducted annually for select subrecipients of federal funds as selected from a risk-based assessment that includes but is not limited to the following factors: total awarded and expended funds; previous fiscal, programmatic and single audit findings. </w:t>
      </w:r>
      <w:r w:rsidRPr="00A964C2">
        <w:rPr>
          <w:bCs/>
        </w:rPr>
        <w:br/>
      </w:r>
      <w:r w:rsidRPr="00A964C2">
        <w:rPr>
          <w:bCs/>
        </w:rPr>
        <w:br/>
        <w:t>Monitoring schedules are published in the Superintendent’s newsletter annually, and quarterly reminders are published as well. In addition, a monitoring team leader sends and manages direct notifications and correspondence regarding scheduled monitoring activities by sending a formal, written notification to the school superintendent and federal program and/or special education director. Monitoring schedules and other resources can be accessed at https://doe.louisiana.gov/school-system-leaders/school-system-finances/grants/federal-support-and-grantee-relations-resources.</w:t>
      </w:r>
    </w:p>
    <w:p w14:paraId="44B1A469" w14:textId="63AD8ACD" w:rsidR="00256572" w:rsidRPr="00680744" w:rsidRDefault="00256572" w:rsidP="00680744">
      <w:pPr>
        <w:rPr>
          <w:b/>
          <w:bCs/>
        </w:rPr>
      </w:pPr>
      <w:r w:rsidRPr="00680744">
        <w:rPr>
          <w:b/>
          <w:bCs/>
        </w:rPr>
        <w:t>Describe how student files are chosen, including the number of student files that are selected, as part of the State’s process for determining an LEA’s compliance with IDEA requirements and verifying the LEA’s correction of any identified compliance.</w:t>
      </w:r>
    </w:p>
    <w:p w14:paraId="6DFD3B84" w14:textId="3A7AA03B" w:rsidR="00256572" w:rsidRPr="00A964C2" w:rsidRDefault="00256572" w:rsidP="00680744">
      <w:pPr>
        <w:rPr>
          <w:bCs/>
        </w:rPr>
      </w:pPr>
      <w:r w:rsidRPr="00A964C2">
        <w:rPr>
          <w:bCs/>
        </w:rPr>
        <w:t>Student files are chosen based both on student population and on required components for monitoring to ensure a comprehensive evaluation of compliance. The number of student files is based on the following:</w:t>
      </w:r>
      <w:r w:rsidRPr="00A964C2">
        <w:rPr>
          <w:bCs/>
        </w:rPr>
        <w:br/>
        <w:t>1-10 students enrolled - all files selected</w:t>
      </w:r>
      <w:r w:rsidRPr="00A964C2">
        <w:rPr>
          <w:bCs/>
        </w:rPr>
        <w:br/>
        <w:t>11-50 students enrolled - 10 files selected</w:t>
      </w:r>
      <w:r w:rsidRPr="00A964C2">
        <w:rPr>
          <w:bCs/>
        </w:rPr>
        <w:br/>
        <w:t>51-100 students enrolled - 15 files selected</w:t>
      </w:r>
      <w:r w:rsidRPr="00A964C2">
        <w:rPr>
          <w:bCs/>
        </w:rPr>
        <w:br/>
        <w:t>101-300 students enrolled - 30 files selected</w:t>
      </w:r>
      <w:r w:rsidRPr="00A964C2">
        <w:rPr>
          <w:bCs/>
        </w:rPr>
        <w:br/>
        <w:t>301-600 students enrolled - 40 files selected</w:t>
      </w:r>
      <w:r w:rsidRPr="00A964C2">
        <w:rPr>
          <w:bCs/>
        </w:rPr>
        <w:br/>
        <w:t>601-1,000 students enrolled - 45 files selected</w:t>
      </w:r>
      <w:r w:rsidRPr="00A964C2">
        <w:rPr>
          <w:bCs/>
        </w:rPr>
        <w:br/>
        <w:t>1,001 and above students enrolled - 50 files selected</w:t>
      </w:r>
      <w:r w:rsidRPr="00A964C2">
        <w:rPr>
          <w:bCs/>
        </w:rPr>
        <w:br/>
      </w:r>
      <w:r w:rsidRPr="00A964C2">
        <w:rPr>
          <w:bCs/>
        </w:rPr>
        <w:br/>
        <w:t>Once the sample size chart is used to determine the correct sample size, the next criteria of selection includes ensuring a variety of randomly selected files that will allow for a comprehensive review of all components:</w:t>
      </w:r>
      <w:r w:rsidRPr="00A964C2">
        <w:rPr>
          <w:bCs/>
        </w:rPr>
        <w:br/>
        <w:t>• students with disabilities who scored non-proficient in ELA and Math on state-wide assessments</w:t>
      </w:r>
      <w:r w:rsidRPr="00A964C2">
        <w:rPr>
          <w:bCs/>
        </w:rPr>
        <w:br/>
        <w:t>• students with disabilities from varying exceptionality categories</w:t>
      </w:r>
      <w:r w:rsidRPr="00A964C2">
        <w:rPr>
          <w:bCs/>
        </w:rPr>
        <w:br/>
        <w:t>• students with disabilities with referrals, suspensions, FBA, behavior plans, etc.</w:t>
      </w:r>
      <w:r w:rsidRPr="00A964C2">
        <w:rPr>
          <w:bCs/>
        </w:rPr>
        <w:br/>
        <w:t>• students with disabilities with transition plans</w:t>
      </w:r>
      <w:r w:rsidRPr="00A964C2">
        <w:rPr>
          <w:bCs/>
        </w:rPr>
        <w:br/>
        <w:t xml:space="preserve">• students with disabilities with initial evaluations </w:t>
      </w:r>
      <w:r w:rsidRPr="00A964C2">
        <w:rPr>
          <w:bCs/>
        </w:rPr>
        <w:br/>
        <w:t>• students with disabilities with related services</w:t>
      </w:r>
      <w:r w:rsidRPr="00A964C2">
        <w:rPr>
          <w:bCs/>
        </w:rPr>
        <w:br/>
        <w:t>• students with disabilities who qualify for LEAP Alternate Assessment/April Dunn Act</w:t>
      </w:r>
      <w:r w:rsidRPr="00A964C2">
        <w:rPr>
          <w:bCs/>
        </w:rPr>
        <w:br/>
        <w:t>• students with disabilities who are failing 2 or more core subjects</w:t>
      </w:r>
      <w:r w:rsidRPr="00A964C2">
        <w:rPr>
          <w:bCs/>
        </w:rPr>
        <w:br/>
        <w:t>• discipline files and/or complaints</w:t>
      </w:r>
    </w:p>
    <w:p w14:paraId="26E11BF5"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24FA5A26" w14:textId="06547BBE" w:rsidR="00256572" w:rsidRPr="00A964C2" w:rsidRDefault="00256572" w:rsidP="00680744">
      <w:pPr>
        <w:rPr>
          <w:bCs/>
        </w:rPr>
      </w:pPr>
      <w:r w:rsidRPr="00A964C2">
        <w:rPr>
          <w:bCs/>
        </w:rPr>
        <w:t>The majority of special education data is collected through LDOE’s enhanced Special Education Reporting (eSER) online system, which was modernized and enhanced over the past year, and our Student Information System (SIS). Data processes and procedures are included in an eSER manual, and the LDOE data team hosts monthly data manager calls and administers an annual data calendar. The LDOE data team, special education team, and indicator managers meet weekly to discuss data collection, analyze data and determine state priorities and next steps. The use of a statewide system, eSER, allows for automation and programmed business rules, and it allows for both statewide reports to be generated and LEA-level reports.</w:t>
      </w:r>
      <w:r w:rsidRPr="00A964C2">
        <w:rPr>
          <w:bCs/>
        </w:rPr>
        <w:br/>
      </w:r>
      <w:r w:rsidRPr="00A964C2">
        <w:rPr>
          <w:bCs/>
        </w:rPr>
        <w:br/>
        <w:t>The LDOE reports on the number of findings of noncompliance identified, findings of noncompliance verified as corrected within one year, findings of noncompliance</w:t>
      </w:r>
      <w:r w:rsidRPr="00A964C2">
        <w:rPr>
          <w:bCs/>
        </w:rPr>
        <w:br/>
        <w:t>subsequently corrected, and findings not yet verified as corrected during the previous FFY SPP/APR reporting period. For example, for indicators where the state pulls data for the whole school year from eSER, then the period would be July 1 through June 30. The monitoring team also sets specific prior year parameters during their monitoring activities each quarter, but monitoring also uses the prior year. In addition, the LDOE reports on the correction of any remaining findings of noncompliance identified prior to the FFY SPP/APR reporting period that were not yet verified as corrected in the prior year’s SPP/APR. Additionally, the special education team reviews multiple years of data including previous SPP/APR data to identify multi-year trends and measure progress over time.</w:t>
      </w:r>
    </w:p>
    <w:p w14:paraId="33613CF8" w14:textId="13B2B690" w:rsidR="00256572" w:rsidRPr="00680744" w:rsidRDefault="00256572" w:rsidP="00680744">
      <w:pPr>
        <w:rPr>
          <w:b/>
          <w:bCs/>
        </w:rPr>
      </w:pPr>
      <w:r w:rsidRPr="00680744">
        <w:rPr>
          <w:b/>
          <w:bCs/>
        </w:rPr>
        <w:t>Describe how the State issues findings: by number of instances or by LEAs.</w:t>
      </w:r>
    </w:p>
    <w:p w14:paraId="346CD5C7" w14:textId="7CA1B2ED" w:rsidR="00256572" w:rsidRPr="00A964C2" w:rsidRDefault="00256572" w:rsidP="00680744">
      <w:pPr>
        <w:rPr>
          <w:bCs/>
        </w:rPr>
      </w:pPr>
      <w:r w:rsidRPr="00A964C2">
        <w:rPr>
          <w:bCs/>
        </w:rPr>
        <w:t>All findings are issued by instance except for fiscal findings which are by LEA and indicators 4, 9 and 10 are by LEA.</w:t>
      </w:r>
    </w:p>
    <w:p w14:paraId="4E520B68" w14:textId="4A126EDB"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3C8C8600" w14:textId="664C4570" w:rsidR="00256572" w:rsidRPr="00A964C2" w:rsidRDefault="00256572" w:rsidP="00680744">
      <w:pPr>
        <w:rPr>
          <w:bCs/>
        </w:rPr>
      </w:pPr>
      <w:r w:rsidRPr="00A964C2">
        <w:rPr>
          <w:bCs/>
        </w:rPr>
        <w:t>The LDOE does not allow pre-finding correction.</w:t>
      </w:r>
    </w:p>
    <w:p w14:paraId="75FD7315" w14:textId="166AA740"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1734D89A" w14:textId="0476937D" w:rsidR="00256572" w:rsidRPr="00A964C2" w:rsidRDefault="00256572" w:rsidP="00680744">
      <w:pPr>
        <w:rPr>
          <w:bCs/>
        </w:rPr>
      </w:pPr>
      <w:r w:rsidRPr="00A964C2">
        <w:rPr>
          <w:bCs/>
        </w:rPr>
        <w:lastRenderedPageBreak/>
        <w:t>Improvement, correction, incentives and sanctions are all intended to improve outcomes for students with disabilities and ensure compliance. State policy in Bulletin 1922 outlines actions LDOE may take. There is cross-office integration between the legal office, data and assessment analysis, monitoring, fiscal, and our special education team where targeted needs may be identified as a result of various reviews. If LDOE issues a finding of noncompliance for an LEA then the LEA must correct the noncompliance, as soon as possible, but no later than one year from the date of notification. The LEA may be required to develop a Corrective Action Plan (CAP) or a Special Master may be assigned to the LEA to assist them with correction and improvement. LDOE policy states funds may be directed to address specific concerns or funding may be withheld following a required hearing by the state’s board. LDOE also uses incentives like competitive funding opportunities and leveraging state IDEA set aside dollars to offer additional opportunities to school systems with accountability labels indicating students with disabilities are struggling. Additionally, each year the LDOE is offering technical assistance to LEAs based on determination results, which includes a consultant who provides targeted assistance based on the data.</w:t>
      </w:r>
    </w:p>
    <w:p w14:paraId="61665C0B" w14:textId="30937A43"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2EE5F281" w14:textId="602F2521" w:rsidR="00256572" w:rsidRPr="00A964C2" w:rsidRDefault="00256572" w:rsidP="00680744">
      <w:pPr>
        <w:rPr>
          <w:bCs/>
        </w:rPr>
      </w:pPr>
      <w:r w:rsidRPr="00A964C2">
        <w:rPr>
          <w:bCs/>
        </w:rPr>
        <w:t>In alignment to the SPP/APR indicators, LDOE issues annual LEA determinations, which include consideration of performance on all compliance indicators, valid and reliable data, correction of identified noncompliance, and other data available to the State about the LEA’s compliance with IDEA, any relevant audit findings. data on child outcomes, graduation rates, dropout rates, least restrictive environment, discipline, achievement/assessment results, and postsecondary outcomes. LEA determinations use the same OSEP categories as state determinations: Meets Requirement, Needs Assistance, Needs Intervention, and Needs Substantial Intervention. Targets are set for each data element included and points awarded that determine which category a LEA falls in. LDOE posts its annual State determination on the website and provides LEA determinations through a secure portal and posts online LEA Performance Profiles not later than 120 days of submitting the SPP/APR: https://doe.louisiana.gov/data-and-reports/special-education-reporting.</w:t>
      </w:r>
    </w:p>
    <w:p w14:paraId="469516E7" w14:textId="77777777" w:rsidR="00256572" w:rsidRPr="00FD2125" w:rsidRDefault="00256572" w:rsidP="00680744">
      <w:pPr>
        <w:rPr>
          <w:b/>
          <w:bCs/>
        </w:rPr>
      </w:pPr>
      <w:r w:rsidRPr="00FD2125">
        <w:rPr>
          <w:b/>
          <w:bCs/>
        </w:rPr>
        <w:t>Provide the web link to information about the State’s general supervision policies, procedures, and process that is made available to the public.</w:t>
      </w:r>
    </w:p>
    <w:p w14:paraId="609C862A" w14:textId="6B09554B" w:rsidR="00256572" w:rsidRPr="00A964C2" w:rsidRDefault="00256572" w:rsidP="00680744">
      <w:pPr>
        <w:rPr>
          <w:bCs/>
        </w:rPr>
      </w:pPr>
      <w:r w:rsidRPr="00A964C2">
        <w:rPr>
          <w:bCs/>
        </w:rPr>
        <w:t>LDOE’s policies regarding general supervision and the provision of FAPE to students with disabilities are included in the following state bulletins specific to special education: Bulletin 1706 - Regulations for Implementation of Children with Exceptionalities Act, Bulletin 1530 - IEP Handbook, Bulletin 1508 - Pupil Appraisal Handbook, Bulletin 1922 - Compliance Monitoring, Bulletin 1573 - Complaint Management, and Bulletin 1903 - Dyslexia Handbook (https://bese.louisiana.gov/policy). There are additional state policies that also intersect special education; for example our Bulletin 746 includes certification requirements that includes qualifications and requirements of special educators. LEAs must have policies, procedures, and practices consistent with IDEA and state bulletins and sign annual assurances that their policies and procedures are in alignment with federal and state regulations.</w:t>
      </w:r>
    </w:p>
    <w:p w14:paraId="26D57A13" w14:textId="214088C3" w:rsidR="00AF5649" w:rsidRPr="00781112" w:rsidRDefault="00AF5649" w:rsidP="004369B2">
      <w:pPr>
        <w:rPr>
          <w:color w:val="000000" w:themeColor="text1"/>
        </w:rPr>
      </w:pPr>
      <w:r w:rsidRPr="00781112">
        <w:rPr>
          <w:b/>
          <w:color w:val="000000" w:themeColor="text1"/>
        </w:rPr>
        <w:t>Technical Assistance System:</w:t>
      </w:r>
    </w:p>
    <w:p w14:paraId="66B8EA84" w14:textId="60BE563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LDOE employs several mechanisms to provide technical assistance that ensures the timely delivery of high quality, evidence based technical assistance and support to LEAs.</w:t>
      </w:r>
      <w:r w:rsidRPr="00781112">
        <w:rPr>
          <w:rFonts w:cs="Arial"/>
          <w:color w:val="000000" w:themeColor="text1"/>
          <w:szCs w:val="16"/>
        </w:rPr>
        <w:br/>
      </w:r>
      <w:r w:rsidRPr="00781112">
        <w:rPr>
          <w:rFonts w:cs="Arial"/>
          <w:color w:val="000000" w:themeColor="text1"/>
          <w:szCs w:val="16"/>
        </w:rPr>
        <w:br/>
        <w:t>FIELD SUPPORT</w:t>
      </w:r>
      <w:r w:rsidRPr="00781112">
        <w:rPr>
          <w:rFonts w:cs="Arial"/>
          <w:color w:val="000000" w:themeColor="text1"/>
          <w:szCs w:val="16"/>
        </w:rPr>
        <w:br/>
      </w:r>
      <w:r w:rsidRPr="00781112">
        <w:rPr>
          <w:rFonts w:cs="Arial"/>
          <w:color w:val="000000" w:themeColor="text1"/>
          <w:szCs w:val="16"/>
        </w:rPr>
        <w:br/>
        <w:t>TA Based on LEA Determinations</w:t>
      </w:r>
      <w:r w:rsidRPr="00781112">
        <w:rPr>
          <w:rFonts w:cs="Arial"/>
          <w:color w:val="000000" w:themeColor="text1"/>
          <w:szCs w:val="16"/>
        </w:rPr>
        <w:br/>
        <w:t>Annually LEAS in "needs intervention" and "needs substantial intervention" as indicated on their LEA Determination are receiving designated consultant support tailored to needs identified.</w:t>
      </w:r>
      <w:r w:rsidRPr="00781112">
        <w:rPr>
          <w:rFonts w:cs="Arial"/>
          <w:color w:val="000000" w:themeColor="text1"/>
          <w:szCs w:val="16"/>
        </w:rPr>
        <w:br/>
      </w:r>
      <w:r w:rsidRPr="00781112">
        <w:rPr>
          <w:rFonts w:cs="Arial"/>
          <w:color w:val="000000" w:themeColor="text1"/>
          <w:szCs w:val="16"/>
        </w:rPr>
        <w:br/>
        <w:t xml:space="preserve">School Improvement Team </w:t>
      </w:r>
      <w:r w:rsidRPr="00781112">
        <w:rPr>
          <w:rFonts w:cs="Arial"/>
          <w:color w:val="000000" w:themeColor="text1"/>
          <w:szCs w:val="16"/>
        </w:rPr>
        <w:br/>
        <w:t xml:space="preserve">The School Improvement Team is one primary support vehicle for school systems, providing immediate, differentiated, targeted assistance to school systems. The Team targets Comprehensive Intervention Required (CIR) schools, and the Team includes School Improvement Support Specialists (SISS) who work collaboratively with school system leaders to draft cooperative agreements, analyze data, and determine the School Improvement Best Practice(s) (SIBP) that best meet the needs of school system, educators, and students. Leaders assess the unique needs and approaches of their school systems and build upon strengths to support implementation of the SIBPs through collaboratively analyzing data, strengths and opportunities for growth, a school improvement plan, observations and reflective feedback. The SIBPs strategy is designed to support schools in adopting the essential components that drive professional and student growth and will continue during the 2024-2025 school year. LDOE has partnered with the National Institute for Excellence in Teaching (NIET) to develop, implement, and support five SIBPs. The five best practices are: </w:t>
      </w:r>
      <w:r w:rsidRPr="00781112">
        <w:rPr>
          <w:rFonts w:cs="Arial"/>
          <w:color w:val="000000" w:themeColor="text1"/>
          <w:szCs w:val="16"/>
        </w:rPr>
        <w:br/>
        <w:t>-instructional leadership team support,</w:t>
      </w:r>
      <w:r w:rsidRPr="00781112">
        <w:rPr>
          <w:rFonts w:cs="Arial"/>
          <w:color w:val="000000" w:themeColor="text1"/>
          <w:szCs w:val="16"/>
        </w:rPr>
        <w:br/>
        <w:t>-teacher collaboration support,</w:t>
      </w:r>
      <w:r w:rsidRPr="00781112">
        <w:rPr>
          <w:rFonts w:cs="Arial"/>
          <w:color w:val="000000" w:themeColor="text1"/>
          <w:szCs w:val="16"/>
        </w:rPr>
        <w:br/>
        <w:t>-teaching standards support,</w:t>
      </w:r>
      <w:r w:rsidRPr="00781112">
        <w:rPr>
          <w:rFonts w:cs="Arial"/>
          <w:color w:val="000000" w:themeColor="text1"/>
          <w:szCs w:val="16"/>
        </w:rPr>
        <w:br/>
        <w:t xml:space="preserve">-principal standards support, and </w:t>
      </w:r>
      <w:r w:rsidRPr="00781112">
        <w:rPr>
          <w:rFonts w:cs="Arial"/>
          <w:color w:val="000000" w:themeColor="text1"/>
          <w:szCs w:val="16"/>
        </w:rPr>
        <w:br/>
        <w:t>-career pipeline support.</w:t>
      </w:r>
      <w:r w:rsidRPr="00781112">
        <w:rPr>
          <w:rFonts w:cs="Arial"/>
          <w:color w:val="000000" w:themeColor="text1"/>
          <w:szCs w:val="16"/>
        </w:rPr>
        <w:br/>
      </w:r>
      <w:r w:rsidRPr="00781112">
        <w:rPr>
          <w:rFonts w:cs="Arial"/>
          <w:color w:val="000000" w:themeColor="text1"/>
          <w:szCs w:val="16"/>
        </w:rPr>
        <w:br/>
        <w:t xml:space="preserve">58 school systems received support with instructional leadership teams and/or teacher collaboration. Additionally, the SISS is the school system's primary point of contact, and they answer all programmatic questions—including IDEA-related questions, accommodating the needs of the school system. </w:t>
      </w:r>
      <w:r w:rsidRPr="00781112">
        <w:rPr>
          <w:rFonts w:cs="Arial"/>
          <w:color w:val="000000" w:themeColor="text1"/>
          <w:szCs w:val="16"/>
        </w:rPr>
        <w:br/>
      </w:r>
      <w:r w:rsidRPr="00781112">
        <w:rPr>
          <w:rFonts w:cs="Arial"/>
          <w:color w:val="000000" w:themeColor="text1"/>
          <w:szCs w:val="16"/>
        </w:rPr>
        <w:br/>
        <w:t>Teacher Leaders</w:t>
      </w:r>
      <w:r w:rsidRPr="00781112">
        <w:rPr>
          <w:rFonts w:cs="Arial"/>
          <w:color w:val="000000" w:themeColor="text1"/>
          <w:szCs w:val="16"/>
        </w:rPr>
        <w:br/>
        <w:t>This program supports a cohort of 5,000 LEA-selected staff that receives training and ongoing support from LDOE, and serves as the chief liaisons between the LDOE and the School Implementation Teams. Teacher Leaders receive a variety of resources and training throughout the school year. This training includes: 1) Annual Teacher Leader Summit – a three-day conference that kicks off instructional planning for the following school year; and 2) School Support Institutes - a training sequence during the school year to support school leadership teams in ensuring teachers plan for and deliver instruction in a way that meets the needs of their students. Teacher Leaders leverage this professional development and support within their schools, not only through training and monitoring, but also through modeling lessons and instructional strategies and by encouraging data analysis to inform instruction. LDOE also expanded Teacher Leaders to incorporate targeted resources and content specifically for special education professionals including teachers, guidance counselors and special education directors. By leveraging this successful statewide program with the special education population, Louisiana is able provide access to high-quality professional development and support that helps all students achieve.</w:t>
      </w:r>
      <w:r w:rsidRPr="00781112">
        <w:rPr>
          <w:rFonts w:cs="Arial"/>
          <w:color w:val="000000" w:themeColor="text1"/>
          <w:szCs w:val="16"/>
        </w:rPr>
        <w:br/>
      </w:r>
      <w:r w:rsidRPr="00781112">
        <w:rPr>
          <w:rFonts w:cs="Arial"/>
          <w:color w:val="000000" w:themeColor="text1"/>
          <w:szCs w:val="16"/>
        </w:rPr>
        <w:br/>
        <w:t>Teacher Leader Advisors</w:t>
      </w:r>
      <w:r w:rsidRPr="00781112">
        <w:rPr>
          <w:rFonts w:cs="Arial"/>
          <w:color w:val="000000" w:themeColor="text1"/>
          <w:szCs w:val="16"/>
        </w:rPr>
        <w:br/>
        <w:t>Teacher Leader Advisors are a group of exceptionally talented educators who are influential in raising expectations for students and ensuring fellow educators have access to high-quality instructional materials and resources, and curriculum-aligned professional development. Teacher Leader Advisors participate in the LDOE's instructional materials review and create tools for the Teacher Support Toolbox, and they develop and lead professional development for educators across the state, including a group of special education Teacher Leaders.</w:t>
      </w:r>
      <w:r w:rsidRPr="00781112">
        <w:rPr>
          <w:rFonts w:cs="Arial"/>
          <w:color w:val="000000" w:themeColor="text1"/>
          <w:szCs w:val="16"/>
        </w:rPr>
        <w:br/>
      </w:r>
      <w:r w:rsidRPr="00781112">
        <w:rPr>
          <w:rFonts w:cs="Arial"/>
          <w:color w:val="000000" w:themeColor="text1"/>
          <w:szCs w:val="16"/>
        </w:rPr>
        <w:lastRenderedPageBreak/>
        <w:br/>
        <w:t>Special Education Director Support</w:t>
      </w:r>
      <w:r w:rsidRPr="00781112">
        <w:rPr>
          <w:rFonts w:cs="Arial"/>
          <w:color w:val="000000" w:themeColor="text1"/>
          <w:szCs w:val="16"/>
        </w:rPr>
        <w:br/>
        <w:t>LDOE provides technical assistance through monthly office hours with Special Education Directors in LEAs where targeted assistance can be provided and monthly question/answer sessions are conducted. Additional monthly calls are held for federal program staff, assessment staff, principals, literacy supervisors, teaching and learning staff and data managers. Communities of practice are offered for programs serving young children with disabilities. LDOE expanded its Special Education Fellows year-long professional learning program that supports novice special education leaders.</w:t>
      </w:r>
      <w:r w:rsidRPr="00781112">
        <w:rPr>
          <w:rFonts w:cs="Arial"/>
          <w:color w:val="000000" w:themeColor="text1"/>
          <w:szCs w:val="16"/>
        </w:rPr>
        <w:br/>
      </w:r>
      <w:r w:rsidRPr="00781112">
        <w:rPr>
          <w:rFonts w:cs="Arial"/>
          <w:color w:val="000000" w:themeColor="text1"/>
          <w:szCs w:val="16"/>
        </w:rPr>
        <w:br/>
        <w:t>PLANNING RESOURCES</w:t>
      </w:r>
      <w:r w:rsidRPr="00781112">
        <w:rPr>
          <w:rFonts w:cs="Arial"/>
          <w:color w:val="000000" w:themeColor="text1"/>
          <w:szCs w:val="16"/>
        </w:rPr>
        <w:br/>
      </w:r>
      <w:r w:rsidRPr="00781112">
        <w:rPr>
          <w:rFonts w:cs="Arial"/>
          <w:color w:val="000000" w:themeColor="text1"/>
          <w:szCs w:val="16"/>
        </w:rPr>
        <w:br/>
        <w:t>LDOE provides school systems with robust assistance through a variety of planning resources. These include:</w:t>
      </w:r>
      <w:r w:rsidRPr="00781112">
        <w:rPr>
          <w:rFonts w:cs="Arial"/>
          <w:color w:val="000000" w:themeColor="text1"/>
          <w:szCs w:val="16"/>
        </w:rPr>
        <w:br/>
        <w:t>1) Special Education Playbook for System Leaders</w:t>
      </w:r>
      <w:r w:rsidRPr="00781112">
        <w:rPr>
          <w:rFonts w:cs="Arial"/>
          <w:color w:val="000000" w:themeColor="text1"/>
          <w:szCs w:val="16"/>
        </w:rPr>
        <w:br/>
        <w:t>LDOE's Special Education Playbook for System Leaders compiles years of research on best instructional practice to support students with disabilities into one document and recommends three best instructional practices to support improving outcomes for students with disabilities: 1) focus on high-quality, inclusive core instruction, 2) extra time for intervention, and 3) content strong staff.</w:t>
      </w:r>
      <w:r w:rsidRPr="00781112">
        <w:rPr>
          <w:rFonts w:cs="Arial"/>
          <w:color w:val="000000" w:themeColor="text1"/>
          <w:szCs w:val="16"/>
        </w:rPr>
        <w:br/>
        <w:t>2) Guidance for Leading Inclusive Special Education Programs</w:t>
      </w:r>
      <w:r w:rsidRPr="00781112">
        <w:rPr>
          <w:rFonts w:cs="Arial"/>
          <w:color w:val="000000" w:themeColor="text1"/>
          <w:szCs w:val="16"/>
        </w:rPr>
        <w:br/>
        <w:t>To support the increased effectiveness of special education programming through effective, inclusive systemwide planning, LDOE released multiple guidance documents to school systems in 2022-2023 along with webinars. Topics include creating compliant systems, leveraging data, inclusive, accessible learning, positive behavior intervention, and more.</w:t>
      </w:r>
      <w:r w:rsidRPr="00781112">
        <w:rPr>
          <w:rFonts w:cs="Arial"/>
          <w:color w:val="000000" w:themeColor="text1"/>
          <w:szCs w:val="16"/>
        </w:rPr>
        <w:br/>
        <w:t>3) School System Leader Planning Resources and Framework</w:t>
      </w:r>
      <w:r w:rsidRPr="00781112">
        <w:rPr>
          <w:rFonts w:cs="Arial"/>
          <w:color w:val="000000" w:themeColor="text1"/>
          <w:szCs w:val="16"/>
        </w:rPr>
        <w:br/>
        <w:t xml:space="preserve">LDOE's School System Planning Guide resource serves to assist LEAs with effective planning each year that leads to improved outcomes for students. This document includes planning to support diverse learners and funding guidance to support students with disabilities , providing guidance on how a school system will build a plan and submit a Super App for formula and competitive funds to support that plan. </w:t>
      </w:r>
      <w:r w:rsidRPr="00781112">
        <w:rPr>
          <w:rFonts w:cs="Arial"/>
          <w:color w:val="000000" w:themeColor="text1"/>
          <w:szCs w:val="16"/>
        </w:rPr>
        <w:br/>
        <w:t>4) Super App</w:t>
      </w:r>
      <w:r w:rsidRPr="00781112">
        <w:rPr>
          <w:rFonts w:cs="Arial"/>
          <w:color w:val="000000" w:themeColor="text1"/>
          <w:szCs w:val="16"/>
        </w:rPr>
        <w:br/>
        <w:t xml:space="preserve">Super App is an online application that communicates school system priorities for the next school year and consolidates the process for approval of formula and competitive funds. </w:t>
      </w:r>
      <w:r w:rsidRPr="00781112">
        <w:rPr>
          <w:rFonts w:cs="Arial"/>
          <w:color w:val="000000" w:themeColor="text1"/>
          <w:szCs w:val="16"/>
        </w:rPr>
        <w:br/>
        <w:t>5) Professional Learning Roadmap</w:t>
      </w:r>
      <w:r w:rsidRPr="00781112">
        <w:rPr>
          <w:rFonts w:cs="Arial"/>
          <w:color w:val="000000" w:themeColor="text1"/>
          <w:szCs w:val="16"/>
        </w:rPr>
        <w:br/>
        <w:t xml:space="preserve">The LDOE's Professional Learning Roadmap provides a clear pathway for school systems and schools to align their priorities to improve instructional practice through three essential professional learning structures: instructional leadership teams (ILTs), teacher collaboration, and career pipeline that follow the High Quality Professional Learning Cycle and based on cycles of continuous improvement. The roadmap describes processes for these key structures and requires special education leaders be included on instructional leadership teams. </w:t>
      </w:r>
      <w:r w:rsidRPr="00781112">
        <w:rPr>
          <w:rFonts w:cs="Arial"/>
          <w:color w:val="000000" w:themeColor="text1"/>
          <w:szCs w:val="16"/>
        </w:rPr>
        <w:br/>
        <w:t>6) Literacy Planning</w:t>
      </w:r>
      <w:r w:rsidRPr="00781112">
        <w:rPr>
          <w:rFonts w:cs="Arial"/>
          <w:color w:val="000000" w:themeColor="text1"/>
          <w:szCs w:val="16"/>
        </w:rPr>
        <w:br/>
        <w:t xml:space="preserve">LDOE has developed and released a variety of literacy resources for LEAs, educators and families. </w:t>
      </w:r>
      <w:r w:rsidRPr="00781112">
        <w:rPr>
          <w:rFonts w:cs="Arial"/>
          <w:color w:val="000000" w:themeColor="text1"/>
          <w:szCs w:val="16"/>
        </w:rPr>
        <w:br/>
        <w:t>7) School System Planning Calls</w:t>
      </w:r>
      <w:r w:rsidRPr="00781112">
        <w:rPr>
          <w:rFonts w:cs="Arial"/>
          <w:color w:val="000000" w:themeColor="text1"/>
          <w:szCs w:val="16"/>
        </w:rPr>
        <w:br/>
        <w:t xml:space="preserve">These calls are scheduled throughout the school year to discuss topics and resources in the School System Planning Guide with school system planning teams. These calls provide ongoing support to LEA superintendents, senior staff in technology, assessment and curriculum, and special education. During these calls, LDOE provides more in-depth support, fields questions in real time, and integrates high-priority policies and more. LDOE integrates support for special education professionals including training and policy guidance on the alternate assessment, Louisiana's Connector standards for students with significant cognitive disabilities, high cost services, alternative pathways to promotion and graduation, data collection and analysis and more. </w:t>
      </w:r>
      <w:r w:rsidRPr="00781112">
        <w:rPr>
          <w:rFonts w:cs="Arial"/>
          <w:color w:val="000000" w:themeColor="text1"/>
          <w:szCs w:val="16"/>
        </w:rPr>
        <w:br/>
      </w:r>
      <w:r w:rsidRPr="00781112">
        <w:rPr>
          <w:rFonts w:cs="Arial"/>
          <w:color w:val="000000" w:themeColor="text1"/>
          <w:szCs w:val="16"/>
        </w:rPr>
        <w:br/>
        <w:t>More on LDOE’s support structures can be found on LDOE's website: https://doe.louisiana.gov/school-system-leaders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LDOE provides multiple opportunities for professional development to LEAs aimed at building their capacity to improve outcomes, including but not limited to:</w:t>
      </w:r>
      <w:r w:rsidRPr="00781112">
        <w:rPr>
          <w:rFonts w:cs="Arial"/>
          <w:color w:val="000000" w:themeColor="text1"/>
          <w:szCs w:val="16"/>
        </w:rPr>
        <w:br/>
      </w:r>
      <w:r w:rsidRPr="00781112">
        <w:rPr>
          <w:rFonts w:cs="Arial"/>
          <w:color w:val="000000" w:themeColor="text1"/>
          <w:szCs w:val="16"/>
        </w:rPr>
        <w:br/>
        <w:t>Implementation Support of Inclusive Instructional Best Practices</w:t>
      </w:r>
      <w:r w:rsidRPr="00781112">
        <w:rPr>
          <w:rFonts w:cs="Arial"/>
          <w:color w:val="000000" w:themeColor="text1"/>
          <w:szCs w:val="16"/>
        </w:rPr>
        <w:br/>
        <w:t xml:space="preserve">The special education team conducts regional support for school system leadership teams, including Superintendents, Chief Academic Officers and Special Education Directors of LEAs to build capacity around best instructional practices to support students with disabilities. Additionally, the team has also begun a pilot in 2024-2025. </w:t>
      </w:r>
      <w:r w:rsidRPr="00781112">
        <w:rPr>
          <w:rFonts w:cs="Arial"/>
          <w:color w:val="000000" w:themeColor="text1"/>
          <w:szCs w:val="16"/>
        </w:rPr>
        <w:br/>
      </w:r>
      <w:r w:rsidRPr="00781112">
        <w:rPr>
          <w:rFonts w:cs="Arial"/>
          <w:color w:val="000000" w:themeColor="text1"/>
          <w:szCs w:val="16"/>
        </w:rPr>
        <w:br/>
        <w:t>Special Education Leader Collaboratives</w:t>
      </w:r>
      <w:r w:rsidRPr="00781112">
        <w:rPr>
          <w:rFonts w:cs="Arial"/>
          <w:color w:val="000000" w:themeColor="text1"/>
          <w:szCs w:val="16"/>
        </w:rPr>
        <w:br/>
        <w:t xml:space="preserve">LDOE’s special education team meets at least three times per year in-person with Special Education Directors from across the state to engage in professional development on a variety of topics, dive into data and SPP/APR measures, network with their colleagues from across the state, and intentionally strategize to improve outcomes for students with disabilities. </w:t>
      </w:r>
      <w:r w:rsidRPr="00781112">
        <w:rPr>
          <w:rFonts w:cs="Arial"/>
          <w:color w:val="000000" w:themeColor="text1"/>
          <w:szCs w:val="16"/>
        </w:rPr>
        <w:br/>
      </w:r>
      <w:r w:rsidRPr="00781112">
        <w:rPr>
          <w:rFonts w:cs="Arial"/>
          <w:color w:val="000000" w:themeColor="text1"/>
          <w:szCs w:val="16"/>
        </w:rPr>
        <w:br/>
        <w:t>Special Education Fellowship</w:t>
      </w:r>
      <w:r w:rsidRPr="00781112">
        <w:rPr>
          <w:rFonts w:cs="Arial"/>
          <w:color w:val="000000" w:themeColor="text1"/>
          <w:szCs w:val="16"/>
        </w:rPr>
        <w:br/>
        <w:t>Special Education Fellow Academy is a year-long, comprehensive development program for novice special education leaders across the state with 0-3 years of experience in the role of special education supervision. The fellowship provides in-person training, coaching, a community of practice, and a mentorship that will instill the knowledge and skills the next generation of leaders need to lead and sustain change to improve outcomes for students with disabilities. The Fellowship has expanded to also include potential special education leaders who may be in supervision but aspire to be the LEA director.</w:t>
      </w:r>
      <w:r w:rsidRPr="00781112">
        <w:rPr>
          <w:rFonts w:cs="Arial"/>
          <w:color w:val="000000" w:themeColor="text1"/>
          <w:szCs w:val="16"/>
        </w:rPr>
        <w:br/>
      </w:r>
      <w:r w:rsidRPr="00781112">
        <w:rPr>
          <w:rFonts w:cs="Arial"/>
          <w:color w:val="000000" w:themeColor="text1"/>
          <w:szCs w:val="16"/>
        </w:rPr>
        <w:br/>
        <w:t>School Support Institutes</w:t>
      </w:r>
      <w:r w:rsidRPr="00781112">
        <w:rPr>
          <w:rFonts w:cs="Arial"/>
          <w:color w:val="000000" w:themeColor="text1"/>
          <w:szCs w:val="16"/>
        </w:rPr>
        <w:br/>
        <w:t>School Support Institutes are annual regional events that build the instructional capacity of school-based instructional leadership teams by providing the most current and relevant professional learning to establish and maintain coherent, well-organized instructional programs that meet the diverse needs of all students. Louisiana’s most struggling schools or schools with Comprehensive Intervention Required and Urgent Intervention Required labels are required to be in attendance. In 2024-2025 the LDOE added a component to include instructional coherence, aimed at Special Education Directors, Chief Academic Officers, literacy leaders, and instructional leaders to ensure all students, including students with disabilities, have coherent, high-quality instructional experiences throughout their day.</w:t>
      </w:r>
      <w:r w:rsidRPr="00781112">
        <w:rPr>
          <w:rFonts w:cs="Arial"/>
          <w:color w:val="000000" w:themeColor="text1"/>
          <w:szCs w:val="16"/>
        </w:rPr>
        <w:br/>
      </w:r>
      <w:r w:rsidRPr="00781112">
        <w:rPr>
          <w:rFonts w:cs="Arial"/>
          <w:color w:val="000000" w:themeColor="text1"/>
          <w:szCs w:val="16"/>
        </w:rPr>
        <w:br/>
        <w:t>Teacher Leader Summit</w:t>
      </w:r>
      <w:r w:rsidRPr="00781112">
        <w:rPr>
          <w:rFonts w:cs="Arial"/>
          <w:color w:val="000000" w:themeColor="text1"/>
          <w:szCs w:val="16"/>
        </w:rPr>
        <w:br/>
        <w:t xml:space="preserve">The LDOE’s Teacher Leader Summit is an annual event that brings together 7,000 system leaders and teacher leaders, an all-time record attendance, for a multi-day professional development event. Objectives of this annual event include improving the everyday practice of Louisiana leaders and educators, providing opportunities for collaboration and sharing best practices, introducing high-quality strategies, resources, and professional </w:t>
      </w:r>
      <w:r w:rsidRPr="00781112">
        <w:rPr>
          <w:rFonts w:cs="Arial"/>
          <w:color w:val="000000" w:themeColor="text1"/>
          <w:szCs w:val="16"/>
        </w:rPr>
        <w:lastRenderedPageBreak/>
        <w:t xml:space="preserve">development and fostering an empowering, engaging and inspiring culture among educators. The event includes a track of sessions designed specifically to support educators with improving outcomes for students with disabilities and ensuring high quality teaching and learning for all students. </w:t>
      </w:r>
      <w:r w:rsidRPr="00781112">
        <w:rPr>
          <w:rFonts w:cs="Arial"/>
          <w:color w:val="000000" w:themeColor="text1"/>
          <w:szCs w:val="16"/>
        </w:rPr>
        <w:br/>
      </w:r>
      <w:r w:rsidRPr="00781112">
        <w:rPr>
          <w:rFonts w:cs="Arial"/>
          <w:color w:val="000000" w:themeColor="text1"/>
          <w:szCs w:val="16"/>
        </w:rPr>
        <w:br/>
        <w:t>Teacher Leaders</w:t>
      </w:r>
      <w:r w:rsidRPr="00781112">
        <w:rPr>
          <w:rFonts w:cs="Arial"/>
          <w:color w:val="000000" w:themeColor="text1"/>
          <w:szCs w:val="16"/>
        </w:rPr>
        <w:br/>
        <w:t>This program supports a cohort of 5,000 LEA-selected staff that receives training and ongoing support from LDOE, and serves as the chief liaisons between the LDOE and the School Implementation Teams. Teacher Leaders receive a variety of resources and training throughout the school year. This training includes: 1) Annual Teacher Leader Summit – a three-day conference that kicks off instructional planning for the following school year; and 2) School Support Institutes - a training sequence during the school year to support school leadership teams in ensuring teachers plan for and deliver instruction in a way that meets the needs of their students. Teacher Leaders leverage this professional development and support within their schools, not only through training and monitoring, but also through modeling lessons and instructional strategies and by encouraging data analysis to inform instruction. LDOE also expanded Teacher Leaders to incorporate targeted resources and content specifically for special education professionals including teachers, guidance counselors and special education directors. By leveraging this successful statewide program with the special education population, Louisiana is able provide access to high-quality professional development and support that helps all students achieve.</w:t>
      </w:r>
      <w:r w:rsidRPr="00781112">
        <w:rPr>
          <w:rFonts w:cs="Arial"/>
          <w:color w:val="000000" w:themeColor="text1"/>
          <w:szCs w:val="16"/>
        </w:rPr>
        <w:br/>
      </w:r>
      <w:r w:rsidRPr="00781112">
        <w:rPr>
          <w:rFonts w:cs="Arial"/>
          <w:color w:val="000000" w:themeColor="text1"/>
          <w:szCs w:val="16"/>
        </w:rPr>
        <w:br/>
        <w:t>Teacher Leader Advisors</w:t>
      </w:r>
      <w:r w:rsidRPr="00781112">
        <w:rPr>
          <w:rFonts w:cs="Arial"/>
          <w:color w:val="000000" w:themeColor="text1"/>
          <w:szCs w:val="16"/>
        </w:rPr>
        <w:br/>
        <w:t xml:space="preserve">Teacher Leader Advisors are a group of exceptionally talented group of educators who play an influential role in raising expectations for students and ensuring that fellow educators have access to high-quality instructional materials and resources, and curriculum-aligned professional development. Teacher Leader Advisors participate in the LDOE's instructional materials review and create tools for the Teacher Support Toolbox. Additionally, they develop and lead professional development for educators across the state. </w:t>
      </w:r>
      <w:r w:rsidRPr="00781112">
        <w:rPr>
          <w:rFonts w:cs="Arial"/>
          <w:color w:val="000000" w:themeColor="text1"/>
          <w:szCs w:val="16"/>
        </w:rPr>
        <w:br/>
      </w:r>
      <w:r w:rsidRPr="00781112">
        <w:rPr>
          <w:rFonts w:cs="Arial"/>
          <w:color w:val="000000" w:themeColor="text1"/>
          <w:szCs w:val="16"/>
        </w:rPr>
        <w:br/>
        <w:t>Literacy Regional Tour</w:t>
      </w:r>
      <w:r w:rsidRPr="00781112">
        <w:rPr>
          <w:rFonts w:cs="Arial"/>
          <w:color w:val="000000" w:themeColor="text1"/>
          <w:szCs w:val="16"/>
        </w:rPr>
        <w:br/>
        <w:t xml:space="preserve">LDOE’s literacy team also hosts an annual regional literacy tour to support system leaders with planning for and providing high-quality literacy instruction and intervention. </w:t>
      </w:r>
      <w:r w:rsidRPr="00781112">
        <w:rPr>
          <w:rFonts w:cs="Arial"/>
          <w:color w:val="000000" w:themeColor="text1"/>
          <w:szCs w:val="16"/>
        </w:rPr>
        <w:br/>
      </w:r>
      <w:r w:rsidRPr="00781112">
        <w:rPr>
          <w:rFonts w:cs="Arial"/>
          <w:color w:val="000000" w:themeColor="text1"/>
          <w:szCs w:val="16"/>
        </w:rPr>
        <w:br/>
        <w:t>Statewide Numeracy Foundational Training</w:t>
      </w:r>
      <w:r w:rsidRPr="00781112">
        <w:rPr>
          <w:rFonts w:cs="Arial"/>
          <w:color w:val="000000" w:themeColor="text1"/>
          <w:szCs w:val="16"/>
        </w:rPr>
        <w:br/>
        <w:t xml:space="preserve">LDOE and state legislation require foundational training for educators supporting numeracy skills. </w:t>
      </w:r>
      <w:r w:rsidRPr="00781112">
        <w:rPr>
          <w:rFonts w:cs="Arial"/>
          <w:color w:val="000000" w:themeColor="text1"/>
          <w:szCs w:val="16"/>
        </w:rPr>
        <w:br/>
      </w:r>
      <w:r w:rsidRPr="00781112">
        <w:rPr>
          <w:rFonts w:cs="Arial"/>
          <w:color w:val="000000" w:themeColor="text1"/>
          <w:szCs w:val="16"/>
        </w:rPr>
        <w:br/>
        <w:t>Competitive Funding For Professional Development</w:t>
      </w:r>
      <w:r w:rsidRPr="00781112">
        <w:rPr>
          <w:rFonts w:cs="Arial"/>
          <w:color w:val="000000" w:themeColor="text1"/>
          <w:szCs w:val="16"/>
        </w:rPr>
        <w:br/>
        <w:t>Annually, LDOE leverages IDEA state set aside funds to offers assistance to LEAs with schools with accountability labels due to performance of their students with disabilities. This opportunity allows for additional professional development to build capacity of administrators and educators to provide specialized supports to students with disabilities.</w:t>
      </w:r>
      <w:r w:rsidRPr="00781112">
        <w:rPr>
          <w:rFonts w:cs="Arial"/>
          <w:color w:val="000000" w:themeColor="text1"/>
          <w:szCs w:val="16"/>
        </w:rPr>
        <w:br/>
      </w:r>
      <w:r w:rsidRPr="00781112">
        <w:rPr>
          <w:rFonts w:cs="Arial"/>
          <w:color w:val="000000" w:themeColor="text1"/>
          <w:szCs w:val="16"/>
        </w:rPr>
        <w:br/>
        <w:t>More information on LDOE’s professional learning structures can be found on the website: https://doe.louisiana.gov/school-system-leaders</w:t>
      </w:r>
    </w:p>
    <w:p w14:paraId="0D25C7E9" w14:textId="57CCC112" w:rsidR="00AF5649" w:rsidRPr="00781112" w:rsidRDefault="00F72E24" w:rsidP="004369B2">
      <w:pPr>
        <w:rPr>
          <w:color w:val="000000" w:themeColor="text1"/>
        </w:rPr>
      </w:pPr>
      <w:r w:rsidRPr="00781112">
        <w:rPr>
          <w:b/>
          <w:color w:val="000000" w:themeColor="text1"/>
        </w:rPr>
        <w:t>Stakeholder Engagement: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 xml:space="preserve">Throughout 2023-2024 many stakeholder groups, all including diverse groups of parents as well, were engaged, experts, state commissions, educators </w:t>
      </w:r>
      <w:r w:rsidRPr="00781112">
        <w:rPr>
          <w:rFonts w:cs="Arial"/>
          <w:color w:val="000000" w:themeColor="text1"/>
          <w:szCs w:val="16"/>
        </w:rPr>
        <w:lastRenderedPageBreak/>
        <w:t>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YES</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9</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Throughout 2023-2024 many stakeholder groups were engaged, including experts, state commissions, educators and parents. One important example is at the annual SEAP retreat each summer where members consider their priorities, analyze current data, and determine key actions they would like to accomplish. Another key example is our annual statewide IDEA stakeholder input survey that gains hundreds of responses. This broad engagement was an improved stakeholder engagement effort that focused on more frequent, detailed input. Parent engagement mostly occurred via the following:</w:t>
      </w:r>
      <w:r w:rsidRPr="00781112">
        <w:rPr>
          <w:color w:val="000000" w:themeColor="text1"/>
          <w:szCs w:val="16"/>
        </w:rPr>
        <w:br/>
      </w:r>
      <w:r w:rsidRPr="00781112">
        <w:rPr>
          <w:color w:val="000000" w:themeColor="text1"/>
          <w:szCs w:val="16"/>
        </w:rPr>
        <w:br/>
        <w:t xml:space="preserve">Special Education Advisory Panel (SEAP) </w:t>
      </w:r>
      <w:r w:rsidRPr="00781112">
        <w:rPr>
          <w:color w:val="000000" w:themeColor="text1"/>
          <w:szCs w:val="16"/>
        </w:rPr>
        <w:br/>
        <w:t>Families Helping Families parent centers</w:t>
      </w:r>
      <w:r w:rsidRPr="00781112">
        <w:rPr>
          <w:color w:val="000000" w:themeColor="text1"/>
          <w:szCs w:val="16"/>
        </w:rPr>
        <w:br/>
        <w:t>Louisiana Developmental Disabilities Council</w:t>
      </w:r>
      <w:r w:rsidRPr="00781112">
        <w:rPr>
          <w:color w:val="000000" w:themeColor="text1"/>
          <w:szCs w:val="16"/>
        </w:rPr>
        <w:br/>
        <w:t>Statewide stakeholder engagement partnerships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The LDOE solicited feedback from the following diverse groups quarterly to increase parent capacity:</w:t>
      </w:r>
      <w:r w:rsidRPr="00781112">
        <w:rPr>
          <w:color w:val="000000" w:themeColor="text1"/>
          <w:szCs w:val="16"/>
        </w:rPr>
        <w:br/>
      </w:r>
      <w:r w:rsidRPr="00781112">
        <w:rPr>
          <w:color w:val="000000" w:themeColor="text1"/>
          <w:szCs w:val="16"/>
        </w:rPr>
        <w:br/>
        <w:t xml:space="preserve">Special Education Advisory Panel (SEAP) </w:t>
      </w:r>
      <w:r w:rsidRPr="00781112">
        <w:rPr>
          <w:color w:val="000000" w:themeColor="text1"/>
          <w:szCs w:val="16"/>
        </w:rPr>
        <w:br/>
        <w:t xml:space="preserve">Families Helping Families, Louisiana's parent centers </w:t>
      </w:r>
      <w:r w:rsidRPr="00781112">
        <w:rPr>
          <w:color w:val="000000" w:themeColor="text1"/>
          <w:szCs w:val="16"/>
        </w:rPr>
        <w:br/>
        <w:t>Louisiana Developmental Disabilities Council</w:t>
      </w:r>
      <w:r w:rsidRPr="00781112">
        <w:rPr>
          <w:color w:val="000000" w:themeColor="text1"/>
          <w:szCs w:val="16"/>
        </w:rPr>
        <w:br/>
      </w:r>
      <w:r w:rsidRPr="00781112">
        <w:rPr>
          <w:color w:val="000000" w:themeColor="text1"/>
          <w:szCs w:val="16"/>
        </w:rPr>
        <w:br/>
        <w:t>The LDOE used Back-to-School Guides for Parents of Students with Disabilities, the School System Planning Monthly Calls, and the Superintendent's Weekly Newsletter to promote and encourage relevant stakeholders to participate in implementation activities. Specifically this year, the LDOE also released a Family Engagement Toolkit, family literacy supports, and family math supports aimed at building capacity for diverse families with at-home supports to support improving outcomes. The LDOE also uses the annual parent engagement survey to increase capacity of diverse groups of parents.</w:t>
      </w:r>
      <w:r w:rsidRPr="00781112">
        <w:rPr>
          <w:color w:val="000000" w:themeColor="text1"/>
          <w:szCs w:val="16"/>
        </w:rPr>
        <w:br/>
      </w:r>
      <w:r w:rsidRPr="00781112">
        <w:rPr>
          <w:color w:val="000000" w:themeColor="text1"/>
          <w:szCs w:val="16"/>
        </w:rPr>
        <w:br/>
        <w:t>The LDOE funds ten regional parent and family support partnerships with Families Helping Families regional center. They support thousands of parents, families and students with disabilities across Louisiana annually. Funding requirements and assurances require reporting and partnership with LDOE on consultations conducted, attending IEP meetings with parents as requested, in-person and virtual capacity building sessions with families on various topics, including dispute resolution, supporting literacy, EarlySteps information, transition, developing the IEP, and much more.</w:t>
      </w:r>
      <w:r w:rsidRPr="00781112">
        <w:rPr>
          <w:color w:val="000000" w:themeColor="text1"/>
          <w:szCs w:val="16"/>
        </w:rPr>
        <w:br/>
      </w:r>
      <w:r w:rsidRPr="00781112">
        <w:rPr>
          <w:color w:val="000000" w:themeColor="text1"/>
          <w:szCs w:val="16"/>
        </w:rPr>
        <w:br/>
        <w:t>Most recently, LDOE added a new position and hired a special education ombudsman, which is resulting in further support for parents and a direct line of communication and support to parents. All of these components together allow us to increase and build capacity of diverse groups of parents.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 xml:space="preserve">Louisiana has released a new statewide plan that represents a bold vision to address the unique challenges facing our state while building on recent successes, including the achievement of students with disabilities. When Louisiana first improved the LEAP assessment, the gap between students with disabilities and their general education peers was shown to be larger than previously understood, but for the first time, in 2023-2024 the achievement gap closed by 1 percent between students with disabilities and their non-disabled peers following three years of increased achievement. Louisiana remains focused on literacy, a foundational skill necessary for success in all subjects and grades, and a renewed focus on foundational mathematics skills. Louisiana regularly seeks input from a broad set of stakeholders when setting targets, analyzing data,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color w:val="000000" w:themeColor="text1"/>
          <w:szCs w:val="16"/>
        </w:rPr>
        <w:br/>
      </w:r>
      <w:r w:rsidRPr="00781112">
        <w:rPr>
          <w:color w:val="000000" w:themeColor="text1"/>
          <w:szCs w:val="16"/>
        </w:rPr>
        <w:br/>
      </w:r>
      <w:r w:rsidRPr="00781112">
        <w:rPr>
          <w:color w:val="000000" w:themeColor="text1"/>
          <w:szCs w:val="16"/>
        </w:rPr>
        <w:lastRenderedPageBreak/>
        <w:t xml:space="preserve">Internal Review </w:t>
      </w:r>
      <w:r w:rsidRPr="00781112">
        <w:rPr>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color w:val="000000" w:themeColor="text1"/>
          <w:szCs w:val="16"/>
        </w:rPr>
        <w:br/>
      </w:r>
      <w:r w:rsidRPr="00781112">
        <w:rPr>
          <w:color w:val="000000" w:themeColor="text1"/>
          <w:szCs w:val="16"/>
        </w:rPr>
        <w:br/>
        <w:t>External Stakeholder Feedback</w:t>
      </w:r>
      <w:r w:rsidRPr="00781112">
        <w:rPr>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color w:val="000000" w:themeColor="text1"/>
          <w:szCs w:val="16"/>
        </w:rPr>
        <w:br/>
      </w:r>
      <w:r w:rsidRPr="00781112">
        <w:rPr>
          <w:color w:val="000000" w:themeColor="text1"/>
          <w:szCs w:val="16"/>
        </w:rPr>
        <w:br/>
        <w:t>SEAP Integration</w:t>
      </w:r>
      <w:r w:rsidRPr="00781112">
        <w:rPr>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SEAP also had valuable impact to update state policy, assessment feedback and literacy supports for students with disabilities during the reporting year.</w:t>
      </w:r>
      <w:r w:rsidRPr="00781112">
        <w:rPr>
          <w:color w:val="000000" w:themeColor="text1"/>
          <w:szCs w:val="16"/>
        </w:rPr>
        <w:br/>
      </w:r>
      <w:r w:rsidRPr="00781112">
        <w:rPr>
          <w:color w:val="000000" w:themeColor="text1"/>
          <w:szCs w:val="16"/>
        </w:rPr>
        <w:br/>
        <w:t>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No revisions were made to targets for FFY 2023.</w:t>
      </w:r>
      <w:r w:rsidRPr="00781112">
        <w:rPr>
          <w:color w:val="000000" w:themeColor="text1"/>
          <w:szCs w:val="16"/>
        </w:rPr>
        <w:br/>
      </w:r>
      <w:r w:rsidRPr="00781112">
        <w:rPr>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color w:val="000000" w:themeColor="text1"/>
          <w:szCs w:val="16"/>
        </w:rPr>
        <w:br/>
      </w:r>
      <w:r w:rsidRPr="00781112">
        <w:rPr>
          <w:color w:val="000000" w:themeColor="text1"/>
          <w:szCs w:val="16"/>
        </w:rPr>
        <w:br/>
        <w:t>Throughout 2023-2024 many stakeholder groups, all including diverse groups of parents as well, were engaged, experts, state commissions, educators and parents. This broad engagement was an improved stakeholder engagement effort that focused on more frequent, detailed input and included the following:</w:t>
      </w:r>
      <w:r w:rsidRPr="00781112">
        <w:rPr>
          <w:color w:val="000000" w:themeColor="text1"/>
          <w:szCs w:val="16"/>
        </w:rPr>
        <w:br/>
      </w:r>
      <w:r w:rsidRPr="00781112">
        <w:rPr>
          <w:color w:val="000000" w:themeColor="text1"/>
          <w:szCs w:val="16"/>
        </w:rPr>
        <w:br/>
        <w:t>Special Education Advisory Panel (SEAP)</w:t>
      </w:r>
      <w:r w:rsidRPr="00781112">
        <w:rPr>
          <w:color w:val="000000" w:themeColor="text1"/>
          <w:szCs w:val="16"/>
        </w:rPr>
        <w:br/>
        <w:t>Related Services Advisory Commission</w:t>
      </w:r>
      <w:r w:rsidRPr="00781112">
        <w:rPr>
          <w:color w:val="000000" w:themeColor="text1"/>
          <w:szCs w:val="16"/>
        </w:rPr>
        <w:br/>
        <w:t>Superintendent’s Teacher Advisory Council (which includes special educators)</w:t>
      </w:r>
      <w:r w:rsidRPr="00781112">
        <w:rPr>
          <w:color w:val="000000" w:themeColor="text1"/>
          <w:szCs w:val="16"/>
        </w:rPr>
        <w:br/>
        <w:t>Early Literacy Commission</w:t>
      </w:r>
      <w:r w:rsidRPr="00781112">
        <w:rPr>
          <w:color w:val="000000" w:themeColor="text1"/>
          <w:szCs w:val="16"/>
        </w:rPr>
        <w:br/>
        <w:t>Teacher Leader Advisors</w:t>
      </w:r>
      <w:r w:rsidRPr="00781112">
        <w:rPr>
          <w:color w:val="000000" w:themeColor="text1"/>
          <w:szCs w:val="16"/>
        </w:rPr>
        <w:br/>
        <w:t>Families Helping Families</w:t>
      </w:r>
      <w:r w:rsidRPr="00781112">
        <w:rPr>
          <w:color w:val="000000" w:themeColor="text1"/>
          <w:szCs w:val="16"/>
        </w:rPr>
        <w:br/>
        <w:t>Exceptional Lives Louisiana</w:t>
      </w:r>
      <w:r w:rsidRPr="00781112">
        <w:rPr>
          <w:color w:val="000000" w:themeColor="text1"/>
          <w:szCs w:val="16"/>
        </w:rPr>
        <w:br/>
        <w:t>Louisiana Developmental Disabilities Council</w:t>
      </w:r>
      <w:r w:rsidRPr="00781112">
        <w:rPr>
          <w:color w:val="000000" w:themeColor="text1"/>
          <w:szCs w:val="16"/>
        </w:rPr>
        <w:br/>
        <w:t>Governor’s Office of Disability Affairs</w:t>
      </w:r>
      <w:r w:rsidRPr="00781112">
        <w:rPr>
          <w:color w:val="000000" w:themeColor="text1"/>
          <w:szCs w:val="16"/>
        </w:rPr>
        <w:br/>
        <w:t>Louisiana Association of Special Education Supervisors</w:t>
      </w:r>
      <w:r w:rsidRPr="00781112">
        <w:rPr>
          <w:color w:val="000000" w:themeColor="text1"/>
          <w:szCs w:val="16"/>
        </w:rPr>
        <w:br/>
        <w:t>Monitoring Stakeholder Group</w:t>
      </w:r>
      <w:r w:rsidRPr="00781112">
        <w:rPr>
          <w:color w:val="000000" w:themeColor="text1"/>
          <w:szCs w:val="16"/>
        </w:rPr>
        <w:br/>
      </w:r>
      <w:r w:rsidRPr="00781112">
        <w:rPr>
          <w:color w:val="000000" w:themeColor="text1"/>
          <w:szCs w:val="16"/>
        </w:rPr>
        <w:br/>
        <w:t>Parents and parent-advocates are also often consulted by the State Superintendent, State Director and executive staff to provide input on key improvements.</w:t>
      </w:r>
      <w:r w:rsidRPr="00781112">
        <w:rPr>
          <w:color w:val="000000" w:themeColor="text1"/>
          <w:szCs w:val="16"/>
        </w:rPr>
        <w:br/>
      </w:r>
      <w:r w:rsidRPr="00781112">
        <w:rPr>
          <w:color w:val="000000" w:themeColor="text1"/>
          <w:szCs w:val="16"/>
        </w:rPr>
        <w:br/>
        <w:t>Surveys are also used to solicit improvement ideas from parents, administrators and educators including direction on state priorities and IDEA state set aside funding priorities.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The LDOE developed a State Performance Plan/Annual Performance Report Target Setting webpage on the LDOE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The target setting results, data analysis, development and evaluation of improvement strategies will be available to the public using this Target Setting webpage. Additionally, the LDOE provided a data visualization chart to the state panel and discussed the results and improvement strategies.</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6A1D600" w:rsidR="00AF5649" w:rsidRPr="00781112" w:rsidRDefault="00AF5649" w:rsidP="004369B2">
      <w:pPr>
        <w:rPr>
          <w:b/>
          <w:color w:val="000000" w:themeColor="text1"/>
        </w:rPr>
      </w:pPr>
      <w:r w:rsidRPr="00781112">
        <w:rPr>
          <w:b/>
          <w:color w:val="000000" w:themeColor="text1"/>
        </w:rPr>
        <w:t>How and where the State reported to the public on the FFY 2022 performance of each LEA located in the State on the targets in the SPP/APR as soon as practicable, but no later than 120 days following the State’s submission of its FFY 2022 APR, as required by 34 CFR §300.602(b)(1)(i)(A); and a description of where, on its Web site, a complete copy of the State’s SPP/APR, including any revisions if the State has revised the targets that it submitted with its FFY 2022 APR in 2024,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LDOE reports annually to the public on the performance of each school system on the targets in the SPP/APR in the Special Education Reporting and Funding library on the State's website. This information is labeled Performance Profiles and is located under the Performance Profiles section. The Special Education Reporting and Funding library also publicly reports the State's SPP, including any revisions. This information is labeled LA SPP/APR and is located under the State Performance Plan/Annual Performance Report section. To access this information, please use the following web link and locate the sections titled Performance Profiles and State Performance Plan/Annual Performance Report, respectively.</w:t>
      </w:r>
      <w:r w:rsidRPr="00781112">
        <w:rPr>
          <w:rFonts w:cs="Arial"/>
          <w:color w:val="000000" w:themeColor="text1"/>
          <w:szCs w:val="16"/>
        </w:rPr>
        <w:br/>
      </w:r>
      <w:r w:rsidRPr="00781112">
        <w:rPr>
          <w:rFonts w:cs="Arial"/>
          <w:color w:val="000000" w:themeColor="text1"/>
          <w:szCs w:val="16"/>
        </w:rPr>
        <w:br/>
        <w:t>https://doe.louisiana.gov/data-and-reports/special-education-reporting</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 xml:space="preserve">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w:t>
      </w:r>
      <w:r w:rsidRPr="00781112">
        <w:rPr>
          <w:rFonts w:cs="Arial"/>
          <w:color w:val="000000" w:themeColor="text1"/>
          <w:szCs w:val="16"/>
        </w:rPr>
        <w:lastRenderedPageBreak/>
        <w:t>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r w:rsidRPr="00781112">
        <w:rPr>
          <w:rFonts w:cs="Arial"/>
          <w:color w:val="000000" w:themeColor="text1"/>
          <w:szCs w:val="16"/>
        </w:rPr>
        <w:br/>
      </w:r>
      <w:r w:rsidRPr="00781112">
        <w:rPr>
          <w:rFonts w:cs="Arial"/>
          <w:color w:val="000000" w:themeColor="text1"/>
          <w:szCs w:val="16"/>
        </w:rPr>
        <w:br/>
        <w:t>OSEP notes that the "State Improvement System IDEA Monitoring Oversight" attachment included in the State's FFY 2022 SPP/APR submission is not in compliance with Section 508 of the Rehabilitation Act of 1973, as amended (Section 508), and will not be posted on the U.S. Department of Education's IDEA website. Therefore, the State must make the attachment available to the public as soon as practicable, but no later than 120 days after the date of the determination letter.</w:t>
      </w:r>
    </w:p>
    <w:p w14:paraId="6ECA4985" w14:textId="77777777" w:rsidR="008C56EE" w:rsidRPr="00781112" w:rsidRDefault="008C56EE" w:rsidP="000B4AA4">
      <w:pPr>
        <w:rPr>
          <w:rFonts w:cs="Arial"/>
          <w:color w:val="000000" w:themeColor="text1"/>
          <w:szCs w:val="16"/>
        </w:rPr>
      </w:pPr>
    </w:p>
    <w:p w14:paraId="615D9F24" w14:textId="699B9DD5" w:rsidR="009F764E" w:rsidRPr="00781112" w:rsidRDefault="007639D7" w:rsidP="004369B2">
      <w:pPr>
        <w:rPr>
          <w:b/>
          <w:color w:val="000000" w:themeColor="text1"/>
        </w:rPr>
      </w:pPr>
      <w:r>
        <w:rPr>
          <w:b/>
          <w:color w:val="000000" w:themeColor="text1"/>
        </w:rPr>
        <w:t>Response to actions required in FFY 2022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The Department provided the technical assistance we received as an attachment to the FFY 2023 SPP/APR, and the Department provided the attachment included with FFY 2022 "State Improvement System IDEA Monitoring Oversight" as a publicly posted document no later than 120 days after receiving the determination letter: https://doe.louisiana.gov/docs/default-source/students-with-disabilities/monitoring-one-pager.pdf?sfvrsn=6a09083b_3.</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2023 and 2024 were Needs Assistance. Pursuant to section 616(e)(1) of the IDEA and 34 C.F.R. § 300.604(a), OSEP's June 21, 2024 determination letter informed the State that it must report with its FFY 2023 SPP/APR submission, due February 3, 2025, on: (1) the technical assistance sources from which the State received assistance; and (2) the actions the State took as a result of that technical assistance. The State provided the required information.</w:t>
      </w: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February 1, 2026,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78FAD2CB" w:rsidR="009A62A4" w:rsidRPr="002C274F" w:rsidRDefault="009A62A4" w:rsidP="002C274F">
      <w:pPr>
        <w:rPr>
          <w:b/>
          <w:bCs/>
          <w:sz w:val="20"/>
          <w:szCs w:val="20"/>
        </w:rPr>
      </w:pPr>
      <w:r w:rsidRPr="002C274F">
        <w:rPr>
          <w:b/>
          <w:bCs/>
          <w:sz w:val="20"/>
          <w:szCs w:val="20"/>
        </w:rPr>
        <w:t>Instructions and Measurement</w:t>
      </w:r>
    </w:p>
    <w:p w14:paraId="13149CC2" w14:textId="77777777" w:rsidR="004B782D" w:rsidRPr="00781112" w:rsidRDefault="004B782D" w:rsidP="004369B2">
      <w:pPr>
        <w:rPr>
          <w:color w:val="000000" w:themeColor="text1"/>
        </w:rPr>
      </w:pPr>
      <w:bookmarkStart w:id="5"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56F504E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D428C">
        <w:rPr>
          <w:rFonts w:cs="Arial"/>
          <w:color w:val="000000" w:themeColor="text1"/>
          <w:szCs w:val="16"/>
        </w:rPr>
        <w:t>3</w:t>
      </w:r>
      <w:r w:rsidR="007639D7">
        <w:rPr>
          <w:rFonts w:cs="Arial"/>
          <w:color w:val="000000" w:themeColor="text1"/>
          <w:szCs w:val="16"/>
        </w:rPr>
        <w:t xml:space="preserve"> SPP/APR, use data from 202</w:t>
      </w:r>
      <w:r w:rsidR="000D428C">
        <w:rPr>
          <w:rFonts w:cs="Arial"/>
          <w:color w:val="000000" w:themeColor="text1"/>
          <w:szCs w:val="16"/>
        </w:rPr>
        <w:t>2</w:t>
      </w:r>
      <w:r w:rsidR="007639D7">
        <w:rPr>
          <w:rFonts w:cs="Arial"/>
          <w:color w:val="000000" w:themeColor="text1"/>
          <w:szCs w:val="16"/>
        </w:rPr>
        <w:t>-202</w:t>
      </w:r>
      <w:r w:rsidR="000D428C">
        <w:rPr>
          <w:rFonts w:cs="Arial"/>
          <w:color w:val="000000" w:themeColor="text1"/>
          <w:szCs w:val="16"/>
        </w:rPr>
        <w:t>3</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5"/>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76.45%</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48.00%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50.00%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76.00%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78.00%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80.00%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59.29%</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64.73%</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76.45%</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74.72%</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60.76%</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2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gridCol w:w="1610"/>
      </w:tblGrid>
      <w:tr w:rsidR="0094481B" w:rsidRPr="00781112" w14:paraId="2AA1A231" w14:textId="4E09135F" w:rsidTr="00FE4611">
        <w:trPr>
          <w:trHeight w:val="366"/>
        </w:trPr>
        <w:tc>
          <w:tcPr>
            <w:tcW w:w="966" w:type="pct"/>
            <w:tcBorders>
              <w:bottom w:val="single" w:sz="4" w:space="0" w:color="auto"/>
            </w:tcBorders>
            <w:shd w:val="clear" w:color="auto" w:fill="auto"/>
          </w:tcPr>
          <w:p w14:paraId="40B33FED" w14:textId="77777777" w:rsidR="0094481B" w:rsidRPr="00781112" w:rsidRDefault="0094481B" w:rsidP="00373F78">
            <w:pPr>
              <w:jc w:val="center"/>
              <w:rPr>
                <w:b/>
                <w:color w:val="000000" w:themeColor="text1"/>
              </w:rPr>
            </w:pPr>
            <w:r w:rsidRPr="00781112">
              <w:rPr>
                <w:b/>
                <w:color w:val="000000" w:themeColor="text1"/>
              </w:rPr>
              <w:t>FFY</w:t>
            </w:r>
          </w:p>
        </w:tc>
        <w:tc>
          <w:tcPr>
            <w:tcW w:w="1345" w:type="pct"/>
            <w:shd w:val="clear" w:color="auto" w:fill="auto"/>
          </w:tcPr>
          <w:p w14:paraId="71086D9D" w14:textId="38ED494E" w:rsidR="0094481B" w:rsidRPr="00781112" w:rsidRDefault="0094481B" w:rsidP="00373F78">
            <w:pPr>
              <w:jc w:val="center"/>
              <w:rPr>
                <w:b/>
                <w:color w:val="000000" w:themeColor="text1"/>
              </w:rPr>
            </w:pPr>
            <w:r w:rsidRPr="00781112">
              <w:rPr>
                <w:b/>
                <w:color w:val="000000" w:themeColor="text1"/>
              </w:rPr>
              <w:t>2023</w:t>
            </w:r>
          </w:p>
        </w:tc>
        <w:tc>
          <w:tcPr>
            <w:tcW w:w="1345" w:type="pct"/>
          </w:tcPr>
          <w:p w14:paraId="4D39066B" w14:textId="301F6A49" w:rsidR="0094481B" w:rsidRPr="00781112" w:rsidRDefault="0094481B" w:rsidP="00373F78">
            <w:pPr>
              <w:jc w:val="center"/>
              <w:rPr>
                <w:b/>
                <w:color w:val="000000" w:themeColor="text1"/>
              </w:rPr>
            </w:pPr>
            <w:r w:rsidRPr="00781112">
              <w:rPr>
                <w:rFonts w:cs="Arial"/>
                <w:b/>
                <w:color w:val="000000" w:themeColor="text1"/>
                <w:szCs w:val="16"/>
              </w:rPr>
              <w:t>2024</w:t>
            </w:r>
          </w:p>
        </w:tc>
        <w:tc>
          <w:tcPr>
            <w:tcW w:w="1345" w:type="pct"/>
          </w:tcPr>
          <w:p w14:paraId="1FB807B9" w14:textId="403D43E4"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30C65E4A" w14:textId="7AB118F2" w:rsidTr="00FE4611">
        <w:trPr>
          <w:trHeight w:val="374"/>
        </w:trPr>
        <w:tc>
          <w:tcPr>
            <w:tcW w:w="966" w:type="pct"/>
            <w:shd w:val="clear" w:color="auto" w:fill="auto"/>
            <w:vAlign w:val="center"/>
          </w:tcPr>
          <w:p w14:paraId="15D80559" w14:textId="5A8166E8" w:rsidR="0094481B" w:rsidRPr="00781112" w:rsidRDefault="0094481B" w:rsidP="00BA3DBE">
            <w:pPr>
              <w:jc w:val="center"/>
              <w:rPr>
                <w:rFonts w:cs="Arial"/>
                <w:color w:val="000000" w:themeColor="text1"/>
                <w:szCs w:val="16"/>
              </w:rPr>
            </w:pPr>
            <w:r w:rsidRPr="00781112">
              <w:rPr>
                <w:rFonts w:cs="Arial"/>
                <w:color w:val="000000" w:themeColor="text1"/>
                <w:szCs w:val="16"/>
              </w:rPr>
              <w:t>Target &gt;=</w:t>
            </w:r>
          </w:p>
        </w:tc>
        <w:tc>
          <w:tcPr>
            <w:tcW w:w="1345" w:type="pct"/>
            <w:shd w:val="clear" w:color="auto" w:fill="auto"/>
            <w:vAlign w:val="center"/>
          </w:tcPr>
          <w:p w14:paraId="5C1E2097" w14:textId="7100F4DF" w:rsidR="0094481B" w:rsidRPr="00781112" w:rsidRDefault="0094481B" w:rsidP="00373F78">
            <w:pPr>
              <w:jc w:val="center"/>
              <w:rPr>
                <w:rFonts w:cs="Arial"/>
                <w:color w:val="000000" w:themeColor="text1"/>
                <w:szCs w:val="16"/>
              </w:rPr>
            </w:pPr>
            <w:r w:rsidRPr="00781112">
              <w:rPr>
                <w:rFonts w:cs="Arial"/>
                <w:color w:val="000000" w:themeColor="text1"/>
                <w:szCs w:val="16"/>
              </w:rPr>
              <w:t>82.00%</w:t>
            </w:r>
          </w:p>
        </w:tc>
        <w:tc>
          <w:tcPr>
            <w:tcW w:w="1345" w:type="pct"/>
          </w:tcPr>
          <w:p w14:paraId="7717027B" w14:textId="1C4C1650" w:rsidR="0094481B" w:rsidRPr="00781112" w:rsidRDefault="0094481B" w:rsidP="00373F78">
            <w:pPr>
              <w:jc w:val="center"/>
              <w:rPr>
                <w:rFonts w:cs="Arial"/>
                <w:color w:val="000000" w:themeColor="text1"/>
                <w:szCs w:val="16"/>
              </w:rPr>
            </w:pPr>
            <w:r w:rsidRPr="00781112">
              <w:rPr>
                <w:color w:val="000000" w:themeColor="text1"/>
                <w:szCs w:val="16"/>
              </w:rPr>
              <w:t>84.00%</w:t>
            </w:r>
          </w:p>
        </w:tc>
        <w:tc>
          <w:tcPr>
            <w:tcW w:w="1345" w:type="pct"/>
          </w:tcPr>
          <w:p w14:paraId="48C73194" w14:textId="78C93C75" w:rsidR="0094481B" w:rsidRPr="00781112" w:rsidRDefault="0094481B" w:rsidP="00373F78">
            <w:pPr>
              <w:jc w:val="center"/>
              <w:rPr>
                <w:rFonts w:cs="Arial"/>
                <w:color w:val="000000" w:themeColor="text1"/>
                <w:szCs w:val="16"/>
              </w:rPr>
            </w:pPr>
            <w:r w:rsidRPr="00781112">
              <w:rPr>
                <w:color w:val="000000" w:themeColor="text1"/>
                <w:szCs w:val="16"/>
              </w:rPr>
              <w:t>86.00%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2B946CE6" w14:textId="3BAAFC14" w:rsidR="0051170F" w:rsidRPr="00781112" w:rsidRDefault="0051170F" w:rsidP="004369B2">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 xml:space="preserve">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w:t>
      </w:r>
      <w:r w:rsidRPr="00781112">
        <w:rPr>
          <w:rFonts w:cs="Arial"/>
          <w:color w:val="000000" w:themeColor="text1"/>
          <w:szCs w:val="16"/>
        </w:rPr>
        <w:lastRenderedPageBreak/>
        <w:t>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6F475956" w14:textId="6AAE3895" w:rsidR="000C24C2" w:rsidRPr="00781112" w:rsidRDefault="000C24C2" w:rsidP="001011BB">
      <w:pPr>
        <w:rPr>
          <w:rFonts w:cs="Arial"/>
          <w:color w:val="000000" w:themeColor="text1"/>
          <w:szCs w:val="16"/>
        </w:rPr>
      </w:pP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2,302</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r w:rsidRPr="00781112">
              <w:rPr>
                <w:rFonts w:cs="Arial"/>
                <w:color w:val="000000" w:themeColor="text1"/>
                <w:szCs w:val="16"/>
              </w:rPr>
              <w:t>385</w:t>
            </w: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103</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21</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706</w:t>
            </w:r>
          </w:p>
        </w:tc>
      </w:tr>
    </w:tbl>
    <w:p w14:paraId="0D2CDC7B" w14:textId="77777777" w:rsidR="00654A4B" w:rsidRPr="00781112" w:rsidRDefault="00654A4B" w:rsidP="00B65C2C">
      <w:pPr>
        <w:rPr>
          <w:color w:val="000000" w:themeColor="text1"/>
        </w:rPr>
      </w:pPr>
    </w:p>
    <w:p w14:paraId="7939D078" w14:textId="587AB3CE" w:rsidR="00995737" w:rsidRPr="00781112" w:rsidRDefault="0047313F" w:rsidP="00C74928">
      <w:pPr>
        <w:keepNext/>
        <w:rPr>
          <w:b/>
          <w:bCs/>
          <w:color w:val="000000" w:themeColor="text1"/>
        </w:rPr>
      </w:pPr>
      <w:r>
        <w:rPr>
          <w:b/>
          <w:bCs/>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7650D028" w:rsidR="0047313F" w:rsidRPr="00073BD7" w:rsidRDefault="0047313F" w:rsidP="0047313F">
            <w:pPr>
              <w:spacing w:after="0"/>
              <w:jc w:val="center"/>
              <w:rPr>
                <w:rFonts w:cs="Arial"/>
                <w:b/>
                <w:bCs/>
                <w:color w:val="000000" w:themeColor="text1"/>
                <w:szCs w:val="16"/>
              </w:rPr>
            </w:pPr>
            <w:r w:rsidRPr="00073BD7">
              <w:rPr>
                <w:b/>
                <w:bCs/>
              </w:rPr>
              <w:t>FFY 2022 Data</w:t>
            </w:r>
          </w:p>
        </w:tc>
        <w:tc>
          <w:tcPr>
            <w:tcW w:w="937" w:type="pct"/>
            <w:shd w:val="clear" w:color="auto" w:fill="auto"/>
            <w:vAlign w:val="bottom"/>
          </w:tcPr>
          <w:p w14:paraId="5A1C61A6" w14:textId="154E8512" w:rsidR="0047313F" w:rsidRPr="00073BD7" w:rsidRDefault="0047313F" w:rsidP="0047313F">
            <w:pPr>
              <w:spacing w:after="0"/>
              <w:jc w:val="center"/>
              <w:rPr>
                <w:rFonts w:cs="Arial"/>
                <w:b/>
                <w:bCs/>
                <w:color w:val="000000" w:themeColor="text1"/>
                <w:szCs w:val="16"/>
              </w:rPr>
            </w:pPr>
            <w:r w:rsidRPr="00073BD7">
              <w:rPr>
                <w:b/>
                <w:bCs/>
              </w:rPr>
              <w:t>FFY 2023 Target</w:t>
            </w:r>
          </w:p>
        </w:tc>
        <w:tc>
          <w:tcPr>
            <w:tcW w:w="560" w:type="pct"/>
            <w:shd w:val="clear" w:color="auto" w:fill="auto"/>
            <w:vAlign w:val="bottom"/>
          </w:tcPr>
          <w:p w14:paraId="51DD5A1B" w14:textId="0053C4CE" w:rsidR="0047313F" w:rsidRPr="00073BD7" w:rsidRDefault="0047313F" w:rsidP="0047313F">
            <w:pPr>
              <w:spacing w:after="0"/>
              <w:jc w:val="center"/>
              <w:rPr>
                <w:rFonts w:cs="Arial"/>
                <w:b/>
                <w:bCs/>
                <w:color w:val="000000" w:themeColor="text1"/>
                <w:szCs w:val="16"/>
              </w:rPr>
            </w:pPr>
            <w:r w:rsidRPr="00073BD7">
              <w:rPr>
                <w:b/>
                <w:bCs/>
              </w:rPr>
              <w:t>FFY 2023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2,302</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3,517</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60.76%</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82.00%</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65.45%</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Students in Louisiana can pursue one of two pathways to a Louisiana high school diploma, the TOPS University diploma or the Jump Start TOPS Tech (Career) diploma. The TOPS University diploma pathway requires students to earn 24 credits and prepares them for four-year colleges and universities. </w:t>
      </w:r>
      <w:r w:rsidRPr="00781112">
        <w:rPr>
          <w:rFonts w:cs="Arial"/>
          <w:color w:val="000000" w:themeColor="text1"/>
          <w:szCs w:val="16"/>
        </w:rPr>
        <w:lastRenderedPageBreak/>
        <w:t>The Jump Start TOPS Tech (Career) diploma pathway requires students to earn 23 credits and equips them with the skills and industry-valued credentials, or Industry Based Certifications (IBC), to move into a chosen industry after high school. Both options are available to students with IEPs.</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YES</w:t>
      </w:r>
    </w:p>
    <w:p w14:paraId="1CD0A276" w14:textId="5047B5D7" w:rsidR="00C14D48" w:rsidRPr="00781112" w:rsidRDefault="00742F8B" w:rsidP="003D436D">
      <w:pPr>
        <w:rPr>
          <w:rFonts w:cs="Arial"/>
          <w:b/>
          <w:iCs/>
          <w:color w:val="000000" w:themeColor="text1"/>
          <w:szCs w:val="16"/>
        </w:rPr>
      </w:pPr>
      <w:bookmarkStart w:id="6" w:name="_Toc392159261"/>
      <w:r w:rsidRPr="00781112">
        <w:rPr>
          <w:rFonts w:cs="Arial"/>
          <w:b/>
          <w:iCs/>
          <w:color w:val="000000" w:themeColor="text1"/>
          <w:szCs w:val="16"/>
        </w:rPr>
        <w:t>If yes, explain the difference in conditions that youth with IEPs must meet.</w:t>
      </w:r>
    </w:p>
    <w:p w14:paraId="081D930A" w14:textId="3A6096AF" w:rsidR="00E418E6" w:rsidRPr="00781112" w:rsidRDefault="002B7490" w:rsidP="000E33D0">
      <w:pPr>
        <w:rPr>
          <w:rFonts w:cs="Arial"/>
          <w:color w:val="000000" w:themeColor="text1"/>
          <w:szCs w:val="16"/>
        </w:rPr>
      </w:pPr>
      <w:r w:rsidRPr="00781112">
        <w:rPr>
          <w:rFonts w:cs="Arial"/>
          <w:color w:val="000000" w:themeColor="text1"/>
          <w:szCs w:val="16"/>
        </w:rPr>
        <w:t>Students with IEPs have the option to pursue either the TOPS University diploma or the Jump Start TOPS Tech diploma. However, the April Dunn Act (2014) gives students with disabilities who have persistent academic challenges due to their disabilities the ability to pursue a high school diploma by meeting graduation requirements through alternate means. The law can be implemented in compliance with federal and state law, provided that students remain able to access the traditional diploma and curriculum requirements, even as they use alternate means of demonstrating proficiency. Graduation requirements for April Dunn Act eligible students include the following:</w:t>
      </w:r>
      <w:r w:rsidRPr="00781112">
        <w:rPr>
          <w:rFonts w:cs="Arial"/>
          <w:color w:val="000000" w:themeColor="text1"/>
          <w:szCs w:val="16"/>
        </w:rPr>
        <w:br/>
      </w:r>
      <w:r w:rsidRPr="00781112">
        <w:rPr>
          <w:rFonts w:cs="Arial"/>
          <w:color w:val="000000" w:themeColor="text1"/>
          <w:szCs w:val="16"/>
        </w:rPr>
        <w:br/>
        <w:t>1) Meet all graduation requirements, which include earning all Carnegie units and statewide credentials for the diploma pathway they are pursuing and demonstrating proficiency in the courses assessed by the state assessment, LEAP 2025. If a student is unable to meet the state-established benchmarks - scoring proficient - on the LEAP 2025 assessment requirements through traditional means, the student can meet this requirement through an alternate means as determined by the IEP team.</w:t>
      </w:r>
      <w:r w:rsidRPr="00781112">
        <w:rPr>
          <w:rFonts w:cs="Arial"/>
          <w:color w:val="000000" w:themeColor="text1"/>
          <w:szCs w:val="16"/>
        </w:rPr>
        <w:br/>
      </w:r>
      <w:r w:rsidRPr="00781112">
        <w:rPr>
          <w:rFonts w:cs="Arial"/>
          <w:color w:val="000000" w:themeColor="text1"/>
          <w:szCs w:val="16"/>
        </w:rPr>
        <w:br/>
        <w:t>2) In addition to meeting IEP goals and objectives, students must meet at least one of three transition criteria to graduate. The criteria include: employment in inclusive integrated environments, demonstrating mastery of specific employability skills, and access to services not provided by the school, employment, or education options.</w:t>
      </w:r>
      <w:bookmarkStart w:id="7" w:name="_Hlk525545190"/>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The LDOE website includes a suite of resources to support schools and families with April Dunn Act implementation.</w:t>
      </w:r>
      <w:r w:rsidRPr="00781112">
        <w:rPr>
          <w:rFonts w:cs="Arial"/>
          <w:color w:val="000000" w:themeColor="text1"/>
          <w:szCs w:val="16"/>
        </w:rPr>
        <w:br/>
        <w:t>https://doe.louisiana.gov/school-system-leaders/diverse-learners/academics</w:t>
      </w:r>
    </w:p>
    <w:p w14:paraId="7D2A5658" w14:textId="39995CE7" w:rsidR="000C60E1" w:rsidRPr="00781112" w:rsidRDefault="00B0742B" w:rsidP="008645AD">
      <w:pPr>
        <w:pStyle w:val="Heading2"/>
      </w:pPr>
      <w:bookmarkStart w:id="8" w:name="_Toc382082358"/>
      <w:bookmarkEnd w:id="6"/>
      <w:bookmarkEnd w:id="7"/>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9" w:name="_Hlk21352084"/>
      <w:r w:rsidRPr="00781112">
        <w:t xml:space="preserve">1 - </w:t>
      </w:r>
      <w:bookmarkEnd w:id="9"/>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10"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8"/>
      <w:bookmarkEnd w:id="10"/>
    </w:p>
    <w:p w14:paraId="7F31959F" w14:textId="2F015437" w:rsidR="002C60D5" w:rsidRPr="002C274F" w:rsidRDefault="002C60D5" w:rsidP="002C274F">
      <w:pPr>
        <w:rPr>
          <w:b/>
          <w:bCs/>
          <w:sz w:val="20"/>
          <w:szCs w:val="20"/>
        </w:rPr>
      </w:pPr>
      <w:r w:rsidRPr="002C274F">
        <w:rPr>
          <w:b/>
          <w:bCs/>
          <w:sz w:val="20"/>
          <w:szCs w:val="20"/>
        </w:rPr>
        <w:t>Instructions and Measurement</w:t>
      </w:r>
    </w:p>
    <w:p w14:paraId="135DFB11" w14:textId="77777777" w:rsidR="00820751" w:rsidRPr="00651E83" w:rsidRDefault="00820751" w:rsidP="00820751">
      <w:pPr>
        <w:pStyle w:val="Subhed"/>
      </w:pPr>
      <w:bookmarkStart w:id="11"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12"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12"/>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482E3D6F"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2023 SPP/APR, use data from 2022-2023), and compare the results to the target.</w:t>
      </w:r>
    </w:p>
    <w:p w14:paraId="5D5E271B" w14:textId="3F25DDFB"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11"/>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37.00%</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2020</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2021</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2022</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25.00%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25.00%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20.00%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18.00%</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16.00%</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20.58%</w:t>
            </w:r>
          </w:p>
        </w:tc>
        <w:tc>
          <w:tcPr>
            <w:tcW w:w="833" w:type="pct"/>
            <w:shd w:val="clear" w:color="auto" w:fill="auto"/>
            <w:vAlign w:val="center"/>
          </w:tcPr>
          <w:p w14:paraId="1DE6EF8F" w14:textId="2C6399B2" w:rsidR="00907A35" w:rsidRPr="00781112" w:rsidRDefault="00907A35" w:rsidP="00E0321D">
            <w:pPr>
              <w:jc w:val="center"/>
              <w:rPr>
                <w:rFonts w:cs="Arial"/>
                <w:color w:val="000000" w:themeColor="text1"/>
                <w:szCs w:val="16"/>
              </w:rPr>
            </w:pP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17.08%</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19.17%</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21.48%</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2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7"/>
        <w:gridCol w:w="1677"/>
        <w:gridCol w:w="1676"/>
      </w:tblGrid>
      <w:tr w:rsidR="0094481B" w:rsidRPr="00781112" w14:paraId="029A4CCE" w14:textId="7CD6FC1B" w:rsidTr="00FE4611">
        <w:trPr>
          <w:trHeight w:val="378"/>
        </w:trPr>
        <w:tc>
          <w:tcPr>
            <w:tcW w:w="636" w:type="pct"/>
            <w:tcBorders>
              <w:bottom w:val="single" w:sz="4" w:space="0" w:color="auto"/>
            </w:tcBorders>
            <w:shd w:val="clear" w:color="auto" w:fill="auto"/>
          </w:tcPr>
          <w:p w14:paraId="7E454C96" w14:textId="77777777" w:rsidR="0094481B" w:rsidRPr="00781112" w:rsidRDefault="0094481B" w:rsidP="00373F78">
            <w:pPr>
              <w:jc w:val="center"/>
              <w:rPr>
                <w:b/>
                <w:color w:val="000000" w:themeColor="text1"/>
              </w:rPr>
            </w:pPr>
            <w:r w:rsidRPr="00781112">
              <w:rPr>
                <w:b/>
                <w:color w:val="000000" w:themeColor="text1"/>
              </w:rPr>
              <w:t>FFY</w:t>
            </w:r>
          </w:p>
        </w:tc>
        <w:tc>
          <w:tcPr>
            <w:tcW w:w="1455" w:type="pct"/>
            <w:shd w:val="clear" w:color="auto" w:fill="auto"/>
            <w:vAlign w:val="center"/>
          </w:tcPr>
          <w:p w14:paraId="43981BCA" w14:textId="46BADE94" w:rsidR="0094481B" w:rsidRPr="00781112" w:rsidRDefault="0094481B" w:rsidP="00373F78">
            <w:pPr>
              <w:jc w:val="center"/>
              <w:rPr>
                <w:b/>
                <w:color w:val="000000" w:themeColor="text1"/>
              </w:rPr>
            </w:pPr>
            <w:r w:rsidRPr="00781112">
              <w:rPr>
                <w:b/>
                <w:color w:val="000000" w:themeColor="text1"/>
              </w:rPr>
              <w:t>2023</w:t>
            </w:r>
          </w:p>
        </w:tc>
        <w:tc>
          <w:tcPr>
            <w:tcW w:w="1455" w:type="pct"/>
          </w:tcPr>
          <w:p w14:paraId="5E92A3B3" w14:textId="014BC7EC" w:rsidR="0094481B" w:rsidRPr="00781112" w:rsidRDefault="0094481B" w:rsidP="00373F78">
            <w:pPr>
              <w:jc w:val="center"/>
              <w:rPr>
                <w:b/>
                <w:color w:val="000000" w:themeColor="text1"/>
              </w:rPr>
            </w:pPr>
            <w:r w:rsidRPr="00781112">
              <w:rPr>
                <w:rFonts w:cs="Arial"/>
                <w:b/>
                <w:color w:val="000000" w:themeColor="text1"/>
                <w:szCs w:val="16"/>
              </w:rPr>
              <w:t>2024</w:t>
            </w:r>
          </w:p>
        </w:tc>
        <w:tc>
          <w:tcPr>
            <w:tcW w:w="1455" w:type="pct"/>
          </w:tcPr>
          <w:p w14:paraId="3A9EE8AA" w14:textId="53416CB2"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74AFE5A4" w14:textId="4CB3606D" w:rsidTr="00FE4611">
        <w:trPr>
          <w:trHeight w:val="386"/>
        </w:trPr>
        <w:tc>
          <w:tcPr>
            <w:tcW w:w="636" w:type="pct"/>
            <w:shd w:val="clear" w:color="auto" w:fill="auto"/>
            <w:vAlign w:val="center"/>
          </w:tcPr>
          <w:p w14:paraId="74812D09" w14:textId="3A67082C" w:rsidR="0094481B" w:rsidRPr="00781112" w:rsidRDefault="0094481B" w:rsidP="00BA3DBE">
            <w:pPr>
              <w:jc w:val="center"/>
              <w:rPr>
                <w:rFonts w:cs="Arial"/>
                <w:color w:val="000000" w:themeColor="text1"/>
                <w:szCs w:val="16"/>
              </w:rPr>
            </w:pPr>
            <w:r w:rsidRPr="00781112">
              <w:rPr>
                <w:rFonts w:cs="Arial"/>
                <w:color w:val="000000" w:themeColor="text1"/>
                <w:szCs w:val="16"/>
              </w:rPr>
              <w:t>Target &lt;=</w:t>
            </w:r>
          </w:p>
        </w:tc>
        <w:tc>
          <w:tcPr>
            <w:tcW w:w="1455" w:type="pct"/>
            <w:shd w:val="clear" w:color="auto" w:fill="auto"/>
            <w:vAlign w:val="center"/>
          </w:tcPr>
          <w:p w14:paraId="1AA9A6F0" w14:textId="23F8F955" w:rsidR="0094481B" w:rsidRPr="00781112" w:rsidRDefault="0094481B" w:rsidP="00373F78">
            <w:pPr>
              <w:jc w:val="center"/>
              <w:rPr>
                <w:rFonts w:cs="Arial"/>
                <w:color w:val="000000" w:themeColor="text1"/>
                <w:szCs w:val="16"/>
              </w:rPr>
            </w:pPr>
            <w:r w:rsidRPr="00781112">
              <w:rPr>
                <w:rFonts w:cs="Arial"/>
                <w:color w:val="000000" w:themeColor="text1"/>
                <w:szCs w:val="16"/>
              </w:rPr>
              <w:t>14.00%</w:t>
            </w:r>
          </w:p>
        </w:tc>
        <w:tc>
          <w:tcPr>
            <w:tcW w:w="1455" w:type="pct"/>
          </w:tcPr>
          <w:p w14:paraId="1887156F" w14:textId="2A53DFD8" w:rsidR="0094481B" w:rsidRPr="00781112" w:rsidRDefault="0094481B" w:rsidP="00373F78">
            <w:pPr>
              <w:jc w:val="center"/>
              <w:rPr>
                <w:rFonts w:cs="Arial"/>
                <w:color w:val="000000" w:themeColor="text1"/>
                <w:szCs w:val="16"/>
              </w:rPr>
            </w:pPr>
            <w:r w:rsidRPr="00781112">
              <w:rPr>
                <w:color w:val="000000" w:themeColor="text1"/>
                <w:szCs w:val="16"/>
              </w:rPr>
              <w:t>12.00%</w:t>
            </w:r>
          </w:p>
        </w:tc>
        <w:tc>
          <w:tcPr>
            <w:tcW w:w="1455" w:type="pct"/>
          </w:tcPr>
          <w:p w14:paraId="114E0304" w14:textId="3D4B66CA" w:rsidR="0094481B" w:rsidRPr="00781112" w:rsidRDefault="0094481B" w:rsidP="00373F78">
            <w:pPr>
              <w:jc w:val="center"/>
              <w:rPr>
                <w:rFonts w:cs="Arial"/>
                <w:color w:val="000000" w:themeColor="text1"/>
                <w:szCs w:val="16"/>
              </w:rPr>
            </w:pPr>
            <w:r w:rsidRPr="00781112">
              <w:rPr>
                <w:color w:val="000000" w:themeColor="text1"/>
                <w:szCs w:val="16"/>
              </w:rPr>
              <w:t>10.00%</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713FE3D9" w14:textId="115A66E3" w:rsidR="0051170F" w:rsidRPr="00781112" w:rsidRDefault="0051170F" w:rsidP="004369B2">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lastRenderedPageBreak/>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1646393A" w14:textId="2F9E8E4A" w:rsidR="002D145D" w:rsidRPr="00781112" w:rsidRDefault="002D145D" w:rsidP="002D145D">
      <w:pPr>
        <w:rPr>
          <w:rFonts w:cs="Arial"/>
          <w:color w:val="000000" w:themeColor="text1"/>
          <w:szCs w:val="16"/>
        </w:rPr>
      </w:pPr>
    </w:p>
    <w:p w14:paraId="554CBC97" w14:textId="77777777" w:rsidR="00650510" w:rsidRDefault="00650510" w:rsidP="004369B2">
      <w:pPr>
        <w:rPr>
          <w:b/>
          <w:color w:val="000000" w:themeColor="text1"/>
        </w:rPr>
      </w:pPr>
    </w:p>
    <w:p w14:paraId="68E34693" w14:textId="408BFBEE"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2,302</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r w:rsidRPr="00781112">
              <w:rPr>
                <w:rFonts w:cs="Arial"/>
                <w:color w:val="000000" w:themeColor="text1"/>
                <w:szCs w:val="16"/>
              </w:rPr>
              <w:t>385</w:t>
            </w: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103</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21</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706</w:t>
            </w:r>
          </w:p>
        </w:tc>
      </w:tr>
    </w:tbl>
    <w:p w14:paraId="7CE42756" w14:textId="445D9372" w:rsidR="00654A4B" w:rsidRPr="00781112" w:rsidRDefault="00654A4B" w:rsidP="004369B2">
      <w:pPr>
        <w:rPr>
          <w:color w:val="000000" w:themeColor="text1"/>
        </w:rPr>
      </w:pPr>
    </w:p>
    <w:p w14:paraId="4463AFB2" w14:textId="646E1E7D" w:rsidR="00C96339" w:rsidRPr="00781112" w:rsidRDefault="0047313F" w:rsidP="004369B2">
      <w:pPr>
        <w:rPr>
          <w:color w:val="000000" w:themeColor="text1"/>
        </w:rPr>
      </w:pPr>
      <w:r>
        <w:rPr>
          <w:b/>
          <w:color w:val="000000" w:themeColor="text1"/>
        </w:rPr>
        <w:t xml:space="preserve">FFY 2023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6F948523" w:rsidR="0047313F" w:rsidRPr="00073BD7" w:rsidRDefault="0047313F" w:rsidP="0047313F">
            <w:pPr>
              <w:jc w:val="center"/>
              <w:rPr>
                <w:rFonts w:cs="Arial"/>
                <w:b/>
                <w:bCs/>
                <w:color w:val="000000" w:themeColor="text1"/>
                <w:szCs w:val="16"/>
              </w:rPr>
            </w:pPr>
            <w:r w:rsidRPr="00073BD7">
              <w:rPr>
                <w:b/>
                <w:bCs/>
              </w:rPr>
              <w:t>FFY 2022 Data</w:t>
            </w:r>
          </w:p>
        </w:tc>
        <w:tc>
          <w:tcPr>
            <w:tcW w:w="967" w:type="pct"/>
            <w:shd w:val="clear" w:color="auto" w:fill="auto"/>
            <w:vAlign w:val="bottom"/>
          </w:tcPr>
          <w:p w14:paraId="1F444650" w14:textId="2FC486DA" w:rsidR="0047313F" w:rsidRPr="00073BD7" w:rsidRDefault="0047313F" w:rsidP="0047313F">
            <w:pPr>
              <w:jc w:val="center"/>
              <w:rPr>
                <w:rFonts w:cs="Arial"/>
                <w:b/>
                <w:bCs/>
                <w:color w:val="000000" w:themeColor="text1"/>
                <w:szCs w:val="16"/>
              </w:rPr>
            </w:pPr>
            <w:r w:rsidRPr="00073BD7">
              <w:rPr>
                <w:b/>
                <w:bCs/>
              </w:rPr>
              <w:t>FFY 2023 Target</w:t>
            </w:r>
          </w:p>
        </w:tc>
        <w:tc>
          <w:tcPr>
            <w:tcW w:w="569" w:type="pct"/>
            <w:shd w:val="clear" w:color="auto" w:fill="auto"/>
            <w:vAlign w:val="bottom"/>
          </w:tcPr>
          <w:p w14:paraId="194A1B8B" w14:textId="21762BD8" w:rsidR="0047313F" w:rsidRPr="00073BD7" w:rsidRDefault="0047313F" w:rsidP="0047313F">
            <w:pPr>
              <w:jc w:val="center"/>
              <w:rPr>
                <w:rFonts w:cs="Arial"/>
                <w:b/>
                <w:bCs/>
                <w:color w:val="000000" w:themeColor="text1"/>
                <w:szCs w:val="16"/>
              </w:rPr>
            </w:pPr>
            <w:r w:rsidRPr="00073BD7">
              <w:rPr>
                <w:b/>
                <w:bCs/>
              </w:rPr>
              <w:t>FFY 2023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706</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3,517</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21.48%</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14.00%</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20.07%</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LDOE is required to federally report dropout statistics via the National Center for Education Statistics (NCES) Common Core of Data (CCD) Local Education Agency Survey website http://nces.ed.gov/. The NCES definition of a dropout is an individual who was enrolled at some time during the previous school year and was not enrolled on October 1 of the current school year, or was not enrolled on October 1 of the previous school year and has not graduated or completed a state or school system approved educational program, and does not meet any of the exclusionary conditions for leaving school. A student is considered a dropout if s/he left school without receiving a diploma or other certification; or left school, and status is unknown or not in school; or transferred and enrolled in an adult education program (unless the program is monitored by an LEA). Examples include, but not limited to, students enrolled but stop attending, joined the military, moved but whereabouts are unknown, is incarcerated, or enrolled in a vocational technical college (not monitored by the LEA).</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lastRenderedPageBreak/>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3" w:name="_Toc382082362"/>
      <w:bookmarkStart w:id="14" w:name="_Toc392159270"/>
      <w:bookmarkStart w:id="15"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E142BFD" w:rsidR="00553A47" w:rsidRPr="002C274F" w:rsidRDefault="00553A47" w:rsidP="002C274F">
      <w:pPr>
        <w:rPr>
          <w:b/>
          <w:bCs/>
          <w:sz w:val="20"/>
          <w:szCs w:val="20"/>
        </w:rPr>
      </w:pPr>
      <w:r w:rsidRPr="002C274F">
        <w:rPr>
          <w:b/>
          <w:bCs/>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459F8E70"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15282F50"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97.50%</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95.63%</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90.73%</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97.43%</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95.46%</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89.15%</w:t>
            </w:r>
          </w:p>
        </w:tc>
      </w:tr>
    </w:tbl>
    <w:p w14:paraId="1049ED79" w14:textId="19F4A63B" w:rsidR="00E023E6" w:rsidRPr="00781112" w:rsidRDefault="00E023E6" w:rsidP="00FE4611">
      <w:pPr>
        <w:spacing w:before="0" w:after="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tblGrid>
      <w:tr w:rsidR="0094481B" w:rsidRPr="00781112" w14:paraId="61B13027" w14:textId="7E8C0770" w:rsidTr="00FE4611">
        <w:tc>
          <w:tcPr>
            <w:tcW w:w="660" w:type="pct"/>
            <w:tcBorders>
              <w:bottom w:val="single" w:sz="4" w:space="0" w:color="auto"/>
            </w:tcBorders>
            <w:shd w:val="clear" w:color="auto" w:fill="auto"/>
            <w:vAlign w:val="center"/>
          </w:tcPr>
          <w:p w14:paraId="41C1EDA8" w14:textId="77777777" w:rsidR="0094481B" w:rsidRPr="00781112" w:rsidRDefault="0094481B" w:rsidP="00FD5357">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47C72AA9" w14:textId="77777777" w:rsidR="0094481B" w:rsidRPr="00781112" w:rsidRDefault="0094481B" w:rsidP="00FD5357">
            <w:pPr>
              <w:jc w:val="center"/>
              <w:rPr>
                <w:b/>
                <w:color w:val="000000" w:themeColor="text1"/>
              </w:rPr>
            </w:pPr>
            <w:r w:rsidRPr="00781112">
              <w:rPr>
                <w:b/>
                <w:color w:val="000000" w:themeColor="text1"/>
              </w:rPr>
              <w:t>Group</w:t>
            </w:r>
          </w:p>
        </w:tc>
        <w:tc>
          <w:tcPr>
            <w:tcW w:w="862" w:type="pct"/>
            <w:shd w:val="clear" w:color="auto" w:fill="auto"/>
            <w:vAlign w:val="center"/>
          </w:tcPr>
          <w:p w14:paraId="3EBC6D10" w14:textId="77777777" w:rsidR="0094481B" w:rsidRPr="00781112" w:rsidDel="008E7B87" w:rsidRDefault="0094481B" w:rsidP="00FD5357">
            <w:pPr>
              <w:jc w:val="center"/>
              <w:rPr>
                <w:b/>
                <w:color w:val="000000" w:themeColor="text1"/>
              </w:rPr>
            </w:pPr>
            <w:r w:rsidRPr="00781112">
              <w:rPr>
                <w:b/>
                <w:color w:val="000000" w:themeColor="text1"/>
              </w:rPr>
              <w:t>Group Name</w:t>
            </w:r>
          </w:p>
        </w:tc>
        <w:tc>
          <w:tcPr>
            <w:tcW w:w="982" w:type="pct"/>
            <w:shd w:val="clear" w:color="auto" w:fill="auto"/>
            <w:vAlign w:val="center"/>
          </w:tcPr>
          <w:p w14:paraId="5DB0C638" w14:textId="77777777" w:rsidR="0094481B" w:rsidRPr="00781112" w:rsidRDefault="0094481B" w:rsidP="00FD5357">
            <w:pPr>
              <w:jc w:val="center"/>
              <w:rPr>
                <w:b/>
                <w:color w:val="000000" w:themeColor="text1"/>
              </w:rPr>
            </w:pPr>
            <w:r w:rsidRPr="00781112">
              <w:rPr>
                <w:b/>
                <w:color w:val="000000" w:themeColor="text1"/>
              </w:rPr>
              <w:t>2023</w:t>
            </w:r>
          </w:p>
        </w:tc>
        <w:tc>
          <w:tcPr>
            <w:tcW w:w="982" w:type="pct"/>
            <w:vAlign w:val="center"/>
          </w:tcPr>
          <w:p w14:paraId="2BCE0486" w14:textId="3C221AF8" w:rsidR="0094481B" w:rsidRPr="00781112" w:rsidRDefault="0094481B" w:rsidP="00FD5357">
            <w:pPr>
              <w:jc w:val="center"/>
              <w:rPr>
                <w:b/>
                <w:color w:val="000000" w:themeColor="text1"/>
              </w:rPr>
            </w:pPr>
            <w:r w:rsidRPr="00781112">
              <w:rPr>
                <w:rFonts w:cs="Arial"/>
                <w:b/>
                <w:color w:val="000000" w:themeColor="text1"/>
                <w:szCs w:val="16"/>
              </w:rPr>
              <w:t>2024</w:t>
            </w:r>
          </w:p>
        </w:tc>
        <w:tc>
          <w:tcPr>
            <w:tcW w:w="982" w:type="pct"/>
            <w:vAlign w:val="center"/>
          </w:tcPr>
          <w:p w14:paraId="1990502A" w14:textId="03716A79" w:rsidR="0094481B" w:rsidRPr="00781112" w:rsidRDefault="0094481B" w:rsidP="00FD5357">
            <w:pPr>
              <w:jc w:val="center"/>
              <w:rPr>
                <w:b/>
                <w:color w:val="000000" w:themeColor="text1"/>
              </w:rPr>
            </w:pPr>
            <w:r w:rsidRPr="00781112">
              <w:rPr>
                <w:rFonts w:cs="Arial"/>
                <w:b/>
                <w:color w:val="000000" w:themeColor="text1"/>
                <w:szCs w:val="16"/>
              </w:rPr>
              <w:t>2025</w:t>
            </w:r>
          </w:p>
        </w:tc>
      </w:tr>
      <w:tr w:rsidR="0094481B" w:rsidRPr="00781112" w14:paraId="5EF23A8E" w14:textId="333536B2" w:rsidTr="00FE4611">
        <w:tc>
          <w:tcPr>
            <w:tcW w:w="660" w:type="pct"/>
            <w:shd w:val="clear" w:color="auto" w:fill="auto"/>
            <w:vAlign w:val="center"/>
          </w:tcPr>
          <w:p w14:paraId="659131E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0E33DCFC"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76B16B43" w14:textId="39FB8899"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0F6CE0A1" w14:textId="29A64BBD"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4A0A22E0" w14:textId="5285E879" w:rsidR="0094481B" w:rsidRPr="00FE4611" w:rsidRDefault="0094481B" w:rsidP="006369C2">
            <w:pPr>
              <w:jc w:val="center"/>
            </w:pPr>
            <w:r w:rsidRPr="00781112">
              <w:rPr>
                <w:rFonts w:cs="Arial"/>
                <w:color w:val="000000" w:themeColor="text1"/>
                <w:szCs w:val="16"/>
              </w:rPr>
              <w:t>98.80%</w:t>
            </w:r>
          </w:p>
        </w:tc>
        <w:tc>
          <w:tcPr>
            <w:tcW w:w="982" w:type="pct"/>
            <w:vAlign w:val="center"/>
          </w:tcPr>
          <w:p w14:paraId="01E8CE0F" w14:textId="037B9FF4"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r>
      <w:tr w:rsidR="0094481B" w:rsidRPr="00781112" w14:paraId="0DC87485" w14:textId="7CEA602E" w:rsidTr="00FE4611">
        <w:tc>
          <w:tcPr>
            <w:tcW w:w="660" w:type="pct"/>
            <w:shd w:val="clear" w:color="auto" w:fill="auto"/>
            <w:vAlign w:val="center"/>
          </w:tcPr>
          <w:p w14:paraId="0DBD5106"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32DA1B3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451C944" w14:textId="48D1DB42"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0A324D3" w14:textId="7CE00F34"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52AC2F70" w14:textId="3AB4351A"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32A4C051" w14:textId="2E65FFFC"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r>
      <w:tr w:rsidR="0094481B" w:rsidRPr="00781112" w14:paraId="546837A9" w14:textId="0EC3B58A" w:rsidTr="00FE4611">
        <w:tc>
          <w:tcPr>
            <w:tcW w:w="660" w:type="pct"/>
            <w:shd w:val="clear" w:color="auto" w:fill="auto"/>
            <w:vAlign w:val="center"/>
          </w:tcPr>
          <w:p w14:paraId="5E2AB8D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2801904B"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5F09655C" w14:textId="799E5EE7"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06826BA4" w14:textId="5829FE90"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14B1D7EC" w14:textId="5E17D245"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05B53368" w14:textId="52EA99DA"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r>
      <w:tr w:rsidR="0094481B" w:rsidRPr="00781112" w14:paraId="42FB4D55" w14:textId="70E04CC1" w:rsidTr="00FE4611">
        <w:tc>
          <w:tcPr>
            <w:tcW w:w="660" w:type="pct"/>
            <w:shd w:val="clear" w:color="auto" w:fill="auto"/>
            <w:vAlign w:val="center"/>
          </w:tcPr>
          <w:p w14:paraId="5003C653"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3BDC476D"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0CAD024F" w14:textId="139788C5"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43E3EC7" w14:textId="5E734881"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5C17E435" w14:textId="07B15AE7"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1B9AA205" w14:textId="39F901D2"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r>
      <w:tr w:rsidR="0094481B" w:rsidRPr="00781112" w14:paraId="36D735AC" w14:textId="5C55C170" w:rsidTr="00FE4611">
        <w:tc>
          <w:tcPr>
            <w:tcW w:w="660" w:type="pct"/>
            <w:shd w:val="clear" w:color="auto" w:fill="auto"/>
            <w:vAlign w:val="center"/>
          </w:tcPr>
          <w:p w14:paraId="3DD2851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04829E1"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B7B7FDD" w14:textId="4EABA9DD"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4BE54D67" w14:textId="13C82F03"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1113A8B0" w14:textId="01C04123"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3A3B0FBA" w14:textId="478F9449"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r>
      <w:tr w:rsidR="0094481B" w:rsidRPr="00781112" w14:paraId="6D5345B6" w14:textId="77468A6F" w:rsidTr="00FE4611">
        <w:tc>
          <w:tcPr>
            <w:tcW w:w="660" w:type="pct"/>
            <w:shd w:val="clear" w:color="auto" w:fill="auto"/>
            <w:vAlign w:val="center"/>
          </w:tcPr>
          <w:p w14:paraId="7932C55F"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BCACF1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1E7674E7" w14:textId="620A24D0"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416F7E76" w14:textId="5B460752"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7ADA18AC" w14:textId="2893C149"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c>
          <w:tcPr>
            <w:tcW w:w="982" w:type="pct"/>
            <w:vAlign w:val="center"/>
          </w:tcPr>
          <w:p w14:paraId="1BF168BC" w14:textId="476AE7F5" w:rsidR="0094481B" w:rsidRPr="00781112" w:rsidRDefault="0094481B" w:rsidP="00C362C0">
            <w:pPr>
              <w:jc w:val="center"/>
              <w:rPr>
                <w:rFonts w:cs="Arial"/>
                <w:color w:val="000000" w:themeColor="text1"/>
                <w:szCs w:val="16"/>
              </w:rPr>
            </w:pPr>
            <w:r w:rsidRPr="00781112">
              <w:rPr>
                <w:rFonts w:cs="Arial"/>
                <w:color w:val="000000" w:themeColor="text1"/>
                <w:szCs w:val="16"/>
              </w:rPr>
              <w:t>98.80%</w:t>
            </w:r>
          </w:p>
        </w:tc>
      </w:tr>
    </w:tbl>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361B382C" w14:textId="77777777" w:rsidR="00480083" w:rsidRPr="00781112" w:rsidRDefault="00480083" w:rsidP="00480083">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w:t>
      </w:r>
      <w:r w:rsidRPr="00781112">
        <w:rPr>
          <w:rFonts w:cs="Arial"/>
          <w:color w:val="000000" w:themeColor="text1"/>
          <w:szCs w:val="16"/>
        </w:rPr>
        <w:lastRenderedPageBreak/>
        <w:t xml:space="preserve">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2DB4239B" w14:textId="2F83DC57" w:rsidR="00480083" w:rsidRPr="00781112" w:rsidRDefault="00480083" w:rsidP="00480083">
      <w:pPr>
        <w:rPr>
          <w:rFonts w:cs="Arial"/>
          <w:color w:val="000000" w:themeColor="text1"/>
          <w:szCs w:val="16"/>
        </w:rPr>
      </w:pPr>
    </w:p>
    <w:p w14:paraId="51F0752D" w14:textId="77777777" w:rsidR="00650510" w:rsidRDefault="00650510" w:rsidP="004F4016">
      <w:pPr>
        <w:rPr>
          <w:b/>
          <w:color w:val="000000" w:themeColor="text1"/>
        </w:rPr>
      </w:pPr>
    </w:p>
    <w:p w14:paraId="185A3541" w14:textId="41ABD49F" w:rsidR="004F4016" w:rsidRPr="00781112" w:rsidRDefault="00FA33C9" w:rsidP="004F4016">
      <w:pPr>
        <w:rPr>
          <w:b/>
          <w:color w:val="000000" w:themeColor="text1"/>
        </w:rPr>
      </w:pPr>
      <w:r>
        <w:rPr>
          <w:b/>
          <w:color w:val="000000" w:themeColor="text1"/>
        </w:rPr>
        <w:t>FFY 2023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7,731</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6,328</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5,581</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1,305</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359</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225</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5,637</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4,848</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4,253</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757</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1,057</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958</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lastRenderedPageBreak/>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7,730</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6,335</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5,750</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1,290</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334</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214</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5,653</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4,876</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4,406</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755</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1,057</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957</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7808B951"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01BA454D" w:rsidR="004F4016" w:rsidRPr="00781112" w:rsidRDefault="0047313F" w:rsidP="004F4016">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62014B99"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2D0B1710" w14:textId="66BE285D" w:rsidR="00073BD7" w:rsidRPr="00781112" w:rsidRDefault="00073BD7" w:rsidP="00073BD7">
            <w:pPr>
              <w:jc w:val="center"/>
              <w:rPr>
                <w:b/>
                <w:color w:val="000000" w:themeColor="text1"/>
              </w:rPr>
            </w:pPr>
            <w:r w:rsidRPr="00073BD7">
              <w:rPr>
                <w:b/>
                <w:bCs/>
              </w:rPr>
              <w:t>FFY 2023 Target</w:t>
            </w:r>
          </w:p>
        </w:tc>
        <w:tc>
          <w:tcPr>
            <w:tcW w:w="467" w:type="pct"/>
            <w:shd w:val="clear" w:color="auto" w:fill="auto"/>
            <w:vAlign w:val="bottom"/>
          </w:tcPr>
          <w:p w14:paraId="1D807DE2" w14:textId="281F6B54" w:rsidR="00073BD7" w:rsidRPr="00781112" w:rsidRDefault="00073BD7" w:rsidP="00073BD7">
            <w:pPr>
              <w:jc w:val="center"/>
              <w:rPr>
                <w:b/>
                <w:color w:val="000000" w:themeColor="text1"/>
              </w:rPr>
            </w:pPr>
            <w:r w:rsidRPr="00073BD7">
              <w:rPr>
                <w:b/>
                <w:bCs/>
              </w:rPr>
              <w:t>FFY 2023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7,699</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7,731</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98.35%</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98.80%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99.59%</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6,264</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6,328</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97.36%</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98.80%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98.99%</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5,436</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5,581</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94.41%</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98.80%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97.40%</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1C3A5E7E" w14:textId="77777777" w:rsidR="007765EF" w:rsidRDefault="007765EF" w:rsidP="00802A46">
      <w:pPr>
        <w:rPr>
          <w:b/>
          <w:color w:val="000000" w:themeColor="text1"/>
        </w:rPr>
      </w:pPr>
    </w:p>
    <w:p w14:paraId="4D76CCAA" w14:textId="77777777" w:rsidR="007A7E93" w:rsidRPr="00781112" w:rsidRDefault="007A7E93" w:rsidP="00FE4611">
      <w:pPr>
        <w:spacing w:before="0" w:after="0" w:line="276" w:lineRule="auto"/>
        <w:rPr>
          <w:b/>
          <w:color w:val="000000" w:themeColor="text1"/>
        </w:rPr>
      </w:pPr>
    </w:p>
    <w:p w14:paraId="68F24FCA" w14:textId="58652C70" w:rsidR="00F17D5E" w:rsidRPr="00781112" w:rsidRDefault="0047313F" w:rsidP="00F17D5E">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3C66A3FF"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681C20C6" w14:textId="48AE4946" w:rsidR="0047313F" w:rsidRPr="00073BD7" w:rsidRDefault="0047313F" w:rsidP="0047313F">
            <w:pPr>
              <w:jc w:val="center"/>
              <w:rPr>
                <w:b/>
                <w:bCs/>
                <w:color w:val="000000" w:themeColor="text1"/>
              </w:rPr>
            </w:pPr>
            <w:r w:rsidRPr="00073BD7">
              <w:rPr>
                <w:b/>
                <w:bCs/>
              </w:rPr>
              <w:t>FFY 2023 Target</w:t>
            </w:r>
          </w:p>
        </w:tc>
        <w:tc>
          <w:tcPr>
            <w:tcW w:w="468" w:type="pct"/>
            <w:shd w:val="clear" w:color="auto" w:fill="auto"/>
            <w:vAlign w:val="bottom"/>
          </w:tcPr>
          <w:p w14:paraId="1A223A3A" w14:textId="613DE1E3" w:rsidR="0047313F" w:rsidRPr="00073BD7" w:rsidRDefault="0047313F" w:rsidP="0047313F">
            <w:pPr>
              <w:jc w:val="center"/>
              <w:rPr>
                <w:b/>
                <w:bCs/>
                <w:color w:val="000000" w:themeColor="text1"/>
              </w:rPr>
            </w:pPr>
            <w:r w:rsidRPr="00073BD7">
              <w:rPr>
                <w:b/>
                <w:bCs/>
              </w:rPr>
              <w:t>FFY 2023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7,698</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7,730</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98.50%</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98.80%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99.59%</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6,267</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6,335</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97.42%</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98.80%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98.93%</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5,577</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5,750</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94.64%</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98.80%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96.99%</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rsidP="00FE4611">
      <w:pPr>
        <w:spacing w:before="0" w:after="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 xml:space="preserve">The "Regular and Alternate Test Summary" publicly reports participation and performance results for children with disabilities on regular assessments - with or without accommodations - and alternate assessments. </w:t>
      </w:r>
      <w:r w:rsidRPr="00781112">
        <w:rPr>
          <w:rFonts w:cs="Arial"/>
          <w:color w:val="000000" w:themeColor="text1"/>
          <w:szCs w:val="16"/>
        </w:rPr>
        <w:br/>
      </w:r>
      <w:r w:rsidRPr="00781112">
        <w:rPr>
          <w:rFonts w:cs="Arial"/>
          <w:color w:val="000000" w:themeColor="text1"/>
          <w:szCs w:val="16"/>
        </w:rPr>
        <w:br/>
        <w:t>For Spring 2024 Regular and Alternate Test Summary results in the Special Education Data section, use the following link:</w:t>
      </w:r>
      <w:r w:rsidRPr="00781112">
        <w:rPr>
          <w:rFonts w:cs="Arial"/>
          <w:color w:val="000000" w:themeColor="text1"/>
          <w:szCs w:val="16"/>
        </w:rPr>
        <w:br/>
        <w:t>https://doe.louisiana.gov/data-and-reports/elementary-and-middle-school-performance</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r w:rsidRPr="00781112">
        <w:rPr>
          <w:rFonts w:cs="Arial"/>
          <w:color w:val="000000" w:themeColor="text1"/>
          <w:szCs w:val="16"/>
        </w:rPr>
        <w:t xml:space="preserve">Louisiana reports comprehensively on children with disabilities. Subgroup data are reported on every school and school system. </w:t>
      </w:r>
      <w:r w:rsidRPr="00781112">
        <w:rPr>
          <w:rFonts w:cs="Arial"/>
          <w:color w:val="000000" w:themeColor="text1"/>
          <w:szCs w:val="16"/>
        </w:rPr>
        <w:br/>
      </w:r>
      <w:r w:rsidRPr="00781112">
        <w:rPr>
          <w:rFonts w:cs="Arial"/>
          <w:color w:val="000000" w:themeColor="text1"/>
          <w:szCs w:val="16"/>
        </w:rPr>
        <w:br/>
        <w:t xml:space="preserve">Louisiana’s Spring 2024 LEAP criterion-referenced test reports on state, school system, and school achievement levels, and is inclusive of all students. </w:t>
      </w:r>
      <w:r w:rsidRPr="00781112">
        <w:rPr>
          <w:rFonts w:cs="Arial"/>
          <w:color w:val="000000" w:themeColor="text1"/>
          <w:szCs w:val="16"/>
        </w:rPr>
        <w:br/>
      </w:r>
      <w:r w:rsidRPr="00781112">
        <w:rPr>
          <w:rFonts w:cs="Arial"/>
          <w:color w:val="000000" w:themeColor="text1"/>
          <w:szCs w:val="16"/>
        </w:rPr>
        <w:br/>
        <w:t xml:space="preserve">LDOE's “Measuring Results” and “Data Center” web links report on K-12 assessments, early childhood centers, and school and student results, </w:t>
      </w:r>
      <w:r w:rsidRPr="00781112">
        <w:rPr>
          <w:rFonts w:cs="Arial"/>
          <w:color w:val="000000" w:themeColor="text1"/>
          <w:szCs w:val="16"/>
        </w:rPr>
        <w:lastRenderedPageBreak/>
        <w:t>including School and Center Report Cards, School and Center Performance Scores, and Closing the Equity Gap.</w:t>
      </w:r>
      <w:r w:rsidRPr="00781112">
        <w:rPr>
          <w:rFonts w:cs="Arial"/>
          <w:color w:val="000000" w:themeColor="text1"/>
          <w:szCs w:val="16"/>
        </w:rPr>
        <w:br/>
        <w:t>Measuring Results homepage: https://doe.louisiana.gov/school-system-leaders/measuring-results</w:t>
      </w:r>
      <w:r w:rsidRPr="00781112">
        <w:rPr>
          <w:rFonts w:cs="Arial"/>
          <w:color w:val="000000" w:themeColor="text1"/>
          <w:szCs w:val="16"/>
        </w:rPr>
        <w:br/>
        <w:t>Data Center: https://doe.louisiana.gov/data-and-reports</w:t>
      </w:r>
      <w:r w:rsidRPr="00781112">
        <w:rPr>
          <w:rFonts w:cs="Arial"/>
          <w:color w:val="000000" w:themeColor="text1"/>
          <w:szCs w:val="16"/>
        </w:rPr>
        <w:br/>
      </w:r>
      <w:r w:rsidRPr="00781112">
        <w:rPr>
          <w:rFonts w:cs="Arial"/>
          <w:color w:val="000000" w:themeColor="text1"/>
          <w:szCs w:val="16"/>
        </w:rPr>
        <w:br/>
        <w:t>Furthermore, Louisiana has a webpage dedicated to special education reporting. This webpage includes Louisiana's "Special Education Data Profile", which consists of statewide assessment tables, including: 1) children with disabilities assessment participation for both the regular and alternate (LEAP Connect) assessments, 2) children with disabilities who scored proficient on regular assessments, percent by grade and subject, and 3) children with disabilities who met or exceeded standards on the LEAP Connect assessment. The webpage also includes each LEA's Performance Profile, which reports on the LEA's performance against the State's targets in the APR. The Special Education Reporting and Funding page is available at https://doe.louisiana.gov/data-and-reports/special-education-reporting.</w:t>
      </w:r>
    </w:p>
    <w:p w14:paraId="0F4E9E40" w14:textId="77777777" w:rsidR="00B725C2" w:rsidRPr="00781112" w:rsidRDefault="00B725C2" w:rsidP="00FE4611">
      <w:pPr>
        <w:spacing w:before="0" w:after="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3"/>
      <w:bookmarkEnd w:id="14"/>
    </w:p>
    <w:p w14:paraId="66C662B8" w14:textId="69AA9D25" w:rsidR="007C3C89" w:rsidRPr="002C274F" w:rsidRDefault="007C3C89" w:rsidP="002C274F">
      <w:pPr>
        <w:rPr>
          <w:b/>
          <w:bCs/>
          <w:sz w:val="20"/>
          <w:szCs w:val="20"/>
        </w:rPr>
      </w:pPr>
      <w:bookmarkStart w:id="16" w:name="_Toc392159271"/>
      <w:r w:rsidRPr="002C274F">
        <w:rPr>
          <w:b/>
          <w:bCs/>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6"/>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16.49%</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9.39%</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7.69%</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12.40%</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4.88%</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5.59%</w:t>
            </w:r>
          </w:p>
        </w:tc>
      </w:tr>
    </w:tbl>
    <w:p w14:paraId="4E5C7995" w14:textId="42FA95B5" w:rsidR="004D0044" w:rsidRPr="00781112" w:rsidRDefault="004D0044" w:rsidP="00AA3A41">
      <w:pPr>
        <w:tabs>
          <w:tab w:val="left" w:pos="2145"/>
        </w:tabs>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3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tblGrid>
      <w:tr w:rsidR="0094481B" w:rsidRPr="00781112" w14:paraId="241559C7" w14:textId="3976E689" w:rsidTr="00FE4611">
        <w:tc>
          <w:tcPr>
            <w:tcW w:w="830" w:type="pct"/>
            <w:tcBorders>
              <w:bottom w:val="single" w:sz="4" w:space="0" w:color="auto"/>
            </w:tcBorders>
            <w:shd w:val="clear" w:color="auto" w:fill="auto"/>
            <w:vAlign w:val="center"/>
          </w:tcPr>
          <w:p w14:paraId="5F6C0247" w14:textId="02A2F5D1" w:rsidR="0094481B" w:rsidRPr="00781112" w:rsidRDefault="0094481B" w:rsidP="00536B0B">
            <w:pPr>
              <w:jc w:val="center"/>
              <w:rPr>
                <w:b/>
                <w:color w:val="000000" w:themeColor="text1"/>
              </w:rPr>
            </w:pPr>
            <w:r w:rsidRPr="00781112">
              <w:rPr>
                <w:b/>
                <w:color w:val="000000" w:themeColor="text1"/>
              </w:rPr>
              <w:t>Subject</w:t>
            </w:r>
          </w:p>
        </w:tc>
        <w:tc>
          <w:tcPr>
            <w:tcW w:w="834" w:type="pct"/>
            <w:tcBorders>
              <w:bottom w:val="single" w:sz="4" w:space="0" w:color="auto"/>
            </w:tcBorders>
            <w:shd w:val="clear" w:color="auto" w:fill="auto"/>
            <w:vAlign w:val="center"/>
          </w:tcPr>
          <w:p w14:paraId="1318C08B" w14:textId="57349DD9" w:rsidR="0094481B" w:rsidRPr="00781112" w:rsidRDefault="0094481B" w:rsidP="00536B0B">
            <w:pPr>
              <w:jc w:val="center"/>
              <w:rPr>
                <w:b/>
                <w:color w:val="000000" w:themeColor="text1"/>
              </w:rPr>
            </w:pPr>
            <w:r w:rsidRPr="00781112">
              <w:rPr>
                <w:b/>
                <w:color w:val="000000" w:themeColor="text1"/>
              </w:rPr>
              <w:t>Group</w:t>
            </w:r>
          </w:p>
        </w:tc>
        <w:tc>
          <w:tcPr>
            <w:tcW w:w="834" w:type="pct"/>
            <w:shd w:val="clear" w:color="auto" w:fill="auto"/>
            <w:vAlign w:val="center"/>
          </w:tcPr>
          <w:p w14:paraId="7EAB09FA" w14:textId="030EC418" w:rsidR="0094481B" w:rsidRPr="00781112" w:rsidDel="008E7B87" w:rsidRDefault="0094481B" w:rsidP="00536B0B">
            <w:pPr>
              <w:jc w:val="center"/>
              <w:rPr>
                <w:b/>
                <w:color w:val="000000" w:themeColor="text1"/>
              </w:rPr>
            </w:pPr>
            <w:r w:rsidRPr="00781112">
              <w:rPr>
                <w:b/>
                <w:color w:val="000000" w:themeColor="text1"/>
              </w:rPr>
              <w:t>Group Name</w:t>
            </w:r>
          </w:p>
        </w:tc>
        <w:tc>
          <w:tcPr>
            <w:tcW w:w="834" w:type="pct"/>
            <w:shd w:val="clear" w:color="auto" w:fill="auto"/>
            <w:vAlign w:val="center"/>
          </w:tcPr>
          <w:p w14:paraId="547F4988" w14:textId="1F981DE2" w:rsidR="0094481B" w:rsidRPr="00781112" w:rsidRDefault="0094481B" w:rsidP="00536B0B">
            <w:pPr>
              <w:jc w:val="center"/>
              <w:rPr>
                <w:b/>
                <w:color w:val="000000" w:themeColor="text1"/>
              </w:rPr>
            </w:pPr>
            <w:r w:rsidRPr="00781112">
              <w:rPr>
                <w:b/>
                <w:color w:val="000000" w:themeColor="text1"/>
              </w:rPr>
              <w:t>2023</w:t>
            </w:r>
          </w:p>
        </w:tc>
        <w:tc>
          <w:tcPr>
            <w:tcW w:w="834" w:type="pct"/>
            <w:vAlign w:val="center"/>
          </w:tcPr>
          <w:p w14:paraId="54E0670C" w14:textId="46A8862B" w:rsidR="0094481B" w:rsidRPr="00781112" w:rsidRDefault="0094481B" w:rsidP="00536B0B">
            <w:pPr>
              <w:jc w:val="center"/>
              <w:rPr>
                <w:b/>
                <w:color w:val="000000" w:themeColor="text1"/>
              </w:rPr>
            </w:pPr>
            <w:r w:rsidRPr="00781112">
              <w:rPr>
                <w:rFonts w:cs="Arial"/>
                <w:b/>
                <w:color w:val="000000" w:themeColor="text1"/>
                <w:szCs w:val="16"/>
              </w:rPr>
              <w:t>2024</w:t>
            </w:r>
          </w:p>
        </w:tc>
        <w:tc>
          <w:tcPr>
            <w:tcW w:w="834" w:type="pct"/>
            <w:vAlign w:val="center"/>
          </w:tcPr>
          <w:p w14:paraId="0317CAEF" w14:textId="4A2FF736" w:rsidR="0094481B" w:rsidRPr="00781112" w:rsidRDefault="0094481B" w:rsidP="00536B0B">
            <w:pPr>
              <w:jc w:val="center"/>
              <w:rPr>
                <w:b/>
                <w:color w:val="000000" w:themeColor="text1"/>
              </w:rPr>
            </w:pPr>
            <w:r w:rsidRPr="00781112">
              <w:rPr>
                <w:rFonts w:cs="Arial"/>
                <w:b/>
                <w:color w:val="000000" w:themeColor="text1"/>
                <w:szCs w:val="16"/>
              </w:rPr>
              <w:t>2025</w:t>
            </w:r>
          </w:p>
        </w:tc>
      </w:tr>
      <w:tr w:rsidR="0094481B" w:rsidRPr="00781112" w14:paraId="6D8B6989" w14:textId="160D0375" w:rsidTr="00FE4611">
        <w:tc>
          <w:tcPr>
            <w:tcW w:w="830" w:type="pct"/>
            <w:shd w:val="clear" w:color="auto" w:fill="auto"/>
            <w:vAlign w:val="center"/>
          </w:tcPr>
          <w:p w14:paraId="1B70FAC0" w14:textId="0849CE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6221F405" w14:textId="189877A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6D2C8AC8" w14:textId="0101FADC"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1794FDC8" w14:textId="2C32479D" w:rsidR="0094481B" w:rsidRPr="00781112" w:rsidRDefault="0094481B" w:rsidP="004E5C74">
            <w:pPr>
              <w:jc w:val="center"/>
              <w:rPr>
                <w:rFonts w:cs="Arial"/>
                <w:color w:val="000000" w:themeColor="text1"/>
                <w:szCs w:val="16"/>
              </w:rPr>
            </w:pPr>
            <w:r w:rsidRPr="00781112">
              <w:rPr>
                <w:rFonts w:cs="Arial"/>
                <w:color w:val="000000" w:themeColor="text1"/>
                <w:szCs w:val="16"/>
              </w:rPr>
              <w:t>21.50%</w:t>
            </w:r>
          </w:p>
        </w:tc>
        <w:tc>
          <w:tcPr>
            <w:tcW w:w="834" w:type="pct"/>
            <w:vAlign w:val="center"/>
          </w:tcPr>
          <w:p w14:paraId="609A7D0F" w14:textId="138D9671" w:rsidR="0094481B" w:rsidRPr="00781112" w:rsidRDefault="0094481B" w:rsidP="004E5C74">
            <w:pPr>
              <w:jc w:val="center"/>
              <w:rPr>
                <w:rFonts w:cs="Arial"/>
                <w:color w:val="000000" w:themeColor="text1"/>
                <w:szCs w:val="16"/>
              </w:rPr>
            </w:pPr>
            <w:r w:rsidRPr="00781112">
              <w:rPr>
                <w:rFonts w:cs="Arial"/>
                <w:color w:val="000000" w:themeColor="text1"/>
                <w:szCs w:val="16"/>
              </w:rPr>
              <w:t>23.50%</w:t>
            </w:r>
          </w:p>
        </w:tc>
        <w:tc>
          <w:tcPr>
            <w:tcW w:w="834" w:type="pct"/>
            <w:vAlign w:val="center"/>
          </w:tcPr>
          <w:p w14:paraId="3DF1FAFA" w14:textId="4C333171" w:rsidR="0094481B" w:rsidRPr="00781112" w:rsidRDefault="0094481B" w:rsidP="004E5C74">
            <w:pPr>
              <w:jc w:val="center"/>
              <w:rPr>
                <w:rFonts w:cs="Arial"/>
                <w:color w:val="000000" w:themeColor="text1"/>
                <w:szCs w:val="16"/>
              </w:rPr>
            </w:pPr>
            <w:r w:rsidRPr="00781112">
              <w:rPr>
                <w:rFonts w:cs="Arial"/>
                <w:color w:val="000000" w:themeColor="text1"/>
                <w:szCs w:val="16"/>
              </w:rPr>
              <w:t>25.50%</w:t>
            </w:r>
          </w:p>
        </w:tc>
      </w:tr>
      <w:tr w:rsidR="0094481B" w:rsidRPr="00781112" w14:paraId="6BD665D1" w14:textId="5FDF63E7" w:rsidTr="00FE4611">
        <w:tc>
          <w:tcPr>
            <w:tcW w:w="830" w:type="pct"/>
            <w:shd w:val="clear" w:color="auto" w:fill="auto"/>
            <w:vAlign w:val="center"/>
          </w:tcPr>
          <w:p w14:paraId="2A84087F" w14:textId="4E8F4953"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646C0D6" w14:textId="23685D2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67079A1D" w14:textId="08C9FD02"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03609D46" w14:textId="75CA57B6" w:rsidR="0094481B" w:rsidRPr="00781112" w:rsidRDefault="0094481B" w:rsidP="004E5C74">
            <w:pPr>
              <w:jc w:val="center"/>
              <w:rPr>
                <w:rFonts w:cs="Arial"/>
                <w:color w:val="000000" w:themeColor="text1"/>
                <w:szCs w:val="16"/>
              </w:rPr>
            </w:pPr>
            <w:r w:rsidRPr="00781112">
              <w:rPr>
                <w:rFonts w:cs="Arial"/>
                <w:color w:val="000000" w:themeColor="text1"/>
                <w:szCs w:val="16"/>
              </w:rPr>
              <w:t>14.50%</w:t>
            </w:r>
          </w:p>
        </w:tc>
        <w:tc>
          <w:tcPr>
            <w:tcW w:w="834" w:type="pct"/>
            <w:vAlign w:val="center"/>
          </w:tcPr>
          <w:p w14:paraId="08D72C36" w14:textId="2621CBFF" w:rsidR="0094481B" w:rsidRPr="00781112" w:rsidRDefault="0094481B" w:rsidP="004E5C74">
            <w:pPr>
              <w:jc w:val="center"/>
              <w:rPr>
                <w:rFonts w:cs="Arial"/>
                <w:color w:val="000000" w:themeColor="text1"/>
                <w:szCs w:val="16"/>
              </w:rPr>
            </w:pPr>
            <w:r w:rsidRPr="00781112">
              <w:rPr>
                <w:rFonts w:cs="Arial"/>
                <w:color w:val="000000" w:themeColor="text1"/>
                <w:szCs w:val="16"/>
              </w:rPr>
              <w:t>16.50%</w:t>
            </w:r>
          </w:p>
        </w:tc>
        <w:tc>
          <w:tcPr>
            <w:tcW w:w="834" w:type="pct"/>
            <w:vAlign w:val="center"/>
          </w:tcPr>
          <w:p w14:paraId="60E9FAA2" w14:textId="0E1508C1" w:rsidR="0094481B" w:rsidRPr="00781112" w:rsidRDefault="0094481B" w:rsidP="004E5C74">
            <w:pPr>
              <w:jc w:val="center"/>
              <w:rPr>
                <w:rFonts w:cs="Arial"/>
                <w:color w:val="000000" w:themeColor="text1"/>
                <w:szCs w:val="16"/>
              </w:rPr>
            </w:pPr>
            <w:r w:rsidRPr="00781112">
              <w:rPr>
                <w:rFonts w:cs="Arial"/>
                <w:color w:val="000000" w:themeColor="text1"/>
                <w:szCs w:val="16"/>
              </w:rPr>
              <w:t>18.50%</w:t>
            </w:r>
          </w:p>
        </w:tc>
      </w:tr>
      <w:tr w:rsidR="0094481B" w:rsidRPr="00781112" w14:paraId="7A08D372" w14:textId="5FBBCE88" w:rsidTr="00FE4611">
        <w:tc>
          <w:tcPr>
            <w:tcW w:w="830" w:type="pct"/>
            <w:shd w:val="clear" w:color="auto" w:fill="auto"/>
            <w:vAlign w:val="center"/>
          </w:tcPr>
          <w:p w14:paraId="3C8DF435" w14:textId="69FCCDF1"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CDE7790" w14:textId="3B90C904"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69727A60" w14:textId="2476755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D9D8EC6" w14:textId="3C7C8315" w:rsidR="0094481B" w:rsidRPr="00781112" w:rsidRDefault="0094481B" w:rsidP="004E5C74">
            <w:pPr>
              <w:jc w:val="center"/>
              <w:rPr>
                <w:rFonts w:cs="Arial"/>
                <w:color w:val="000000" w:themeColor="text1"/>
                <w:szCs w:val="16"/>
              </w:rPr>
            </w:pPr>
            <w:r w:rsidRPr="00781112">
              <w:rPr>
                <w:rFonts w:cs="Arial"/>
                <w:color w:val="000000" w:themeColor="text1"/>
                <w:szCs w:val="16"/>
              </w:rPr>
              <w:t>12.00%</w:t>
            </w:r>
          </w:p>
        </w:tc>
        <w:tc>
          <w:tcPr>
            <w:tcW w:w="834" w:type="pct"/>
            <w:vAlign w:val="center"/>
          </w:tcPr>
          <w:p w14:paraId="6F53672D" w14:textId="674E45B1" w:rsidR="0094481B" w:rsidRPr="00781112" w:rsidRDefault="0094481B" w:rsidP="004E5C74">
            <w:pPr>
              <w:jc w:val="center"/>
              <w:rPr>
                <w:rFonts w:cs="Arial"/>
                <w:color w:val="000000" w:themeColor="text1"/>
                <w:szCs w:val="16"/>
              </w:rPr>
            </w:pPr>
            <w:r w:rsidRPr="00781112">
              <w:rPr>
                <w:rFonts w:cs="Arial"/>
                <w:color w:val="000000" w:themeColor="text1"/>
                <w:szCs w:val="16"/>
              </w:rPr>
              <w:t>14.00%</w:t>
            </w:r>
          </w:p>
        </w:tc>
        <w:tc>
          <w:tcPr>
            <w:tcW w:w="834" w:type="pct"/>
            <w:vAlign w:val="center"/>
          </w:tcPr>
          <w:p w14:paraId="1E839895" w14:textId="3633076A" w:rsidR="0094481B" w:rsidRPr="00781112" w:rsidRDefault="0094481B" w:rsidP="004E5C74">
            <w:pPr>
              <w:jc w:val="center"/>
              <w:rPr>
                <w:rFonts w:cs="Arial"/>
                <w:color w:val="000000" w:themeColor="text1"/>
                <w:szCs w:val="16"/>
              </w:rPr>
            </w:pPr>
            <w:r w:rsidRPr="00781112">
              <w:rPr>
                <w:rFonts w:cs="Arial"/>
                <w:color w:val="000000" w:themeColor="text1"/>
                <w:szCs w:val="16"/>
              </w:rPr>
              <w:t>16.00%</w:t>
            </w:r>
          </w:p>
        </w:tc>
      </w:tr>
      <w:tr w:rsidR="0094481B" w:rsidRPr="00781112" w14:paraId="734BCCC4" w14:textId="02B757A8" w:rsidTr="00FE4611">
        <w:tc>
          <w:tcPr>
            <w:tcW w:w="830" w:type="pct"/>
            <w:shd w:val="clear" w:color="auto" w:fill="auto"/>
            <w:vAlign w:val="center"/>
          </w:tcPr>
          <w:p w14:paraId="20286AC8" w14:textId="018C9C4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185C8DA8" w14:textId="625489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16FD84A2" w14:textId="1BD2010B"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0005999A" w14:textId="601F796F" w:rsidR="0094481B" w:rsidRPr="00781112" w:rsidRDefault="0094481B" w:rsidP="004E5C74">
            <w:pPr>
              <w:jc w:val="center"/>
              <w:rPr>
                <w:rFonts w:cs="Arial"/>
                <w:color w:val="000000" w:themeColor="text1"/>
                <w:szCs w:val="16"/>
              </w:rPr>
            </w:pPr>
            <w:r w:rsidRPr="00781112">
              <w:rPr>
                <w:rFonts w:cs="Arial"/>
                <w:color w:val="000000" w:themeColor="text1"/>
                <w:szCs w:val="16"/>
              </w:rPr>
              <w:t>17.50%</w:t>
            </w:r>
          </w:p>
        </w:tc>
        <w:tc>
          <w:tcPr>
            <w:tcW w:w="834" w:type="pct"/>
            <w:vAlign w:val="center"/>
          </w:tcPr>
          <w:p w14:paraId="2ADA59C0" w14:textId="7F027C54" w:rsidR="0094481B" w:rsidRPr="00781112" w:rsidRDefault="0094481B" w:rsidP="004E5C74">
            <w:pPr>
              <w:jc w:val="center"/>
              <w:rPr>
                <w:rFonts w:cs="Arial"/>
                <w:color w:val="000000" w:themeColor="text1"/>
                <w:szCs w:val="16"/>
              </w:rPr>
            </w:pPr>
            <w:r w:rsidRPr="00781112">
              <w:rPr>
                <w:rFonts w:cs="Arial"/>
                <w:color w:val="000000" w:themeColor="text1"/>
                <w:szCs w:val="16"/>
              </w:rPr>
              <w:t>19.50%</w:t>
            </w:r>
          </w:p>
        </w:tc>
        <w:tc>
          <w:tcPr>
            <w:tcW w:w="834" w:type="pct"/>
            <w:vAlign w:val="center"/>
          </w:tcPr>
          <w:p w14:paraId="63258519" w14:textId="524B5DC2" w:rsidR="0094481B" w:rsidRPr="00781112" w:rsidRDefault="0094481B" w:rsidP="004E5C74">
            <w:pPr>
              <w:jc w:val="center"/>
              <w:rPr>
                <w:rFonts w:cs="Arial"/>
                <w:color w:val="000000" w:themeColor="text1"/>
                <w:szCs w:val="16"/>
              </w:rPr>
            </w:pPr>
            <w:r w:rsidRPr="00781112">
              <w:rPr>
                <w:rFonts w:cs="Arial"/>
                <w:color w:val="000000" w:themeColor="text1"/>
                <w:szCs w:val="16"/>
              </w:rPr>
              <w:t>21.50%</w:t>
            </w:r>
          </w:p>
        </w:tc>
      </w:tr>
      <w:tr w:rsidR="0094481B" w:rsidRPr="00781112" w14:paraId="26043383" w14:textId="3D057A6F" w:rsidTr="00FE4611">
        <w:tc>
          <w:tcPr>
            <w:tcW w:w="830" w:type="pct"/>
            <w:shd w:val="clear" w:color="auto" w:fill="auto"/>
            <w:vAlign w:val="center"/>
          </w:tcPr>
          <w:p w14:paraId="2BCD3006" w14:textId="785241B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79B80F0C" w14:textId="52C3185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27B1E35D" w14:textId="336183A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25263A65" w14:textId="2189A9FC" w:rsidR="0094481B" w:rsidRPr="00781112" w:rsidRDefault="0094481B" w:rsidP="004E5C74">
            <w:pPr>
              <w:jc w:val="center"/>
              <w:rPr>
                <w:rFonts w:cs="Arial"/>
                <w:color w:val="000000" w:themeColor="text1"/>
                <w:szCs w:val="16"/>
              </w:rPr>
            </w:pPr>
            <w:r w:rsidRPr="00781112">
              <w:rPr>
                <w:rFonts w:cs="Arial"/>
                <w:color w:val="000000" w:themeColor="text1"/>
                <w:szCs w:val="16"/>
              </w:rPr>
              <w:t>10.00%</w:t>
            </w:r>
          </w:p>
        </w:tc>
        <w:tc>
          <w:tcPr>
            <w:tcW w:w="834" w:type="pct"/>
            <w:vAlign w:val="center"/>
          </w:tcPr>
          <w:p w14:paraId="558D49D9" w14:textId="56776B71" w:rsidR="0094481B" w:rsidRPr="00781112" w:rsidRDefault="0094481B" w:rsidP="004E5C74">
            <w:pPr>
              <w:jc w:val="center"/>
              <w:rPr>
                <w:rFonts w:cs="Arial"/>
                <w:color w:val="000000" w:themeColor="text1"/>
                <w:szCs w:val="16"/>
              </w:rPr>
            </w:pPr>
            <w:r w:rsidRPr="00781112">
              <w:rPr>
                <w:rFonts w:cs="Arial"/>
                <w:color w:val="000000" w:themeColor="text1"/>
                <w:szCs w:val="16"/>
              </w:rPr>
              <w:t>12.00%</w:t>
            </w:r>
          </w:p>
        </w:tc>
        <w:tc>
          <w:tcPr>
            <w:tcW w:w="834" w:type="pct"/>
            <w:vAlign w:val="center"/>
          </w:tcPr>
          <w:p w14:paraId="529C7F25" w14:textId="45E82B2D" w:rsidR="0094481B" w:rsidRPr="00781112" w:rsidRDefault="0094481B" w:rsidP="004E5C74">
            <w:pPr>
              <w:jc w:val="center"/>
              <w:rPr>
                <w:rFonts w:cs="Arial"/>
                <w:color w:val="000000" w:themeColor="text1"/>
                <w:szCs w:val="16"/>
              </w:rPr>
            </w:pPr>
            <w:r w:rsidRPr="00781112">
              <w:rPr>
                <w:rFonts w:cs="Arial"/>
                <w:color w:val="000000" w:themeColor="text1"/>
                <w:szCs w:val="16"/>
              </w:rPr>
              <w:t>14.00%</w:t>
            </w:r>
          </w:p>
        </w:tc>
      </w:tr>
      <w:tr w:rsidR="0094481B" w:rsidRPr="00781112" w14:paraId="169D5323" w14:textId="1CB4A506" w:rsidTr="00FE4611">
        <w:tc>
          <w:tcPr>
            <w:tcW w:w="830" w:type="pct"/>
            <w:shd w:val="clear" w:color="auto" w:fill="auto"/>
            <w:vAlign w:val="center"/>
          </w:tcPr>
          <w:p w14:paraId="21DAE194" w14:textId="06AF53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650CB8D7" w14:textId="080D02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45DBFB21" w14:textId="372229DD"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341BF449" w14:textId="76191C29" w:rsidR="0094481B" w:rsidRPr="00781112" w:rsidRDefault="0094481B" w:rsidP="004E5C74">
            <w:pPr>
              <w:jc w:val="center"/>
              <w:rPr>
                <w:rFonts w:cs="Arial"/>
                <w:color w:val="000000" w:themeColor="text1"/>
                <w:szCs w:val="16"/>
              </w:rPr>
            </w:pPr>
            <w:r w:rsidRPr="00781112">
              <w:rPr>
                <w:rFonts w:cs="Arial"/>
                <w:color w:val="000000" w:themeColor="text1"/>
                <w:szCs w:val="16"/>
              </w:rPr>
              <w:t>11.00%</w:t>
            </w:r>
          </w:p>
        </w:tc>
        <w:tc>
          <w:tcPr>
            <w:tcW w:w="834" w:type="pct"/>
            <w:vAlign w:val="center"/>
          </w:tcPr>
          <w:p w14:paraId="5424FF66" w14:textId="7AB6DE06" w:rsidR="0094481B" w:rsidRPr="00781112" w:rsidRDefault="0094481B" w:rsidP="004E5C74">
            <w:pPr>
              <w:jc w:val="center"/>
              <w:rPr>
                <w:rFonts w:cs="Arial"/>
                <w:color w:val="000000" w:themeColor="text1"/>
                <w:szCs w:val="16"/>
              </w:rPr>
            </w:pPr>
            <w:r w:rsidRPr="00781112">
              <w:rPr>
                <w:rFonts w:cs="Arial"/>
                <w:color w:val="000000" w:themeColor="text1"/>
                <w:szCs w:val="16"/>
              </w:rPr>
              <w:t>13.00%</w:t>
            </w:r>
          </w:p>
        </w:tc>
        <w:tc>
          <w:tcPr>
            <w:tcW w:w="834" w:type="pct"/>
            <w:vAlign w:val="center"/>
          </w:tcPr>
          <w:p w14:paraId="552DC3D3" w14:textId="79B2C0C8" w:rsidR="0094481B" w:rsidRPr="00781112" w:rsidRDefault="0094481B" w:rsidP="004E5C74">
            <w:pPr>
              <w:jc w:val="center"/>
              <w:rPr>
                <w:rFonts w:cs="Arial"/>
                <w:color w:val="000000" w:themeColor="text1"/>
                <w:szCs w:val="16"/>
              </w:rPr>
            </w:pPr>
            <w:r w:rsidRPr="00781112">
              <w:rPr>
                <w:rFonts w:cs="Arial"/>
                <w:color w:val="000000" w:themeColor="text1"/>
                <w:szCs w:val="16"/>
              </w:rPr>
              <w:t>15.00%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18FFE566" w14:textId="1BC11D3C" w:rsidR="002D145D" w:rsidRPr="00781112" w:rsidRDefault="002B7490" w:rsidP="002D145D">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w:t>
      </w:r>
      <w:r w:rsidRPr="00781112">
        <w:rPr>
          <w:rFonts w:cs="Arial"/>
          <w:color w:val="000000" w:themeColor="text1"/>
          <w:szCs w:val="16"/>
        </w:rPr>
        <w:lastRenderedPageBreak/>
        <w:t xml:space="preserve">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2C104549" w14:textId="03A0AB0D" w:rsidR="002D145D" w:rsidRPr="00781112" w:rsidRDefault="002D145D" w:rsidP="002D145D">
      <w:pPr>
        <w:rPr>
          <w:rFonts w:cs="Arial"/>
          <w:color w:val="000000" w:themeColor="text1"/>
          <w:szCs w:val="16"/>
        </w:rPr>
      </w:pPr>
    </w:p>
    <w:p w14:paraId="2446B7C2" w14:textId="77777777" w:rsidR="00F20369" w:rsidRPr="00781112" w:rsidRDefault="00F20369" w:rsidP="004369B2">
      <w:pPr>
        <w:rPr>
          <w:color w:val="000000" w:themeColor="text1"/>
        </w:rPr>
      </w:pPr>
      <w:bookmarkStart w:id="17" w:name="_Toc392159273"/>
    </w:p>
    <w:p w14:paraId="2F64E7B3" w14:textId="5A2175D9" w:rsidR="00344AE0"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01/08/2025</w:t>
      </w:r>
    </w:p>
    <w:p w14:paraId="59BC6B2E" w14:textId="5FAC9B9E"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6,942</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5,207</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4,478</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685</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152</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76</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479</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503</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378</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lastRenderedPageBreak/>
        <w:t>SY 2023-24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33DEC24F" w14:textId="3FF3A0AF" w:rsidR="005D18BE" w:rsidRPr="00781112" w:rsidRDefault="002B7490" w:rsidP="00552927">
      <w:pPr>
        <w:rPr>
          <w:rFonts w:cs="Arial"/>
          <w:color w:val="000000" w:themeColor="text1"/>
          <w:szCs w:val="16"/>
        </w:rPr>
      </w:pPr>
      <w:r w:rsidRPr="00781112">
        <w:rPr>
          <w:rFonts w:cs="Arial"/>
          <w:color w:val="000000" w:themeColor="text1"/>
          <w:szCs w:val="16"/>
        </w:rPr>
        <w:t>01/08/2025</w:t>
      </w:r>
    </w:p>
    <w:p w14:paraId="5767F488" w14:textId="3F393894"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6,943</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5,210</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4,620</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696</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114</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75</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513</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283</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477</w:t>
            </w:r>
          </w:p>
        </w:tc>
      </w:tr>
    </w:tbl>
    <w:bookmarkEnd w:id="17"/>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50B2F028" w:rsidR="00E539AB"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7BB3FEB4"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3E51680E" w14:textId="433F26DE" w:rsidR="00FA33C9" w:rsidRPr="00073BD7" w:rsidRDefault="00FA33C9" w:rsidP="00FA33C9">
            <w:pPr>
              <w:jc w:val="center"/>
              <w:rPr>
                <w:b/>
                <w:bCs/>
                <w:color w:val="000000" w:themeColor="text1"/>
              </w:rPr>
            </w:pPr>
            <w:r w:rsidRPr="00073BD7">
              <w:rPr>
                <w:b/>
                <w:bCs/>
              </w:rPr>
              <w:t>FFY 2023 Target</w:t>
            </w:r>
          </w:p>
        </w:tc>
        <w:tc>
          <w:tcPr>
            <w:tcW w:w="503" w:type="pct"/>
            <w:shd w:val="clear" w:color="auto" w:fill="auto"/>
            <w:vAlign w:val="bottom"/>
          </w:tcPr>
          <w:p w14:paraId="29685ECA" w14:textId="68C2E6A4" w:rsidR="00FA33C9" w:rsidRPr="00073BD7" w:rsidRDefault="00FA33C9" w:rsidP="00FA33C9">
            <w:pPr>
              <w:jc w:val="center"/>
              <w:rPr>
                <w:b/>
                <w:bCs/>
                <w:color w:val="000000" w:themeColor="text1"/>
              </w:rPr>
            </w:pPr>
            <w:r w:rsidRPr="00073BD7">
              <w:rPr>
                <w:b/>
                <w:bCs/>
              </w:rPr>
              <w:t>FFY 2023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1,164</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6,942</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17.19%</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21.50%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16.77%</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655</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5,207</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11.18%</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14.50%</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12.58%</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454</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4,478</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10.23%</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12.00%</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10.14%</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1E0C977F" w14:textId="77777777" w:rsidR="005004AB" w:rsidRPr="00781112" w:rsidRDefault="005004AB" w:rsidP="005004AB">
      <w:pPr>
        <w:rPr>
          <w:color w:val="000000" w:themeColor="text1"/>
        </w:rPr>
      </w:pPr>
    </w:p>
    <w:p w14:paraId="324457C6" w14:textId="1817132C" w:rsidR="00497DE4" w:rsidRPr="00781112" w:rsidRDefault="0047313F" w:rsidP="004369B2">
      <w:pPr>
        <w:rPr>
          <w:b/>
          <w:color w:val="000000" w:themeColor="text1"/>
        </w:rPr>
      </w:pPr>
      <w:r>
        <w:rPr>
          <w:b/>
          <w:color w:val="000000" w:themeColor="text1"/>
        </w:rPr>
        <w:t>FFY 2023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4847408C"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69212BFA" w14:textId="70841239" w:rsidR="00FA33C9" w:rsidRPr="00073BD7" w:rsidRDefault="00FA33C9" w:rsidP="00FA33C9">
            <w:pPr>
              <w:jc w:val="center"/>
              <w:rPr>
                <w:b/>
                <w:bCs/>
                <w:color w:val="000000" w:themeColor="text1"/>
              </w:rPr>
            </w:pPr>
            <w:r w:rsidRPr="00073BD7">
              <w:rPr>
                <w:b/>
                <w:bCs/>
              </w:rPr>
              <w:t>FFY 2023 Target</w:t>
            </w:r>
          </w:p>
        </w:tc>
        <w:tc>
          <w:tcPr>
            <w:tcW w:w="500" w:type="pct"/>
            <w:shd w:val="clear" w:color="auto" w:fill="auto"/>
            <w:vAlign w:val="bottom"/>
          </w:tcPr>
          <w:p w14:paraId="38A0F56E" w14:textId="15BC0CF8" w:rsidR="00FA33C9" w:rsidRPr="00073BD7" w:rsidRDefault="00FA33C9" w:rsidP="00FA33C9">
            <w:pPr>
              <w:jc w:val="center"/>
              <w:rPr>
                <w:b/>
                <w:bCs/>
                <w:color w:val="000000" w:themeColor="text1"/>
              </w:rPr>
            </w:pPr>
            <w:r w:rsidRPr="00073BD7">
              <w:rPr>
                <w:b/>
                <w:bCs/>
              </w:rPr>
              <w:t>FFY 2023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1,209</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6,943</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16.10%</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17.50%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17.41%</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397</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5,210</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6.40%</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10.00%</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7.62%</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552</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4,620</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12.03%</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11.00%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11.95%</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197C30C8" w14:textId="77777777" w:rsidR="00CF57A2" w:rsidRPr="00781112" w:rsidRDefault="00CF57A2" w:rsidP="00580134">
      <w:pPr>
        <w:rPr>
          <w:rFonts w:cs="Arial"/>
          <w:iCs/>
          <w:color w:val="000000" w:themeColor="text1"/>
          <w:szCs w:val="16"/>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lastRenderedPageBreak/>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 xml:space="preserve">The "Regular and Alternate Test Summary" publicly reports participation and performance results for children with disabilities on regular assessments - with or without accommodations - and alternate assessments. </w:t>
      </w:r>
      <w:r w:rsidRPr="00781112">
        <w:rPr>
          <w:rFonts w:cs="Arial"/>
          <w:color w:val="000000" w:themeColor="text1"/>
          <w:szCs w:val="16"/>
        </w:rPr>
        <w:br/>
      </w:r>
      <w:r w:rsidRPr="00781112">
        <w:rPr>
          <w:rFonts w:cs="Arial"/>
          <w:color w:val="000000" w:themeColor="text1"/>
          <w:szCs w:val="16"/>
        </w:rPr>
        <w:br/>
        <w:t>For Spring 2024 results found under the Special Education Data section, use the following link:</w:t>
      </w:r>
      <w:r w:rsidRPr="00781112">
        <w:rPr>
          <w:rFonts w:cs="Arial"/>
          <w:color w:val="000000" w:themeColor="text1"/>
          <w:szCs w:val="16"/>
        </w:rPr>
        <w:br/>
        <w:t>https://doe.louisiana.gov/data-and-reports/elementary-and-middle-school-performance</w:t>
      </w:r>
    </w:p>
    <w:p w14:paraId="2BE473B4" w14:textId="77777777" w:rsidR="00053391" w:rsidRPr="00781112" w:rsidRDefault="00053391" w:rsidP="004369B2">
      <w:pPr>
        <w:rPr>
          <w:b/>
          <w:color w:val="000000" w:themeColor="text1"/>
        </w:rPr>
      </w:pPr>
      <w:bookmarkStart w:id="18" w:name="_Toc382082367"/>
      <w:bookmarkStart w:id="19" w:name="_Toc392159276"/>
      <w:r w:rsidRPr="00781112">
        <w:rPr>
          <w:b/>
          <w:color w:val="000000" w:themeColor="text1"/>
        </w:rPr>
        <w:t>Provide additional information about this indicator (optional)</w:t>
      </w:r>
    </w:p>
    <w:p w14:paraId="3E9E8793" w14:textId="126D5C73" w:rsidR="00A869E9" w:rsidRPr="00781112" w:rsidRDefault="002B7490" w:rsidP="000E33D0">
      <w:pPr>
        <w:rPr>
          <w:rFonts w:cs="Arial"/>
          <w:color w:val="000000" w:themeColor="text1"/>
          <w:szCs w:val="16"/>
        </w:rPr>
      </w:pPr>
      <w:r w:rsidRPr="00781112">
        <w:rPr>
          <w:rFonts w:cs="Arial"/>
          <w:color w:val="000000" w:themeColor="text1"/>
          <w:szCs w:val="16"/>
        </w:rPr>
        <w:t xml:space="preserve">Beginning in FFY 2020, the State defined proficiency as scoring Mastery+ instead of Basic+ on statewide assessments raising the bar for all students, including students with disabilities. Louisiana is excited to see continued gains and evidence that statewide evidence-based practices are resulting in learning recovery. </w:t>
      </w: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8"/>
      <w:bookmarkEnd w:id="19"/>
    </w:p>
    <w:p w14:paraId="52EFBCBE" w14:textId="631E98F3" w:rsidR="008878CC" w:rsidRPr="002C274F" w:rsidRDefault="008878CC" w:rsidP="002C274F">
      <w:pPr>
        <w:rPr>
          <w:b/>
          <w:bCs/>
          <w:sz w:val="20"/>
          <w:szCs w:val="20"/>
        </w:rPr>
      </w:pPr>
      <w:r w:rsidRPr="002C274F">
        <w:rPr>
          <w:b/>
          <w:bCs/>
          <w:sz w:val="20"/>
          <w:szCs w:val="20"/>
        </w:rPr>
        <w:t xml:space="preserve">Instructions and Measurement </w:t>
      </w:r>
    </w:p>
    <w:p w14:paraId="241F1C78" w14:textId="77777777" w:rsidR="000A5A2E" w:rsidRPr="00781112" w:rsidRDefault="000A5A2E" w:rsidP="004369B2">
      <w:pPr>
        <w:rPr>
          <w:color w:val="000000" w:themeColor="text1"/>
        </w:rPr>
      </w:pPr>
      <w:bookmarkStart w:id="20" w:name="_Toc384383330"/>
      <w:bookmarkStart w:id="21" w:name="_Toc392159282"/>
      <w:bookmarkStart w:id="22"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FA3044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50.65%</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56.70%</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71.59%</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51.69%</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59.34%</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49.65%</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tblGrid>
      <w:tr w:rsidR="0094481B" w:rsidRPr="00781112" w14:paraId="6FE97918" w14:textId="1BF8CF9D" w:rsidTr="00FE4611">
        <w:tc>
          <w:tcPr>
            <w:tcW w:w="579" w:type="pct"/>
            <w:tcBorders>
              <w:bottom w:val="single" w:sz="4" w:space="0" w:color="auto"/>
            </w:tcBorders>
            <w:shd w:val="clear" w:color="auto" w:fill="auto"/>
          </w:tcPr>
          <w:p w14:paraId="5CDF6985" w14:textId="5342FC63" w:rsidR="0094481B" w:rsidRPr="00781112" w:rsidRDefault="0094481B" w:rsidP="00561042">
            <w:pPr>
              <w:jc w:val="center"/>
              <w:rPr>
                <w:b/>
                <w:color w:val="000000" w:themeColor="text1"/>
              </w:rPr>
            </w:pPr>
            <w:r w:rsidRPr="00781112">
              <w:rPr>
                <w:b/>
                <w:color w:val="000000" w:themeColor="text1"/>
              </w:rPr>
              <w:t>Subject</w:t>
            </w:r>
          </w:p>
        </w:tc>
        <w:tc>
          <w:tcPr>
            <w:tcW w:w="497" w:type="pct"/>
            <w:tcBorders>
              <w:bottom w:val="single" w:sz="4" w:space="0" w:color="auto"/>
            </w:tcBorders>
            <w:shd w:val="clear" w:color="auto" w:fill="auto"/>
          </w:tcPr>
          <w:p w14:paraId="01DFF2B4" w14:textId="2094C240" w:rsidR="0094481B" w:rsidRPr="00781112" w:rsidRDefault="0094481B" w:rsidP="00561042">
            <w:pPr>
              <w:jc w:val="center"/>
              <w:rPr>
                <w:b/>
                <w:color w:val="000000" w:themeColor="text1"/>
              </w:rPr>
            </w:pPr>
            <w:r w:rsidRPr="00781112">
              <w:rPr>
                <w:b/>
                <w:color w:val="000000" w:themeColor="text1"/>
              </w:rPr>
              <w:t>Group</w:t>
            </w:r>
          </w:p>
        </w:tc>
        <w:tc>
          <w:tcPr>
            <w:tcW w:w="1239" w:type="pct"/>
            <w:shd w:val="clear" w:color="auto" w:fill="auto"/>
          </w:tcPr>
          <w:p w14:paraId="3976F221" w14:textId="32F28582" w:rsidR="0094481B" w:rsidRPr="00781112" w:rsidDel="008E7B87" w:rsidRDefault="0094481B" w:rsidP="00561042">
            <w:pPr>
              <w:jc w:val="center"/>
              <w:rPr>
                <w:b/>
                <w:color w:val="000000" w:themeColor="text1"/>
              </w:rPr>
            </w:pPr>
            <w:r w:rsidRPr="00781112">
              <w:rPr>
                <w:b/>
                <w:color w:val="000000" w:themeColor="text1"/>
              </w:rPr>
              <w:t>Group Name</w:t>
            </w:r>
          </w:p>
        </w:tc>
        <w:tc>
          <w:tcPr>
            <w:tcW w:w="895" w:type="pct"/>
            <w:shd w:val="clear" w:color="auto" w:fill="auto"/>
          </w:tcPr>
          <w:p w14:paraId="076E9FA3" w14:textId="2BDFEC53" w:rsidR="0094481B" w:rsidRPr="00781112" w:rsidRDefault="0094481B" w:rsidP="00561042">
            <w:pPr>
              <w:jc w:val="center"/>
              <w:rPr>
                <w:b/>
                <w:color w:val="000000" w:themeColor="text1"/>
              </w:rPr>
            </w:pPr>
            <w:r w:rsidRPr="00781112">
              <w:rPr>
                <w:b/>
                <w:color w:val="000000" w:themeColor="text1"/>
              </w:rPr>
              <w:t>2023</w:t>
            </w:r>
          </w:p>
        </w:tc>
        <w:tc>
          <w:tcPr>
            <w:tcW w:w="895" w:type="pct"/>
            <w:vAlign w:val="center"/>
          </w:tcPr>
          <w:p w14:paraId="2A95FA03" w14:textId="46828D1C" w:rsidR="0094481B" w:rsidRPr="00781112" w:rsidRDefault="0094481B" w:rsidP="00561042">
            <w:pPr>
              <w:jc w:val="center"/>
              <w:rPr>
                <w:b/>
                <w:color w:val="000000" w:themeColor="text1"/>
              </w:rPr>
            </w:pPr>
            <w:r w:rsidRPr="00781112">
              <w:rPr>
                <w:rFonts w:cs="Arial"/>
                <w:b/>
                <w:color w:val="000000" w:themeColor="text1"/>
                <w:szCs w:val="16"/>
              </w:rPr>
              <w:t>2024</w:t>
            </w:r>
          </w:p>
        </w:tc>
        <w:tc>
          <w:tcPr>
            <w:tcW w:w="895" w:type="pct"/>
            <w:vAlign w:val="center"/>
          </w:tcPr>
          <w:p w14:paraId="56A4FE1C" w14:textId="196C362E" w:rsidR="0094481B" w:rsidRPr="00781112" w:rsidRDefault="0094481B" w:rsidP="00561042">
            <w:pPr>
              <w:jc w:val="center"/>
              <w:rPr>
                <w:b/>
                <w:color w:val="000000" w:themeColor="text1"/>
              </w:rPr>
            </w:pPr>
            <w:r w:rsidRPr="00781112">
              <w:rPr>
                <w:rFonts w:cs="Arial"/>
                <w:b/>
                <w:color w:val="000000" w:themeColor="text1"/>
                <w:szCs w:val="16"/>
              </w:rPr>
              <w:t>2025</w:t>
            </w:r>
          </w:p>
        </w:tc>
      </w:tr>
      <w:tr w:rsidR="0094481B" w:rsidRPr="00781112" w14:paraId="24016D03" w14:textId="0FC0BA7B" w:rsidTr="00FE4611">
        <w:tc>
          <w:tcPr>
            <w:tcW w:w="579" w:type="pct"/>
            <w:shd w:val="clear" w:color="auto" w:fill="auto"/>
            <w:vAlign w:val="center"/>
          </w:tcPr>
          <w:p w14:paraId="6AD78348"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68D451C5" w14:textId="0D62DF33"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10A86524" w14:textId="5A63BB4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3451F312" w14:textId="2295E6F6" w:rsidR="0094481B" w:rsidRPr="00781112" w:rsidRDefault="0094481B" w:rsidP="00D13592">
            <w:pPr>
              <w:jc w:val="center"/>
              <w:rPr>
                <w:rFonts w:cs="Arial"/>
                <w:color w:val="000000" w:themeColor="text1"/>
                <w:szCs w:val="16"/>
              </w:rPr>
            </w:pPr>
            <w:r w:rsidRPr="00781112">
              <w:rPr>
                <w:rFonts w:cs="Arial"/>
                <w:color w:val="000000" w:themeColor="text1"/>
                <w:szCs w:val="16"/>
              </w:rPr>
              <w:t>56.00%</w:t>
            </w:r>
          </w:p>
        </w:tc>
        <w:tc>
          <w:tcPr>
            <w:tcW w:w="895" w:type="pct"/>
            <w:vAlign w:val="center"/>
          </w:tcPr>
          <w:p w14:paraId="1A23D563" w14:textId="56F68959" w:rsidR="0094481B" w:rsidRPr="00781112" w:rsidRDefault="0094481B" w:rsidP="00D13592">
            <w:pPr>
              <w:jc w:val="center"/>
              <w:rPr>
                <w:rFonts w:cs="Arial"/>
                <w:color w:val="000000" w:themeColor="text1"/>
                <w:szCs w:val="16"/>
              </w:rPr>
            </w:pPr>
            <w:r w:rsidRPr="00781112">
              <w:rPr>
                <w:rFonts w:cs="Arial"/>
                <w:color w:val="000000" w:themeColor="text1"/>
                <w:szCs w:val="16"/>
              </w:rPr>
              <w:t>58.00%</w:t>
            </w:r>
          </w:p>
        </w:tc>
        <w:tc>
          <w:tcPr>
            <w:tcW w:w="895" w:type="pct"/>
            <w:vAlign w:val="center"/>
          </w:tcPr>
          <w:p w14:paraId="6BBDE651" w14:textId="47B65FE0" w:rsidR="0094481B" w:rsidRPr="00781112" w:rsidRDefault="0094481B" w:rsidP="00D13592">
            <w:pPr>
              <w:jc w:val="center"/>
              <w:rPr>
                <w:rFonts w:cs="Arial"/>
                <w:color w:val="000000" w:themeColor="text1"/>
                <w:szCs w:val="16"/>
              </w:rPr>
            </w:pPr>
            <w:r w:rsidRPr="00781112">
              <w:rPr>
                <w:rFonts w:cs="Arial"/>
                <w:color w:val="000000" w:themeColor="text1"/>
                <w:szCs w:val="16"/>
              </w:rPr>
              <w:t>60.00%</w:t>
            </w:r>
          </w:p>
        </w:tc>
      </w:tr>
      <w:tr w:rsidR="0094481B" w:rsidRPr="00781112" w14:paraId="4229AE62" w14:textId="33381C2A" w:rsidTr="00FE4611">
        <w:tc>
          <w:tcPr>
            <w:tcW w:w="579" w:type="pct"/>
            <w:shd w:val="clear" w:color="auto" w:fill="auto"/>
            <w:vAlign w:val="center"/>
          </w:tcPr>
          <w:p w14:paraId="65BFCE1A" w14:textId="0D697A5F"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0A529643" w14:textId="2519635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62F8D3A7" w14:textId="0DE3112A"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1D5B4183" w14:textId="1238BC64" w:rsidR="0094481B" w:rsidRPr="00781112" w:rsidRDefault="0094481B" w:rsidP="00D13592">
            <w:pPr>
              <w:jc w:val="center"/>
              <w:rPr>
                <w:rFonts w:cs="Arial"/>
                <w:color w:val="000000" w:themeColor="text1"/>
                <w:szCs w:val="16"/>
              </w:rPr>
            </w:pPr>
            <w:r w:rsidRPr="00781112">
              <w:rPr>
                <w:rFonts w:cs="Arial"/>
                <w:color w:val="000000" w:themeColor="text1"/>
                <w:szCs w:val="16"/>
              </w:rPr>
              <w:t>62.00%</w:t>
            </w:r>
          </w:p>
        </w:tc>
        <w:tc>
          <w:tcPr>
            <w:tcW w:w="895" w:type="pct"/>
            <w:vAlign w:val="center"/>
          </w:tcPr>
          <w:p w14:paraId="200F306C" w14:textId="40F15380" w:rsidR="0094481B" w:rsidRPr="00781112" w:rsidRDefault="0094481B" w:rsidP="00D13592">
            <w:pPr>
              <w:jc w:val="center"/>
              <w:rPr>
                <w:rFonts w:cs="Arial"/>
                <w:color w:val="000000" w:themeColor="text1"/>
                <w:szCs w:val="16"/>
              </w:rPr>
            </w:pPr>
            <w:r w:rsidRPr="00781112">
              <w:rPr>
                <w:rFonts w:cs="Arial"/>
                <w:color w:val="000000" w:themeColor="text1"/>
                <w:szCs w:val="16"/>
              </w:rPr>
              <w:t>64.00%</w:t>
            </w:r>
          </w:p>
        </w:tc>
        <w:tc>
          <w:tcPr>
            <w:tcW w:w="895" w:type="pct"/>
            <w:vAlign w:val="center"/>
          </w:tcPr>
          <w:p w14:paraId="01C155DC" w14:textId="32FC3C15" w:rsidR="0094481B" w:rsidRPr="00781112" w:rsidRDefault="0094481B" w:rsidP="00D13592">
            <w:pPr>
              <w:jc w:val="center"/>
              <w:rPr>
                <w:rFonts w:cs="Arial"/>
                <w:color w:val="000000" w:themeColor="text1"/>
                <w:szCs w:val="16"/>
              </w:rPr>
            </w:pPr>
            <w:r w:rsidRPr="00781112">
              <w:rPr>
                <w:rFonts w:cs="Arial"/>
                <w:color w:val="000000" w:themeColor="text1"/>
                <w:szCs w:val="16"/>
              </w:rPr>
              <w:t>66.00%</w:t>
            </w:r>
          </w:p>
        </w:tc>
      </w:tr>
      <w:tr w:rsidR="0094481B" w:rsidRPr="00781112" w14:paraId="53D446D4" w14:textId="31EA6E11" w:rsidTr="00FE4611">
        <w:tc>
          <w:tcPr>
            <w:tcW w:w="579" w:type="pct"/>
            <w:shd w:val="clear" w:color="auto" w:fill="auto"/>
            <w:vAlign w:val="center"/>
          </w:tcPr>
          <w:p w14:paraId="5413BB65" w14:textId="22884284"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1408EAB6" w14:textId="5A0418A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6E4FCBFF" w14:textId="158A4AA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520F380" w14:textId="38C36219" w:rsidR="0094481B" w:rsidRPr="00781112" w:rsidRDefault="0094481B" w:rsidP="00D13592">
            <w:pPr>
              <w:jc w:val="center"/>
              <w:rPr>
                <w:rFonts w:cs="Arial"/>
                <w:color w:val="000000" w:themeColor="text1"/>
                <w:szCs w:val="16"/>
              </w:rPr>
            </w:pPr>
            <w:r w:rsidRPr="00781112">
              <w:rPr>
                <w:rFonts w:cs="Arial"/>
                <w:color w:val="000000" w:themeColor="text1"/>
                <w:szCs w:val="16"/>
              </w:rPr>
              <w:t>77.00%</w:t>
            </w:r>
          </w:p>
        </w:tc>
        <w:tc>
          <w:tcPr>
            <w:tcW w:w="895" w:type="pct"/>
            <w:vAlign w:val="center"/>
          </w:tcPr>
          <w:p w14:paraId="3305DD14" w14:textId="4DBBF69C" w:rsidR="0094481B" w:rsidRPr="00781112" w:rsidRDefault="0094481B" w:rsidP="00D13592">
            <w:pPr>
              <w:jc w:val="center"/>
              <w:rPr>
                <w:rFonts w:cs="Arial"/>
                <w:color w:val="000000" w:themeColor="text1"/>
                <w:szCs w:val="16"/>
              </w:rPr>
            </w:pPr>
            <w:r w:rsidRPr="00781112">
              <w:rPr>
                <w:rFonts w:cs="Arial"/>
                <w:color w:val="000000" w:themeColor="text1"/>
                <w:szCs w:val="16"/>
              </w:rPr>
              <w:t>79.00%</w:t>
            </w:r>
          </w:p>
        </w:tc>
        <w:tc>
          <w:tcPr>
            <w:tcW w:w="895" w:type="pct"/>
            <w:vAlign w:val="center"/>
          </w:tcPr>
          <w:p w14:paraId="02FF2601" w14:textId="545909AE" w:rsidR="0094481B" w:rsidRPr="00781112" w:rsidRDefault="0094481B" w:rsidP="00D13592">
            <w:pPr>
              <w:jc w:val="center"/>
              <w:rPr>
                <w:rFonts w:cs="Arial"/>
                <w:color w:val="000000" w:themeColor="text1"/>
                <w:szCs w:val="16"/>
              </w:rPr>
            </w:pPr>
            <w:r w:rsidRPr="00781112">
              <w:rPr>
                <w:rFonts w:cs="Arial"/>
                <w:color w:val="000000" w:themeColor="text1"/>
                <w:szCs w:val="16"/>
              </w:rPr>
              <w:t>81.00%</w:t>
            </w:r>
          </w:p>
        </w:tc>
      </w:tr>
      <w:tr w:rsidR="0094481B" w:rsidRPr="00781112" w14:paraId="4D7E1CB4" w14:textId="31C0C80F" w:rsidTr="00FE4611">
        <w:tc>
          <w:tcPr>
            <w:tcW w:w="579" w:type="pct"/>
            <w:shd w:val="clear" w:color="auto" w:fill="auto"/>
            <w:vAlign w:val="center"/>
          </w:tcPr>
          <w:p w14:paraId="3E17FC71"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93C59D6" w14:textId="4FA6AC8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06CBBAA1" w14:textId="25010E9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5B4F37F7" w14:textId="0586B65B" w:rsidR="0094481B" w:rsidRPr="00781112" w:rsidRDefault="0094481B" w:rsidP="00D13592">
            <w:pPr>
              <w:jc w:val="center"/>
              <w:rPr>
                <w:rFonts w:cs="Arial"/>
                <w:color w:val="000000" w:themeColor="text1"/>
                <w:szCs w:val="16"/>
              </w:rPr>
            </w:pPr>
            <w:r w:rsidRPr="00781112">
              <w:rPr>
                <w:rFonts w:cs="Arial"/>
                <w:color w:val="000000" w:themeColor="text1"/>
                <w:szCs w:val="16"/>
              </w:rPr>
              <w:t>57.00%</w:t>
            </w:r>
          </w:p>
        </w:tc>
        <w:tc>
          <w:tcPr>
            <w:tcW w:w="895" w:type="pct"/>
            <w:vAlign w:val="center"/>
          </w:tcPr>
          <w:p w14:paraId="5BCC413B" w14:textId="09A05E02" w:rsidR="0094481B" w:rsidRPr="00781112" w:rsidRDefault="0094481B" w:rsidP="00D13592">
            <w:pPr>
              <w:jc w:val="center"/>
              <w:rPr>
                <w:rFonts w:cs="Arial"/>
                <w:color w:val="000000" w:themeColor="text1"/>
                <w:szCs w:val="16"/>
              </w:rPr>
            </w:pPr>
            <w:r w:rsidRPr="00781112">
              <w:rPr>
                <w:rFonts w:cs="Arial"/>
                <w:color w:val="000000" w:themeColor="text1"/>
                <w:szCs w:val="16"/>
              </w:rPr>
              <w:t>59.00%</w:t>
            </w:r>
          </w:p>
        </w:tc>
        <w:tc>
          <w:tcPr>
            <w:tcW w:w="895" w:type="pct"/>
            <w:vAlign w:val="center"/>
          </w:tcPr>
          <w:p w14:paraId="45EF5FCE" w14:textId="00D7D29B" w:rsidR="0094481B" w:rsidRPr="00781112" w:rsidRDefault="0094481B" w:rsidP="00D13592">
            <w:pPr>
              <w:jc w:val="center"/>
              <w:rPr>
                <w:rFonts w:cs="Arial"/>
                <w:color w:val="000000" w:themeColor="text1"/>
                <w:szCs w:val="16"/>
              </w:rPr>
            </w:pPr>
            <w:r w:rsidRPr="00781112">
              <w:rPr>
                <w:rFonts w:cs="Arial"/>
                <w:color w:val="000000" w:themeColor="text1"/>
                <w:szCs w:val="16"/>
              </w:rPr>
              <w:t>61.00%</w:t>
            </w:r>
          </w:p>
        </w:tc>
      </w:tr>
      <w:tr w:rsidR="0094481B" w:rsidRPr="00781112" w14:paraId="6A0B25C6" w14:textId="3CA923D5" w:rsidTr="00FE4611">
        <w:tc>
          <w:tcPr>
            <w:tcW w:w="579" w:type="pct"/>
            <w:shd w:val="clear" w:color="auto" w:fill="auto"/>
            <w:vAlign w:val="center"/>
          </w:tcPr>
          <w:p w14:paraId="7A201508" w14:textId="57E216E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BD3C679" w14:textId="4834DDC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75E8E6D8" w14:textId="7D040B6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4671DF75" w14:textId="2CD78B1B" w:rsidR="0094481B" w:rsidRPr="00781112" w:rsidRDefault="0094481B" w:rsidP="00D13592">
            <w:pPr>
              <w:jc w:val="center"/>
              <w:rPr>
                <w:rFonts w:cs="Arial"/>
                <w:color w:val="000000" w:themeColor="text1"/>
                <w:szCs w:val="16"/>
              </w:rPr>
            </w:pPr>
            <w:r w:rsidRPr="00781112">
              <w:rPr>
                <w:rFonts w:cs="Arial"/>
                <w:color w:val="000000" w:themeColor="text1"/>
                <w:szCs w:val="16"/>
              </w:rPr>
              <w:t>64.00%</w:t>
            </w:r>
          </w:p>
        </w:tc>
        <w:tc>
          <w:tcPr>
            <w:tcW w:w="895" w:type="pct"/>
            <w:vAlign w:val="center"/>
          </w:tcPr>
          <w:p w14:paraId="0BF63C58" w14:textId="72F24C80" w:rsidR="0094481B" w:rsidRPr="00781112" w:rsidRDefault="0094481B" w:rsidP="00D13592">
            <w:pPr>
              <w:jc w:val="center"/>
              <w:rPr>
                <w:rFonts w:cs="Arial"/>
                <w:color w:val="000000" w:themeColor="text1"/>
                <w:szCs w:val="16"/>
              </w:rPr>
            </w:pPr>
            <w:r w:rsidRPr="00781112">
              <w:rPr>
                <w:rFonts w:cs="Arial"/>
                <w:color w:val="000000" w:themeColor="text1"/>
                <w:szCs w:val="16"/>
              </w:rPr>
              <w:t>66.00%</w:t>
            </w:r>
          </w:p>
        </w:tc>
        <w:tc>
          <w:tcPr>
            <w:tcW w:w="895" w:type="pct"/>
            <w:vAlign w:val="center"/>
          </w:tcPr>
          <w:p w14:paraId="0075BBBD" w14:textId="7AFABF25" w:rsidR="0094481B" w:rsidRPr="00781112" w:rsidRDefault="0094481B" w:rsidP="00D13592">
            <w:pPr>
              <w:jc w:val="center"/>
              <w:rPr>
                <w:rFonts w:cs="Arial"/>
                <w:color w:val="000000" w:themeColor="text1"/>
                <w:szCs w:val="16"/>
              </w:rPr>
            </w:pPr>
            <w:r w:rsidRPr="00781112">
              <w:rPr>
                <w:rFonts w:cs="Arial"/>
                <w:color w:val="000000" w:themeColor="text1"/>
                <w:szCs w:val="16"/>
              </w:rPr>
              <w:t>68.00%</w:t>
            </w:r>
          </w:p>
        </w:tc>
      </w:tr>
      <w:tr w:rsidR="0094481B" w:rsidRPr="00781112" w14:paraId="72653908" w14:textId="04D938F0" w:rsidTr="00FE4611">
        <w:tc>
          <w:tcPr>
            <w:tcW w:w="579" w:type="pct"/>
            <w:shd w:val="clear" w:color="auto" w:fill="auto"/>
            <w:vAlign w:val="center"/>
          </w:tcPr>
          <w:p w14:paraId="48B507DA" w14:textId="179672F1"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63FB17C0" w14:textId="2F2DF4D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54F8A2F9" w14:textId="5C3A3F72"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2CB0D9F" w14:textId="65605481" w:rsidR="0094481B" w:rsidRPr="00781112" w:rsidRDefault="0094481B" w:rsidP="00D13592">
            <w:pPr>
              <w:jc w:val="center"/>
              <w:rPr>
                <w:rFonts w:cs="Arial"/>
                <w:color w:val="000000" w:themeColor="text1"/>
                <w:szCs w:val="16"/>
              </w:rPr>
            </w:pPr>
            <w:r w:rsidRPr="00781112">
              <w:rPr>
                <w:rFonts w:cs="Arial"/>
                <w:color w:val="000000" w:themeColor="text1"/>
                <w:szCs w:val="16"/>
              </w:rPr>
              <w:t>55.00%</w:t>
            </w:r>
          </w:p>
        </w:tc>
        <w:tc>
          <w:tcPr>
            <w:tcW w:w="895" w:type="pct"/>
            <w:vAlign w:val="center"/>
          </w:tcPr>
          <w:p w14:paraId="72012D7E" w14:textId="10B8E7BA" w:rsidR="0094481B" w:rsidRPr="00781112" w:rsidRDefault="0094481B" w:rsidP="00D13592">
            <w:pPr>
              <w:jc w:val="center"/>
              <w:rPr>
                <w:rFonts w:cs="Arial"/>
                <w:color w:val="000000" w:themeColor="text1"/>
                <w:szCs w:val="16"/>
              </w:rPr>
            </w:pPr>
            <w:r w:rsidRPr="00781112">
              <w:rPr>
                <w:rFonts w:cs="Arial"/>
                <w:color w:val="000000" w:themeColor="text1"/>
                <w:szCs w:val="16"/>
              </w:rPr>
              <w:t>57.00%</w:t>
            </w:r>
          </w:p>
        </w:tc>
        <w:tc>
          <w:tcPr>
            <w:tcW w:w="895" w:type="pct"/>
            <w:vAlign w:val="center"/>
          </w:tcPr>
          <w:p w14:paraId="323B3F79" w14:textId="5FA94A39" w:rsidR="0094481B" w:rsidRPr="00781112" w:rsidRDefault="0094481B" w:rsidP="00D13592">
            <w:pPr>
              <w:jc w:val="center"/>
              <w:rPr>
                <w:rFonts w:cs="Arial"/>
                <w:color w:val="000000" w:themeColor="text1"/>
                <w:szCs w:val="16"/>
              </w:rPr>
            </w:pPr>
            <w:r w:rsidRPr="00781112">
              <w:rPr>
                <w:rFonts w:cs="Arial"/>
                <w:color w:val="000000" w:themeColor="text1"/>
                <w:szCs w:val="16"/>
              </w:rPr>
              <w:t>59.00%</w:t>
            </w:r>
          </w:p>
        </w:tc>
      </w:tr>
    </w:tbl>
    <w:p w14:paraId="113C15D2" w14:textId="6B630C8A" w:rsidR="00140972" w:rsidRDefault="00140972">
      <w:pPr>
        <w:spacing w:before="0" w:after="200" w:line="276" w:lineRule="auto"/>
        <w:rPr>
          <w:b/>
          <w:color w:val="000000" w:themeColor="text1"/>
        </w:rPr>
      </w:pPr>
    </w:p>
    <w:p w14:paraId="0A08A514" w14:textId="090EA0D1" w:rsidR="002D145D" w:rsidRPr="00781112" w:rsidRDefault="002D145D" w:rsidP="004369B2">
      <w:pPr>
        <w:rPr>
          <w:b/>
          <w:color w:val="000000" w:themeColor="text1"/>
        </w:rPr>
      </w:pPr>
      <w:r w:rsidRPr="00781112">
        <w:rPr>
          <w:b/>
          <w:color w:val="000000" w:themeColor="text1"/>
        </w:rPr>
        <w:t xml:space="preserve">Targets: Description of Stakeholder Input </w:t>
      </w:r>
    </w:p>
    <w:p w14:paraId="08B1A70A" w14:textId="19A83495" w:rsidR="002D145D" w:rsidRPr="00781112" w:rsidRDefault="002B7490" w:rsidP="002D145D">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lastRenderedPageBreak/>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2261CE05" w14:textId="31E113F2" w:rsidR="002D145D" w:rsidRPr="00781112" w:rsidRDefault="002D145D" w:rsidP="002D145D">
      <w:pPr>
        <w:rPr>
          <w:rFonts w:cs="Arial"/>
          <w:color w:val="000000" w:themeColor="text1"/>
          <w:szCs w:val="16"/>
        </w:rPr>
      </w:pPr>
    </w:p>
    <w:p w14:paraId="4A15E54A" w14:textId="77777777" w:rsidR="00B8751C" w:rsidRPr="00781112" w:rsidRDefault="00B8751C">
      <w:pPr>
        <w:rPr>
          <w:b/>
          <w:color w:val="000000" w:themeColor="text1"/>
        </w:rPr>
      </w:pPr>
    </w:p>
    <w:p w14:paraId="01651096" w14:textId="6BE7E08C" w:rsidR="000A5A2E"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7A786FF9" w14:textId="7A834053" w:rsidR="00A63347" w:rsidRPr="00781112" w:rsidRDefault="002B7490">
      <w:pPr>
        <w:rPr>
          <w:b/>
          <w:color w:val="000000" w:themeColor="text1"/>
        </w:rPr>
      </w:pPr>
      <w:r w:rsidRPr="00781112">
        <w:rPr>
          <w:rFonts w:cs="Arial"/>
          <w:color w:val="000000" w:themeColor="text1"/>
          <w:szCs w:val="16"/>
        </w:rPr>
        <w:t>01/08/2025</w:t>
      </w: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757</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1,057</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958</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413</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651</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706</w:t>
            </w:r>
          </w:p>
        </w:tc>
      </w:tr>
    </w:tbl>
    <w:p w14:paraId="55B8A812" w14:textId="77777777" w:rsidR="00461A3D" w:rsidRDefault="00461A3D" w:rsidP="00286BDF">
      <w:pPr>
        <w:rPr>
          <w:rFonts w:cs="Arial"/>
          <w:b/>
          <w:color w:val="000000" w:themeColor="text1"/>
          <w:szCs w:val="16"/>
        </w:rPr>
      </w:pPr>
    </w:p>
    <w:p w14:paraId="31899BDA" w14:textId="7FD2D169"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01/08/2025</w:t>
      </w:r>
    </w:p>
    <w:p w14:paraId="3365AF3D" w14:textId="2AFA5758" w:rsidR="00162F4A" w:rsidRPr="00781112" w:rsidRDefault="00162F4A">
      <w:pPr>
        <w:rPr>
          <w:b/>
          <w:color w:val="000000" w:themeColor="text1"/>
        </w:rPr>
      </w:pPr>
      <w:r w:rsidRPr="00781112">
        <w:rPr>
          <w:b/>
          <w:color w:val="000000" w:themeColor="text1"/>
        </w:rPr>
        <w:lastRenderedPageBreak/>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755</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1,057</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957</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423</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680</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555</w:t>
            </w:r>
          </w:p>
        </w:tc>
      </w:tr>
    </w:tbl>
    <w:p w14:paraId="56C37F05" w14:textId="77777777" w:rsidR="00241BD0" w:rsidRPr="00781112" w:rsidRDefault="00241BD0" w:rsidP="004369B2">
      <w:pPr>
        <w:rPr>
          <w:color w:val="000000" w:themeColor="text1"/>
        </w:rPr>
      </w:pPr>
    </w:p>
    <w:p w14:paraId="0E0A129D" w14:textId="399E4303" w:rsidR="00BD7229"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077D9027" w:rsidR="00FA33C9" w:rsidRPr="00073BD7" w:rsidRDefault="00FA33C9" w:rsidP="00FA33C9">
            <w:pPr>
              <w:jc w:val="center"/>
              <w:rPr>
                <w:b/>
                <w:bCs/>
                <w:color w:val="000000" w:themeColor="text1"/>
              </w:rPr>
            </w:pPr>
            <w:r w:rsidRPr="00073BD7">
              <w:rPr>
                <w:b/>
                <w:bCs/>
              </w:rPr>
              <w:t>FFY 2022 Data</w:t>
            </w:r>
          </w:p>
        </w:tc>
        <w:tc>
          <w:tcPr>
            <w:tcW w:w="754" w:type="pct"/>
            <w:shd w:val="clear" w:color="auto" w:fill="auto"/>
            <w:vAlign w:val="bottom"/>
          </w:tcPr>
          <w:p w14:paraId="09D4299D" w14:textId="770FD546"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2B4D24C2" w14:textId="3575C59B"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413</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757</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50.00%</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56.00%</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54.56%</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651</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1,057</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56.27%</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62.00%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61.59%</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706</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958</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68.54%</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77.00%</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73.70%</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bl>
    <w:p w14:paraId="493A373E" w14:textId="77777777" w:rsidR="00445640" w:rsidRPr="00781112" w:rsidRDefault="00445640" w:rsidP="000C3A20">
      <w:pPr>
        <w:rPr>
          <w:color w:val="000000" w:themeColor="text1"/>
        </w:rPr>
      </w:pPr>
    </w:p>
    <w:p w14:paraId="73E73F7F" w14:textId="022AA9CC" w:rsidR="00BD7229" w:rsidRPr="00781112" w:rsidRDefault="0047313F" w:rsidP="004369B2">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39C0AC76" w:rsidR="00FA33C9" w:rsidRPr="00073BD7" w:rsidRDefault="00FA33C9" w:rsidP="00FA33C9">
            <w:pPr>
              <w:jc w:val="center"/>
              <w:rPr>
                <w:b/>
                <w:bCs/>
                <w:color w:val="000000" w:themeColor="text1"/>
              </w:rPr>
            </w:pPr>
            <w:r w:rsidRPr="00073BD7">
              <w:rPr>
                <w:b/>
                <w:bCs/>
              </w:rPr>
              <w:t>FFY 2022 Data</w:t>
            </w:r>
          </w:p>
        </w:tc>
        <w:tc>
          <w:tcPr>
            <w:tcW w:w="752" w:type="pct"/>
            <w:shd w:val="clear" w:color="auto" w:fill="auto"/>
            <w:vAlign w:val="bottom"/>
          </w:tcPr>
          <w:p w14:paraId="37651EF9" w14:textId="2FA4EAEF"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3D61FBEB" w14:textId="64D5A8EA"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423</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755</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53.25%</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57.00%</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56.03%</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680</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1,057</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61.71%</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64.00%</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64.33%</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555</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957</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51.20%</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55.00%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57.99%</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 xml:space="preserve">The "Regular and Alternate Test Summary" publicly reports participation and performance results for children with disabilities on regular assessments - with or without accommodations - and alternate assessments.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For Spring 2024 results, use the following link where the results are posted under the Special Education Data section: </w:t>
      </w:r>
      <w:r w:rsidRPr="00781112">
        <w:rPr>
          <w:rFonts w:cs="Arial"/>
          <w:color w:val="000000" w:themeColor="text1"/>
          <w:szCs w:val="16"/>
          <w:shd w:val="clear" w:color="auto" w:fill="FFFFFF"/>
        </w:rPr>
        <w:br/>
        <w:t>https://doe.louisiana.gov/data-and-reports/elementary-and-middle-school-performance</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The State's alternate assessment defines proficiency as Near Goal or above.</w:t>
      </w:r>
    </w:p>
    <w:p w14:paraId="1C326C48" w14:textId="1B3ADE94" w:rsidR="000A2C83" w:rsidRPr="00781112" w:rsidRDefault="00573F6C" w:rsidP="008645AD">
      <w:pPr>
        <w:pStyle w:val="Heading2"/>
      </w:pPr>
      <w:r w:rsidRPr="00781112">
        <w:lastRenderedPageBreak/>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919001F" w:rsidR="00764DDE" w:rsidRPr="002C274F" w:rsidRDefault="00764DDE" w:rsidP="002C274F">
      <w:pPr>
        <w:rPr>
          <w:b/>
          <w:bCs/>
          <w:sz w:val="20"/>
          <w:szCs w:val="20"/>
        </w:rPr>
      </w:pPr>
      <w:r w:rsidRPr="002C274F">
        <w:rPr>
          <w:b/>
          <w:bCs/>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1D2FEF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2023-2024 school year) subtracted from the (proficiency rate for all students scoring at or above proficient against grade level academic achievement standards for the 2023-2024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468BCD6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4311ECC0"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2023-2024 school year compared to the proficiency rate for all students who were proficient against grade level academic achievement standards for the 2023-2024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192FF82B" w:rsidR="00DD5B7A" w:rsidRPr="00781112" w:rsidRDefault="00764DDE" w:rsidP="00FE4611">
      <w:pPr>
        <w:pStyle w:val="Heading2"/>
      </w:pPr>
      <w:r w:rsidRPr="00781112">
        <w:t>3D - Indicator Data</w:t>
      </w:r>
    </w:p>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25.28</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34.71</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33.50</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19.60</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22.20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26.47</w:t>
            </w:r>
          </w:p>
        </w:tc>
      </w:tr>
    </w:tbl>
    <w:p w14:paraId="6BEA17C2" w14:textId="77777777" w:rsidR="00DD5B7A" w:rsidRPr="00781112" w:rsidRDefault="00DD5B7A" w:rsidP="00FE4611">
      <w:pPr>
        <w:spacing w:before="0" w:after="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tblGrid>
      <w:tr w:rsidR="0094481B" w:rsidRPr="00781112" w14:paraId="32AE1F59" w14:textId="77777777" w:rsidTr="00FE4611">
        <w:tc>
          <w:tcPr>
            <w:tcW w:w="660" w:type="pct"/>
            <w:tcBorders>
              <w:bottom w:val="single" w:sz="4" w:space="0" w:color="auto"/>
            </w:tcBorders>
            <w:shd w:val="clear" w:color="auto" w:fill="auto"/>
            <w:vAlign w:val="center"/>
          </w:tcPr>
          <w:p w14:paraId="6A9E2F19" w14:textId="77777777" w:rsidR="0094481B" w:rsidRPr="00781112" w:rsidRDefault="0094481B" w:rsidP="00827FF4">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5181D1E9" w14:textId="77777777" w:rsidR="0094481B" w:rsidRPr="00781112" w:rsidRDefault="0094481B" w:rsidP="00827FF4">
            <w:pPr>
              <w:jc w:val="center"/>
              <w:rPr>
                <w:b/>
                <w:color w:val="000000" w:themeColor="text1"/>
              </w:rPr>
            </w:pPr>
            <w:r w:rsidRPr="00781112">
              <w:rPr>
                <w:b/>
                <w:color w:val="000000" w:themeColor="text1"/>
              </w:rPr>
              <w:t>Group</w:t>
            </w:r>
          </w:p>
        </w:tc>
        <w:tc>
          <w:tcPr>
            <w:tcW w:w="862" w:type="pct"/>
            <w:shd w:val="clear" w:color="auto" w:fill="auto"/>
            <w:vAlign w:val="center"/>
          </w:tcPr>
          <w:p w14:paraId="7C5EACD6" w14:textId="77777777" w:rsidR="0094481B" w:rsidRPr="00781112" w:rsidDel="008E7B87" w:rsidRDefault="0094481B" w:rsidP="00827FF4">
            <w:pPr>
              <w:jc w:val="center"/>
              <w:rPr>
                <w:b/>
                <w:color w:val="000000" w:themeColor="text1"/>
              </w:rPr>
            </w:pPr>
            <w:r w:rsidRPr="00781112">
              <w:rPr>
                <w:b/>
                <w:color w:val="000000" w:themeColor="text1"/>
              </w:rPr>
              <w:t>Group Name</w:t>
            </w:r>
          </w:p>
        </w:tc>
        <w:tc>
          <w:tcPr>
            <w:tcW w:w="982" w:type="pct"/>
            <w:shd w:val="clear" w:color="auto" w:fill="auto"/>
            <w:vAlign w:val="center"/>
          </w:tcPr>
          <w:p w14:paraId="57197BBC" w14:textId="77777777" w:rsidR="0094481B" w:rsidRPr="00781112" w:rsidRDefault="0094481B" w:rsidP="00827FF4">
            <w:pPr>
              <w:jc w:val="center"/>
              <w:rPr>
                <w:b/>
                <w:color w:val="000000" w:themeColor="text1"/>
              </w:rPr>
            </w:pPr>
            <w:r w:rsidRPr="00781112">
              <w:rPr>
                <w:b/>
                <w:color w:val="000000" w:themeColor="text1"/>
              </w:rPr>
              <w:t>2023</w:t>
            </w:r>
          </w:p>
        </w:tc>
        <w:tc>
          <w:tcPr>
            <w:tcW w:w="982" w:type="pct"/>
            <w:vAlign w:val="center"/>
          </w:tcPr>
          <w:p w14:paraId="07ACCE04" w14:textId="77777777" w:rsidR="0094481B" w:rsidRPr="00781112" w:rsidRDefault="0094481B" w:rsidP="00827FF4">
            <w:pPr>
              <w:jc w:val="center"/>
              <w:rPr>
                <w:b/>
                <w:color w:val="000000" w:themeColor="text1"/>
              </w:rPr>
            </w:pPr>
            <w:r w:rsidRPr="00781112">
              <w:rPr>
                <w:rFonts w:cs="Arial"/>
                <w:b/>
                <w:color w:val="000000" w:themeColor="text1"/>
                <w:szCs w:val="16"/>
              </w:rPr>
              <w:t>2024</w:t>
            </w:r>
          </w:p>
        </w:tc>
        <w:tc>
          <w:tcPr>
            <w:tcW w:w="982" w:type="pct"/>
            <w:vAlign w:val="center"/>
          </w:tcPr>
          <w:p w14:paraId="0B682674" w14:textId="77777777" w:rsidR="0094481B" w:rsidRPr="00781112" w:rsidRDefault="0094481B" w:rsidP="00827FF4">
            <w:pPr>
              <w:jc w:val="center"/>
              <w:rPr>
                <w:b/>
                <w:color w:val="000000" w:themeColor="text1"/>
              </w:rPr>
            </w:pPr>
            <w:r w:rsidRPr="00781112">
              <w:rPr>
                <w:rFonts w:cs="Arial"/>
                <w:b/>
                <w:color w:val="000000" w:themeColor="text1"/>
                <w:szCs w:val="16"/>
              </w:rPr>
              <w:t>2025</w:t>
            </w:r>
          </w:p>
        </w:tc>
      </w:tr>
      <w:tr w:rsidR="0094481B" w:rsidRPr="00781112" w14:paraId="506F660C" w14:textId="77777777" w:rsidTr="00FE4611">
        <w:tc>
          <w:tcPr>
            <w:tcW w:w="660" w:type="pct"/>
            <w:shd w:val="clear" w:color="auto" w:fill="auto"/>
            <w:vAlign w:val="center"/>
          </w:tcPr>
          <w:p w14:paraId="5CF55C1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4BDAD87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25B01019" w14:textId="68614C3D"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E665D01" w14:textId="380A2C73" w:rsidR="0094481B" w:rsidRPr="00781112" w:rsidRDefault="0094481B" w:rsidP="00827FF4">
            <w:pPr>
              <w:jc w:val="center"/>
              <w:rPr>
                <w:rFonts w:cs="Arial"/>
                <w:color w:val="000000" w:themeColor="text1"/>
                <w:szCs w:val="16"/>
              </w:rPr>
            </w:pPr>
            <w:r w:rsidRPr="00781112">
              <w:rPr>
                <w:rFonts w:cs="Arial"/>
                <w:color w:val="000000" w:themeColor="text1"/>
                <w:szCs w:val="16"/>
              </w:rPr>
              <w:t>23.00</w:t>
            </w:r>
          </w:p>
        </w:tc>
        <w:tc>
          <w:tcPr>
            <w:tcW w:w="982" w:type="pct"/>
            <w:vAlign w:val="center"/>
          </w:tcPr>
          <w:p w14:paraId="680AEBF8" w14:textId="012E8AB7" w:rsidR="0094481B" w:rsidRPr="00781112" w:rsidRDefault="0094481B" w:rsidP="00827FF4">
            <w:pPr>
              <w:jc w:val="center"/>
              <w:rPr>
                <w:rFonts w:cs="Arial"/>
                <w:color w:val="000000" w:themeColor="text1"/>
                <w:szCs w:val="16"/>
              </w:rPr>
            </w:pPr>
            <w:r w:rsidRPr="00781112">
              <w:rPr>
                <w:rFonts w:cs="Arial"/>
                <w:color w:val="000000" w:themeColor="text1"/>
                <w:szCs w:val="16"/>
              </w:rPr>
              <w:t>22.00</w:t>
            </w:r>
          </w:p>
        </w:tc>
        <w:tc>
          <w:tcPr>
            <w:tcW w:w="982" w:type="pct"/>
            <w:vAlign w:val="center"/>
          </w:tcPr>
          <w:p w14:paraId="060B65A2" w14:textId="3C5E7042" w:rsidR="0094481B" w:rsidRPr="00781112" w:rsidRDefault="0094481B" w:rsidP="00827FF4">
            <w:pPr>
              <w:jc w:val="center"/>
              <w:rPr>
                <w:rFonts w:cs="Arial"/>
                <w:color w:val="000000" w:themeColor="text1"/>
                <w:szCs w:val="16"/>
              </w:rPr>
            </w:pPr>
            <w:r w:rsidRPr="00781112">
              <w:rPr>
                <w:rFonts w:cs="Arial"/>
                <w:color w:val="000000" w:themeColor="text1"/>
                <w:szCs w:val="16"/>
              </w:rPr>
              <w:t>21.00</w:t>
            </w:r>
          </w:p>
        </w:tc>
      </w:tr>
      <w:tr w:rsidR="0094481B" w:rsidRPr="00781112" w14:paraId="109FA148" w14:textId="77777777" w:rsidTr="00FE4611">
        <w:tc>
          <w:tcPr>
            <w:tcW w:w="660" w:type="pct"/>
            <w:shd w:val="clear" w:color="auto" w:fill="auto"/>
            <w:vAlign w:val="center"/>
          </w:tcPr>
          <w:p w14:paraId="5CAAC2A8"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1DFAA13E"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330884D1" w14:textId="3ED7AA1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68DC0FBA" w14:textId="3776550F" w:rsidR="0094481B" w:rsidRPr="00781112" w:rsidRDefault="0094481B" w:rsidP="00827FF4">
            <w:pPr>
              <w:jc w:val="center"/>
              <w:rPr>
                <w:rFonts w:cs="Arial"/>
                <w:color w:val="000000" w:themeColor="text1"/>
                <w:szCs w:val="16"/>
              </w:rPr>
            </w:pPr>
            <w:r w:rsidRPr="00781112">
              <w:rPr>
                <w:rFonts w:cs="Arial"/>
                <w:color w:val="000000" w:themeColor="text1"/>
                <w:szCs w:val="16"/>
              </w:rPr>
              <w:t>32.00</w:t>
            </w:r>
          </w:p>
        </w:tc>
        <w:tc>
          <w:tcPr>
            <w:tcW w:w="982" w:type="pct"/>
            <w:vAlign w:val="center"/>
          </w:tcPr>
          <w:p w14:paraId="5D544F8D" w14:textId="7D5BE3EF" w:rsidR="0094481B" w:rsidRPr="00781112" w:rsidRDefault="0094481B" w:rsidP="00827FF4">
            <w:pPr>
              <w:jc w:val="center"/>
              <w:rPr>
                <w:rFonts w:cs="Arial"/>
                <w:color w:val="000000" w:themeColor="text1"/>
                <w:szCs w:val="16"/>
              </w:rPr>
            </w:pPr>
            <w:r w:rsidRPr="00781112">
              <w:rPr>
                <w:rFonts w:cs="Arial"/>
                <w:color w:val="000000" w:themeColor="text1"/>
                <w:szCs w:val="16"/>
              </w:rPr>
              <w:t>31.00</w:t>
            </w:r>
          </w:p>
        </w:tc>
        <w:tc>
          <w:tcPr>
            <w:tcW w:w="982" w:type="pct"/>
            <w:vAlign w:val="center"/>
          </w:tcPr>
          <w:p w14:paraId="067CAD2B" w14:textId="5DA2AE3C" w:rsidR="0094481B" w:rsidRPr="00781112" w:rsidRDefault="0094481B" w:rsidP="00827FF4">
            <w:pPr>
              <w:jc w:val="center"/>
              <w:rPr>
                <w:rFonts w:cs="Arial"/>
                <w:color w:val="000000" w:themeColor="text1"/>
                <w:szCs w:val="16"/>
              </w:rPr>
            </w:pPr>
            <w:r w:rsidRPr="00781112">
              <w:rPr>
                <w:rFonts w:cs="Arial"/>
                <w:color w:val="000000" w:themeColor="text1"/>
                <w:szCs w:val="16"/>
              </w:rPr>
              <w:t>30.00</w:t>
            </w:r>
          </w:p>
        </w:tc>
      </w:tr>
      <w:tr w:rsidR="0094481B" w:rsidRPr="00781112" w14:paraId="736D24EA" w14:textId="77777777" w:rsidTr="00FE4611">
        <w:tc>
          <w:tcPr>
            <w:tcW w:w="660" w:type="pct"/>
            <w:shd w:val="clear" w:color="auto" w:fill="auto"/>
            <w:vAlign w:val="center"/>
          </w:tcPr>
          <w:p w14:paraId="56FB00C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76599FEA"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6758DB1A" w14:textId="51D63552"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56DA6177" w14:textId="20AF4748" w:rsidR="0094481B" w:rsidRPr="00781112" w:rsidRDefault="0094481B" w:rsidP="00827FF4">
            <w:pPr>
              <w:jc w:val="center"/>
              <w:rPr>
                <w:rFonts w:cs="Arial"/>
                <w:color w:val="000000" w:themeColor="text1"/>
                <w:szCs w:val="16"/>
              </w:rPr>
            </w:pPr>
            <w:r w:rsidRPr="00781112">
              <w:rPr>
                <w:rFonts w:cs="Arial"/>
                <w:color w:val="000000" w:themeColor="text1"/>
                <w:szCs w:val="16"/>
              </w:rPr>
              <w:t>31.00</w:t>
            </w:r>
          </w:p>
        </w:tc>
        <w:tc>
          <w:tcPr>
            <w:tcW w:w="982" w:type="pct"/>
            <w:vAlign w:val="center"/>
          </w:tcPr>
          <w:p w14:paraId="12D9F716" w14:textId="7A56543C" w:rsidR="0094481B" w:rsidRPr="00781112" w:rsidRDefault="0094481B" w:rsidP="00827FF4">
            <w:pPr>
              <w:jc w:val="center"/>
              <w:rPr>
                <w:rFonts w:cs="Arial"/>
                <w:color w:val="000000" w:themeColor="text1"/>
                <w:szCs w:val="16"/>
              </w:rPr>
            </w:pPr>
            <w:r w:rsidRPr="00781112">
              <w:rPr>
                <w:rFonts w:cs="Arial"/>
                <w:color w:val="000000" w:themeColor="text1"/>
                <w:szCs w:val="16"/>
              </w:rPr>
              <w:t>30.00</w:t>
            </w:r>
          </w:p>
        </w:tc>
        <w:tc>
          <w:tcPr>
            <w:tcW w:w="982" w:type="pct"/>
            <w:vAlign w:val="center"/>
          </w:tcPr>
          <w:p w14:paraId="4EE8CD33" w14:textId="2A4DD9F9" w:rsidR="0094481B" w:rsidRPr="00781112" w:rsidRDefault="0094481B" w:rsidP="00827FF4">
            <w:pPr>
              <w:jc w:val="center"/>
              <w:rPr>
                <w:rFonts w:cs="Arial"/>
                <w:color w:val="000000" w:themeColor="text1"/>
                <w:szCs w:val="16"/>
              </w:rPr>
            </w:pPr>
            <w:r w:rsidRPr="00781112">
              <w:rPr>
                <w:rFonts w:cs="Arial"/>
                <w:color w:val="000000" w:themeColor="text1"/>
                <w:szCs w:val="16"/>
              </w:rPr>
              <w:t>29.00</w:t>
            </w:r>
          </w:p>
        </w:tc>
      </w:tr>
      <w:tr w:rsidR="0094481B" w:rsidRPr="00781112" w14:paraId="311AB0DD" w14:textId="77777777" w:rsidTr="00FE4611">
        <w:tc>
          <w:tcPr>
            <w:tcW w:w="660" w:type="pct"/>
            <w:shd w:val="clear" w:color="auto" w:fill="auto"/>
            <w:vAlign w:val="center"/>
          </w:tcPr>
          <w:p w14:paraId="3D2E0CB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AAA6495"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65E16006" w14:textId="0FBAD82F"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122DB35A" w14:textId="50E48575" w:rsidR="0094481B" w:rsidRPr="00781112" w:rsidRDefault="0094481B" w:rsidP="00827FF4">
            <w:pPr>
              <w:jc w:val="center"/>
              <w:rPr>
                <w:rFonts w:cs="Arial"/>
                <w:color w:val="000000" w:themeColor="text1"/>
                <w:szCs w:val="16"/>
              </w:rPr>
            </w:pPr>
            <w:r w:rsidRPr="00781112">
              <w:rPr>
                <w:rFonts w:cs="Arial"/>
                <w:color w:val="000000" w:themeColor="text1"/>
                <w:szCs w:val="16"/>
              </w:rPr>
              <w:t>17.00</w:t>
            </w:r>
          </w:p>
        </w:tc>
        <w:tc>
          <w:tcPr>
            <w:tcW w:w="982" w:type="pct"/>
            <w:vAlign w:val="center"/>
          </w:tcPr>
          <w:p w14:paraId="7E46501E" w14:textId="6CB1A41D" w:rsidR="0094481B" w:rsidRPr="00781112" w:rsidRDefault="0094481B" w:rsidP="00827FF4">
            <w:pPr>
              <w:jc w:val="center"/>
              <w:rPr>
                <w:rFonts w:cs="Arial"/>
                <w:color w:val="000000" w:themeColor="text1"/>
                <w:szCs w:val="16"/>
              </w:rPr>
            </w:pPr>
            <w:r w:rsidRPr="00781112">
              <w:rPr>
                <w:rFonts w:cs="Arial"/>
                <w:color w:val="000000" w:themeColor="text1"/>
                <w:szCs w:val="16"/>
              </w:rPr>
              <w:t>16.00</w:t>
            </w:r>
          </w:p>
        </w:tc>
        <w:tc>
          <w:tcPr>
            <w:tcW w:w="982" w:type="pct"/>
            <w:vAlign w:val="center"/>
          </w:tcPr>
          <w:p w14:paraId="6A7C9997" w14:textId="58A4736A" w:rsidR="0094481B" w:rsidRPr="00781112" w:rsidRDefault="0094481B" w:rsidP="00827FF4">
            <w:pPr>
              <w:jc w:val="center"/>
              <w:rPr>
                <w:rFonts w:cs="Arial"/>
                <w:color w:val="000000" w:themeColor="text1"/>
                <w:szCs w:val="16"/>
              </w:rPr>
            </w:pPr>
            <w:r w:rsidRPr="00781112">
              <w:rPr>
                <w:rFonts w:cs="Arial"/>
                <w:color w:val="000000" w:themeColor="text1"/>
                <w:szCs w:val="16"/>
              </w:rPr>
              <w:t>15.00</w:t>
            </w:r>
          </w:p>
        </w:tc>
      </w:tr>
      <w:tr w:rsidR="0094481B" w:rsidRPr="00781112" w14:paraId="1F14A6A0" w14:textId="77777777" w:rsidTr="00FE4611">
        <w:tc>
          <w:tcPr>
            <w:tcW w:w="660" w:type="pct"/>
            <w:shd w:val="clear" w:color="auto" w:fill="auto"/>
            <w:vAlign w:val="center"/>
          </w:tcPr>
          <w:p w14:paraId="67FFD63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CC9E434"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48449221" w14:textId="1DE29BDC"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9A6E3C5" w14:textId="2E8BFD65" w:rsidR="0094481B" w:rsidRPr="00781112" w:rsidRDefault="0094481B" w:rsidP="00827FF4">
            <w:pPr>
              <w:jc w:val="center"/>
              <w:rPr>
                <w:rFonts w:cs="Arial"/>
                <w:color w:val="000000" w:themeColor="text1"/>
                <w:szCs w:val="16"/>
              </w:rPr>
            </w:pPr>
            <w:r w:rsidRPr="00781112">
              <w:rPr>
                <w:rFonts w:cs="Arial"/>
                <w:color w:val="000000" w:themeColor="text1"/>
                <w:szCs w:val="16"/>
              </w:rPr>
              <w:t>19.00</w:t>
            </w:r>
          </w:p>
        </w:tc>
        <w:tc>
          <w:tcPr>
            <w:tcW w:w="982" w:type="pct"/>
            <w:vAlign w:val="center"/>
          </w:tcPr>
          <w:p w14:paraId="627C9FA2" w14:textId="428379CE" w:rsidR="0094481B" w:rsidRPr="00781112" w:rsidRDefault="0094481B" w:rsidP="00827FF4">
            <w:pPr>
              <w:jc w:val="center"/>
              <w:rPr>
                <w:rFonts w:cs="Arial"/>
                <w:color w:val="000000" w:themeColor="text1"/>
                <w:szCs w:val="16"/>
              </w:rPr>
            </w:pPr>
            <w:r w:rsidRPr="00781112">
              <w:rPr>
                <w:rFonts w:cs="Arial"/>
                <w:color w:val="000000" w:themeColor="text1"/>
                <w:szCs w:val="16"/>
              </w:rPr>
              <w:t>18.00</w:t>
            </w:r>
          </w:p>
        </w:tc>
        <w:tc>
          <w:tcPr>
            <w:tcW w:w="982" w:type="pct"/>
            <w:vAlign w:val="center"/>
          </w:tcPr>
          <w:p w14:paraId="6204E3FD" w14:textId="081B5532" w:rsidR="0094481B" w:rsidRPr="00781112" w:rsidRDefault="0094481B" w:rsidP="00827FF4">
            <w:pPr>
              <w:jc w:val="center"/>
              <w:rPr>
                <w:rFonts w:cs="Arial"/>
                <w:color w:val="000000" w:themeColor="text1"/>
                <w:szCs w:val="16"/>
              </w:rPr>
            </w:pPr>
            <w:r w:rsidRPr="00781112">
              <w:rPr>
                <w:rFonts w:cs="Arial"/>
                <w:color w:val="000000" w:themeColor="text1"/>
                <w:szCs w:val="16"/>
              </w:rPr>
              <w:t>17.00</w:t>
            </w:r>
          </w:p>
        </w:tc>
      </w:tr>
      <w:tr w:rsidR="0094481B" w:rsidRPr="00781112" w14:paraId="60CD7006" w14:textId="77777777" w:rsidTr="00FE4611">
        <w:tc>
          <w:tcPr>
            <w:tcW w:w="660" w:type="pct"/>
            <w:shd w:val="clear" w:color="auto" w:fill="auto"/>
            <w:vAlign w:val="center"/>
          </w:tcPr>
          <w:p w14:paraId="76491141"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6C27CF3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4E465544" w14:textId="4F893AB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7B41E026" w14:textId="6E6F2C10" w:rsidR="0094481B" w:rsidRPr="00781112" w:rsidRDefault="0094481B" w:rsidP="00827FF4">
            <w:pPr>
              <w:jc w:val="center"/>
              <w:rPr>
                <w:rFonts w:cs="Arial"/>
                <w:color w:val="000000" w:themeColor="text1"/>
                <w:szCs w:val="16"/>
              </w:rPr>
            </w:pPr>
            <w:r w:rsidRPr="00781112">
              <w:rPr>
                <w:rFonts w:cs="Arial"/>
                <w:color w:val="000000" w:themeColor="text1"/>
                <w:szCs w:val="16"/>
              </w:rPr>
              <w:t>24.00</w:t>
            </w:r>
          </w:p>
        </w:tc>
        <w:tc>
          <w:tcPr>
            <w:tcW w:w="982" w:type="pct"/>
            <w:vAlign w:val="center"/>
          </w:tcPr>
          <w:p w14:paraId="294118D4" w14:textId="54195603" w:rsidR="0094481B" w:rsidRPr="00781112" w:rsidRDefault="0094481B" w:rsidP="00827FF4">
            <w:pPr>
              <w:jc w:val="center"/>
              <w:rPr>
                <w:rFonts w:cs="Arial"/>
                <w:color w:val="000000" w:themeColor="text1"/>
                <w:szCs w:val="16"/>
              </w:rPr>
            </w:pPr>
            <w:r w:rsidRPr="00781112">
              <w:rPr>
                <w:rFonts w:cs="Arial"/>
                <w:color w:val="000000" w:themeColor="text1"/>
                <w:szCs w:val="16"/>
              </w:rPr>
              <w:t>23.00</w:t>
            </w:r>
          </w:p>
        </w:tc>
        <w:tc>
          <w:tcPr>
            <w:tcW w:w="982" w:type="pct"/>
            <w:vAlign w:val="center"/>
          </w:tcPr>
          <w:p w14:paraId="41623CC8" w14:textId="4F75F535" w:rsidR="0094481B" w:rsidRPr="00781112" w:rsidRDefault="0094481B" w:rsidP="00827FF4">
            <w:pPr>
              <w:jc w:val="center"/>
              <w:rPr>
                <w:rFonts w:cs="Arial"/>
                <w:color w:val="000000" w:themeColor="text1"/>
                <w:szCs w:val="16"/>
              </w:rPr>
            </w:pPr>
            <w:r w:rsidRPr="00781112">
              <w:rPr>
                <w:rFonts w:cs="Arial"/>
                <w:color w:val="000000" w:themeColor="text1"/>
                <w:szCs w:val="16"/>
              </w:rPr>
              <w:t>22.00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6369E081" w14:textId="77777777" w:rsidR="00DD5B7A" w:rsidRPr="00781112" w:rsidRDefault="00DD5B7A" w:rsidP="00DD5B7A">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lastRenderedPageBreak/>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1A8E431E" w14:textId="45368C9A" w:rsidR="00DD5B7A" w:rsidRPr="00781112" w:rsidRDefault="00DD5B7A" w:rsidP="00DD5B7A">
      <w:pPr>
        <w:rPr>
          <w:rFonts w:cs="Arial"/>
          <w:color w:val="000000" w:themeColor="text1"/>
          <w:szCs w:val="16"/>
        </w:rPr>
      </w:pPr>
    </w:p>
    <w:p w14:paraId="5EB19DE7" w14:textId="77777777" w:rsidR="00DD5B7A" w:rsidRPr="00781112" w:rsidRDefault="00DD5B7A" w:rsidP="00FE4611">
      <w:pPr>
        <w:spacing w:before="0" w:after="0" w:line="276" w:lineRule="auto"/>
        <w:rPr>
          <w:b/>
          <w:color w:val="000000" w:themeColor="text1"/>
        </w:rPr>
      </w:pPr>
    </w:p>
    <w:p w14:paraId="5F03961C" w14:textId="21B46448" w:rsidR="00DD5B7A" w:rsidRPr="00781112" w:rsidRDefault="00FA33C9" w:rsidP="00DD5B7A">
      <w:pPr>
        <w:rPr>
          <w:b/>
          <w:color w:val="000000" w:themeColor="text1"/>
        </w:rPr>
      </w:pPr>
      <w:r>
        <w:rPr>
          <w:b/>
          <w:color w:val="000000" w:themeColor="text1"/>
        </w:rPr>
        <w:t>FFY 2023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48,320</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47,983</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47,680</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6,942</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5,207</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4,478</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18,417</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19,732</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19,028</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1,681</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1,877</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1,633</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lastRenderedPageBreak/>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685</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152</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76</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479</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503</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378</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48,321</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47,988</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47,654</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6,943</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5,210</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4,620</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16,866</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13,566</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17,422</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1,834</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1,175</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1,785</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696</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114</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75</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513</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283</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477</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2077F287" w:rsidR="00DD5B7A" w:rsidRPr="00781112" w:rsidRDefault="0047313F" w:rsidP="00DD5B7A">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349FECC0"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9544656" w14:textId="764A5511" w:rsidR="00FA33C9" w:rsidRPr="00073BD7" w:rsidRDefault="00FA33C9" w:rsidP="00FA33C9">
            <w:pPr>
              <w:jc w:val="center"/>
              <w:rPr>
                <w:b/>
                <w:bCs/>
                <w:color w:val="000000" w:themeColor="text1"/>
              </w:rPr>
            </w:pPr>
            <w:r w:rsidRPr="00073BD7">
              <w:rPr>
                <w:b/>
                <w:bCs/>
              </w:rPr>
              <w:t>FFY 2023 Target</w:t>
            </w:r>
          </w:p>
        </w:tc>
        <w:tc>
          <w:tcPr>
            <w:tcW w:w="517" w:type="pct"/>
            <w:shd w:val="clear" w:color="auto" w:fill="auto"/>
            <w:vAlign w:val="bottom"/>
          </w:tcPr>
          <w:p w14:paraId="611B3DE3" w14:textId="1CAE6CC8" w:rsidR="00FA33C9" w:rsidRPr="00073BD7" w:rsidRDefault="00FA33C9" w:rsidP="00FA33C9">
            <w:pPr>
              <w:jc w:val="center"/>
              <w:rPr>
                <w:b/>
                <w:bCs/>
                <w:color w:val="000000" w:themeColor="text1"/>
              </w:rPr>
            </w:pPr>
            <w:r w:rsidRPr="00073BD7">
              <w:rPr>
                <w:b/>
                <w:bCs/>
              </w:rPr>
              <w:t>FFY 2023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16.77%</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41.59%</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27.15</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23.00</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24.83</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12.58%</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45.03%</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35.43</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32.00</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32.46</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10.14%</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43.33%</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33.70</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31.00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33.19</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FE4611">
      <w:pPr>
        <w:spacing w:before="0" w:after="0" w:line="276" w:lineRule="auto"/>
        <w:rPr>
          <w:b/>
          <w:color w:val="000000" w:themeColor="text1"/>
        </w:rPr>
      </w:pPr>
    </w:p>
    <w:p w14:paraId="2E07CCBD" w14:textId="6A8FF504" w:rsidR="00DD5B7A" w:rsidRPr="00781112" w:rsidRDefault="0047313F" w:rsidP="00DD5B7A">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2FB79BC8"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275741A5" w14:textId="31E00EC4" w:rsidR="00FA33C9" w:rsidRPr="00073BD7" w:rsidRDefault="00FA33C9" w:rsidP="00FA33C9">
            <w:pPr>
              <w:jc w:val="center"/>
              <w:rPr>
                <w:b/>
                <w:bCs/>
                <w:color w:val="000000" w:themeColor="text1"/>
              </w:rPr>
            </w:pPr>
            <w:r w:rsidRPr="00073BD7">
              <w:rPr>
                <w:b/>
                <w:bCs/>
              </w:rPr>
              <w:t>FFY 2023 Target</w:t>
            </w:r>
          </w:p>
        </w:tc>
        <w:tc>
          <w:tcPr>
            <w:tcW w:w="508" w:type="pct"/>
            <w:shd w:val="clear" w:color="auto" w:fill="auto"/>
            <w:vAlign w:val="bottom"/>
          </w:tcPr>
          <w:p w14:paraId="597E0BC4" w14:textId="7BA33723" w:rsidR="00FA33C9" w:rsidRPr="00073BD7" w:rsidRDefault="00FA33C9" w:rsidP="00FA33C9">
            <w:pPr>
              <w:jc w:val="center"/>
              <w:rPr>
                <w:b/>
                <w:bCs/>
                <w:color w:val="000000" w:themeColor="text1"/>
              </w:rPr>
            </w:pPr>
            <w:r w:rsidRPr="00073BD7">
              <w:rPr>
                <w:b/>
                <w:bCs/>
              </w:rPr>
              <w:t>FFY 2023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17.41%</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38.70%</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21.26</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17.00</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21.29</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7.62%</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30.72%</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24.45</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19.00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23.10</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11.95%</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40.31%</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27.37</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24.00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28.36</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FE4611">
      <w:pPr>
        <w:spacing w:before="0" w:after="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FE4611">
      <w:pPr>
        <w:spacing w:before="0" w:after="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20"/>
      <w:bookmarkEnd w:id="21"/>
    </w:p>
    <w:p w14:paraId="6B24B370" w14:textId="6D3787F6" w:rsidR="006E5AE4" w:rsidRPr="002C274F" w:rsidRDefault="006E5AE4" w:rsidP="002C274F">
      <w:pPr>
        <w:rPr>
          <w:b/>
          <w:bCs/>
          <w:sz w:val="20"/>
          <w:szCs w:val="20"/>
        </w:rPr>
      </w:pPr>
      <w:bookmarkStart w:id="23" w:name="_Toc384383331"/>
      <w:bookmarkStart w:id="24" w:name="_Toc392159283"/>
      <w:r w:rsidRPr="002C274F">
        <w:rPr>
          <w:b/>
          <w:bCs/>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18E15195" w14:textId="34D92C48"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170374C2"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7AA2EFB8" w14:textId="77777777" w:rsidR="00E6260F" w:rsidRDefault="00E6260F" w:rsidP="00E6260F">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3AD8FD7E" w14:textId="40B51621"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2023 SPP/APR, use data from 2022-2023),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7E1ED7D6"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671599A1" w14:textId="004B2382"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5"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5"/>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C45CFCB"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4DE22542"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22C5D4B" w14:textId="0DC60F50"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2022-2023 (which can be found in the FFY 2022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32FE0BC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27ADFEE8"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3487116" w14:textId="6ACBDDB4" w:rsidR="00B63772" w:rsidRPr="00FE4611" w:rsidRDefault="00B63772" w:rsidP="00BB7BC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16100ED" w14:textId="6483EA1E" w:rsidR="006E5AE4" w:rsidRPr="00781112" w:rsidRDefault="00697434" w:rsidP="008645AD">
      <w:pPr>
        <w:pStyle w:val="Heading2"/>
      </w:pPr>
      <w:bookmarkStart w:id="26" w:name="_Toc384383332"/>
      <w:bookmarkStart w:id="27" w:name="_Toc392159284"/>
      <w:bookmarkEnd w:id="23"/>
      <w:bookmarkEnd w:id="24"/>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2005</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26.50%</w:t>
            </w:r>
          </w:p>
        </w:tc>
      </w:tr>
    </w:tbl>
    <w:p w14:paraId="6781E363" w14:textId="4867E623"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2022</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13.50%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13.50%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13.50%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13.50%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13.00%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19.78%</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11.92%</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7.33%</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6.95%</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10.61%</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401"/>
        <w:gridCol w:w="2566"/>
        <w:gridCol w:w="2565"/>
      </w:tblGrid>
      <w:tr w:rsidR="0094481B" w:rsidRPr="00781112" w14:paraId="00255703" w14:textId="57B86D35" w:rsidTr="00FE4611">
        <w:trPr>
          <w:trHeight w:val="350"/>
        </w:trPr>
        <w:tc>
          <w:tcPr>
            <w:tcW w:w="391" w:type="pct"/>
            <w:tcBorders>
              <w:bottom w:val="single" w:sz="4" w:space="0" w:color="auto"/>
            </w:tcBorders>
            <w:shd w:val="clear" w:color="auto" w:fill="auto"/>
          </w:tcPr>
          <w:p w14:paraId="12833EEC" w14:textId="77777777" w:rsidR="0094481B" w:rsidRPr="00781112" w:rsidRDefault="0094481B" w:rsidP="00373F78">
            <w:pPr>
              <w:jc w:val="center"/>
              <w:rPr>
                <w:b/>
                <w:color w:val="000000" w:themeColor="text1"/>
              </w:rPr>
            </w:pPr>
            <w:r w:rsidRPr="00781112">
              <w:rPr>
                <w:b/>
                <w:color w:val="000000" w:themeColor="text1"/>
              </w:rPr>
              <w:t>FFY</w:t>
            </w:r>
          </w:p>
        </w:tc>
        <w:tc>
          <w:tcPr>
            <w:tcW w:w="1470" w:type="pct"/>
            <w:shd w:val="clear" w:color="auto" w:fill="auto"/>
          </w:tcPr>
          <w:p w14:paraId="50119DBA" w14:textId="04DC2A77" w:rsidR="0094481B" w:rsidRPr="00781112" w:rsidRDefault="0094481B" w:rsidP="00373F78">
            <w:pPr>
              <w:jc w:val="center"/>
              <w:rPr>
                <w:b/>
                <w:color w:val="000000" w:themeColor="text1"/>
              </w:rPr>
            </w:pPr>
            <w:r w:rsidRPr="00781112">
              <w:rPr>
                <w:b/>
                <w:color w:val="000000" w:themeColor="text1"/>
              </w:rPr>
              <w:t>2023</w:t>
            </w:r>
          </w:p>
        </w:tc>
        <w:tc>
          <w:tcPr>
            <w:tcW w:w="1570" w:type="pct"/>
          </w:tcPr>
          <w:p w14:paraId="59425E52" w14:textId="30A73A95" w:rsidR="0094481B" w:rsidRPr="00781112" w:rsidRDefault="0094481B" w:rsidP="00373F78">
            <w:pPr>
              <w:jc w:val="center"/>
              <w:rPr>
                <w:b/>
                <w:color w:val="000000" w:themeColor="text1"/>
              </w:rPr>
            </w:pPr>
            <w:r w:rsidRPr="00781112">
              <w:rPr>
                <w:rFonts w:cs="Arial"/>
                <w:b/>
                <w:color w:val="000000" w:themeColor="text1"/>
                <w:szCs w:val="16"/>
              </w:rPr>
              <w:t>2024</w:t>
            </w:r>
          </w:p>
        </w:tc>
        <w:tc>
          <w:tcPr>
            <w:tcW w:w="1570" w:type="pct"/>
          </w:tcPr>
          <w:p w14:paraId="62296859" w14:textId="1A7F3D46"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1ACE760A" w14:textId="1AE21F6E" w:rsidTr="00FE4611">
        <w:trPr>
          <w:trHeight w:val="357"/>
        </w:trPr>
        <w:tc>
          <w:tcPr>
            <w:tcW w:w="391" w:type="pct"/>
            <w:shd w:val="clear" w:color="auto" w:fill="auto"/>
            <w:vAlign w:val="center"/>
          </w:tcPr>
          <w:p w14:paraId="3387B9B3" w14:textId="0ED5756F" w:rsidR="0094481B" w:rsidRPr="00781112" w:rsidRDefault="0094481B"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470" w:type="pct"/>
            <w:shd w:val="clear" w:color="auto" w:fill="auto"/>
            <w:vAlign w:val="center"/>
          </w:tcPr>
          <w:p w14:paraId="78EBD6ED" w14:textId="4FA09BBD" w:rsidR="0094481B" w:rsidRPr="00781112" w:rsidRDefault="0094481B" w:rsidP="00373F78">
            <w:pPr>
              <w:jc w:val="center"/>
              <w:rPr>
                <w:rFonts w:cs="Arial"/>
                <w:color w:val="000000" w:themeColor="text1"/>
                <w:szCs w:val="16"/>
              </w:rPr>
            </w:pPr>
            <w:r w:rsidRPr="00781112">
              <w:rPr>
                <w:rFonts w:cs="Arial"/>
                <w:color w:val="000000" w:themeColor="text1"/>
                <w:szCs w:val="16"/>
              </w:rPr>
              <w:t>12.50%</w:t>
            </w:r>
          </w:p>
        </w:tc>
        <w:tc>
          <w:tcPr>
            <w:tcW w:w="1570" w:type="pct"/>
          </w:tcPr>
          <w:p w14:paraId="6FDC82B2" w14:textId="0C85D604" w:rsidR="0094481B" w:rsidRPr="00781112" w:rsidRDefault="0094481B" w:rsidP="00373F78">
            <w:pPr>
              <w:jc w:val="center"/>
              <w:rPr>
                <w:rFonts w:cs="Arial"/>
                <w:color w:val="000000" w:themeColor="text1"/>
                <w:szCs w:val="16"/>
              </w:rPr>
            </w:pPr>
            <w:r w:rsidRPr="00781112">
              <w:rPr>
                <w:color w:val="000000" w:themeColor="text1"/>
                <w:szCs w:val="16"/>
              </w:rPr>
              <w:t>12.50%</w:t>
            </w:r>
          </w:p>
        </w:tc>
        <w:tc>
          <w:tcPr>
            <w:tcW w:w="1570" w:type="pct"/>
          </w:tcPr>
          <w:p w14:paraId="798EC84B" w14:textId="0E47DBF4" w:rsidR="0094481B" w:rsidRPr="00781112" w:rsidRDefault="0094481B" w:rsidP="00373F78">
            <w:pPr>
              <w:jc w:val="center"/>
              <w:rPr>
                <w:rFonts w:cs="Arial"/>
                <w:color w:val="000000" w:themeColor="text1"/>
                <w:szCs w:val="16"/>
              </w:rPr>
            </w:pPr>
            <w:r w:rsidRPr="00781112">
              <w:rPr>
                <w:color w:val="000000" w:themeColor="text1"/>
                <w:szCs w:val="16"/>
              </w:rPr>
              <w:t>12.00%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01F8C61F" w14:textId="7DC6A451" w:rsidR="002D145D" w:rsidRPr="00781112" w:rsidRDefault="002B7490" w:rsidP="002D145D">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r>
      <w:r w:rsidRPr="00781112">
        <w:rPr>
          <w:rFonts w:cs="Arial"/>
          <w:color w:val="000000" w:themeColor="text1"/>
          <w:szCs w:val="16"/>
        </w:rPr>
        <w:lastRenderedPageBreak/>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3FD5337B" w14:textId="54E74935" w:rsidR="002D145D" w:rsidRPr="00781112" w:rsidRDefault="002D145D" w:rsidP="002D145D">
      <w:pPr>
        <w:rPr>
          <w:rFonts w:cs="Arial"/>
          <w:color w:val="000000" w:themeColor="text1"/>
          <w:szCs w:val="16"/>
        </w:rPr>
      </w:pPr>
    </w:p>
    <w:p w14:paraId="2AE297AB" w14:textId="77777777" w:rsidR="007E6F97" w:rsidRPr="00781112" w:rsidRDefault="007E6F97" w:rsidP="004369B2">
      <w:pPr>
        <w:rPr>
          <w:color w:val="000000" w:themeColor="text1"/>
        </w:rPr>
      </w:pPr>
    </w:p>
    <w:bookmarkEnd w:id="26"/>
    <w:bookmarkEnd w:id="27"/>
    <w:p w14:paraId="2E616696" w14:textId="5918C7CC" w:rsidR="00D03701" w:rsidRPr="00781112" w:rsidRDefault="0047313F">
      <w:pPr>
        <w:rPr>
          <w:b/>
          <w:color w:val="000000" w:themeColor="text1"/>
        </w:rPr>
      </w:pPr>
      <w:r>
        <w:rPr>
          <w:b/>
          <w:color w:val="000000" w:themeColor="text1"/>
        </w:rPr>
        <w:t>FFY 2023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NO</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in the State</w:t>
            </w:r>
          </w:p>
        </w:tc>
        <w:tc>
          <w:tcPr>
            <w:tcW w:w="634" w:type="pct"/>
            <w:shd w:val="clear" w:color="auto" w:fill="auto"/>
            <w:vAlign w:val="bottom"/>
          </w:tcPr>
          <w:p w14:paraId="20C8255F" w14:textId="20C07B90" w:rsidR="00450F98" w:rsidRPr="00073BD7" w:rsidRDefault="00450F98" w:rsidP="00450F98">
            <w:pPr>
              <w:jc w:val="center"/>
              <w:rPr>
                <w:rFonts w:cs="Arial"/>
                <w:b/>
                <w:bCs/>
                <w:color w:val="000000" w:themeColor="text1"/>
                <w:szCs w:val="16"/>
              </w:rPr>
            </w:pPr>
            <w:r w:rsidRPr="00073BD7">
              <w:rPr>
                <w:b/>
                <w:bCs/>
              </w:rPr>
              <w:t>FFY 2022 Data</w:t>
            </w:r>
          </w:p>
        </w:tc>
        <w:tc>
          <w:tcPr>
            <w:tcW w:w="876" w:type="pct"/>
            <w:shd w:val="clear" w:color="auto" w:fill="auto"/>
            <w:vAlign w:val="bottom"/>
          </w:tcPr>
          <w:p w14:paraId="2298BC2C" w14:textId="13510387" w:rsidR="00450F98" w:rsidRPr="00073BD7" w:rsidRDefault="00450F98" w:rsidP="00450F98">
            <w:pPr>
              <w:jc w:val="center"/>
              <w:rPr>
                <w:rFonts w:cs="Arial"/>
                <w:b/>
                <w:bCs/>
                <w:color w:val="000000" w:themeColor="text1"/>
                <w:szCs w:val="16"/>
              </w:rPr>
            </w:pPr>
            <w:r w:rsidRPr="00073BD7">
              <w:rPr>
                <w:b/>
                <w:bCs/>
              </w:rPr>
              <w:t>FFY 2023 Target</w:t>
            </w:r>
          </w:p>
        </w:tc>
        <w:tc>
          <w:tcPr>
            <w:tcW w:w="584" w:type="pct"/>
            <w:shd w:val="clear" w:color="auto" w:fill="auto"/>
            <w:vAlign w:val="bottom"/>
          </w:tcPr>
          <w:p w14:paraId="3E9B682A" w14:textId="26011F12" w:rsidR="00450F98" w:rsidRPr="00073BD7" w:rsidRDefault="00450F98" w:rsidP="00450F98">
            <w:pPr>
              <w:jc w:val="center"/>
              <w:rPr>
                <w:rFonts w:cs="Arial"/>
                <w:b/>
                <w:bCs/>
                <w:color w:val="000000" w:themeColor="text1"/>
                <w:szCs w:val="16"/>
              </w:rPr>
            </w:pPr>
            <w:r w:rsidRPr="00073BD7">
              <w:rPr>
                <w:b/>
                <w:bCs/>
              </w:rPr>
              <w:t>FFY 2023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18</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194</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10.61%</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12.50%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9.28%</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 xml:space="preserve">Louisiana has defined significant discrepancy as the percent of students with disabilities who were suspended or expelled for greater than 10 days, 1.5 times greater than the state threshold, not to exceed 3%. </w:t>
      </w:r>
      <w:r w:rsidRPr="00781112">
        <w:rPr>
          <w:rFonts w:cs="Arial"/>
          <w:color w:val="000000" w:themeColor="text1"/>
          <w:szCs w:val="16"/>
        </w:rPr>
        <w:br/>
      </w:r>
      <w:r w:rsidRPr="00781112">
        <w:rPr>
          <w:rFonts w:cs="Arial"/>
          <w:color w:val="000000" w:themeColor="text1"/>
          <w:szCs w:val="16"/>
        </w:rPr>
        <w:br/>
        <w:t>Determining the State Threshold:</w:t>
      </w:r>
      <w:r w:rsidRPr="00781112">
        <w:rPr>
          <w:rFonts w:cs="Arial"/>
          <w:color w:val="000000" w:themeColor="text1"/>
          <w:szCs w:val="16"/>
        </w:rPr>
        <w:br/>
      </w:r>
      <w:r w:rsidRPr="00781112">
        <w:rPr>
          <w:rFonts w:cs="Arial"/>
          <w:color w:val="000000" w:themeColor="text1"/>
          <w:szCs w:val="16"/>
        </w:rPr>
        <w:br/>
        <w:t>The first step is to calculate the State rate. Divide the number of students with disabilities in the State with OSS and expulsions greater than 10 days by the cumulative number of students with disabilities in the State.</w:t>
      </w:r>
      <w:r w:rsidRPr="00781112">
        <w:rPr>
          <w:rFonts w:cs="Arial"/>
          <w:color w:val="000000" w:themeColor="text1"/>
          <w:szCs w:val="16"/>
        </w:rPr>
        <w:br/>
        <w:t>The State threshold is calculated by multiplying the State rate by 1.5 (not to exceed 3%).</w:t>
      </w:r>
      <w:r w:rsidRPr="00781112">
        <w:rPr>
          <w:rFonts w:cs="Arial"/>
          <w:color w:val="000000" w:themeColor="text1"/>
          <w:szCs w:val="16"/>
        </w:rPr>
        <w:br/>
        <w:t xml:space="preserve">The LEA rate is calculated by dividing the number of students with disabilities in the LEA with OSS and expulsions greater than 10 days by the cumulative number of students with disabilities in the LEA. </w:t>
      </w:r>
      <w:r w:rsidRPr="00781112">
        <w:rPr>
          <w:rFonts w:cs="Arial"/>
          <w:color w:val="000000" w:themeColor="text1"/>
          <w:szCs w:val="16"/>
        </w:rPr>
        <w:br/>
      </w:r>
      <w:r w:rsidRPr="00781112">
        <w:rPr>
          <w:rFonts w:cs="Arial"/>
          <w:color w:val="000000" w:themeColor="text1"/>
          <w:szCs w:val="16"/>
        </w:rPr>
        <w:br/>
        <w:t>Since the State uses percentages, there is no minimum n-size. Thus, all LEAs were included in the calculation. For the FFY 2023 APR submission, the State average was 0.32%. Thus, any LEA whose percentage was greater than 0.48% was identified as having a significant discrepancy.</w:t>
      </w:r>
    </w:p>
    <w:p w14:paraId="47F07052" w14:textId="3420EC7A" w:rsidR="00BB504D" w:rsidRPr="00781112" w:rsidRDefault="00BB504D" w:rsidP="004369B2">
      <w:pPr>
        <w:rPr>
          <w:b/>
          <w:color w:val="000000" w:themeColor="text1"/>
        </w:rPr>
      </w:pPr>
      <w:bookmarkStart w:id="28" w:name="_Toc384383334"/>
      <w:bookmarkStart w:id="29"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Indicators 4A and 4B reflect data from the 2022-2023 school year and data for correction of noncompliance data is from the 2021-2022 school year.</w:t>
      </w:r>
    </w:p>
    <w:bookmarkEnd w:id="28"/>
    <w:bookmarkEnd w:id="29"/>
    <w:p w14:paraId="227CCB46" w14:textId="77777777" w:rsidR="007E6F97" w:rsidRPr="00781112" w:rsidRDefault="007E6F97" w:rsidP="004369B2">
      <w:pPr>
        <w:rPr>
          <w:color w:val="000000" w:themeColor="text1"/>
        </w:rPr>
      </w:pPr>
    </w:p>
    <w:p w14:paraId="3F63E777" w14:textId="0DC81458" w:rsidR="00082667" w:rsidRPr="00781112" w:rsidRDefault="00082667" w:rsidP="004369B2">
      <w:pPr>
        <w:rPr>
          <w:color w:val="000000" w:themeColor="text1"/>
        </w:rPr>
      </w:pPr>
      <w:r w:rsidRPr="00781112">
        <w:rPr>
          <w:b/>
          <w:color w:val="000000" w:themeColor="text1"/>
        </w:rPr>
        <w:t>Review of Policies, Procedures, and Practices (completed in FFY 2023 using 2022-2023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 xml:space="preserve">LEAs identified with significant discrepancies were required to establish a team of personnel involved in disciplinary actions for students with disabilities to complete a self-review of the LEA's discipline policies, procedures, and practices. LEAs review areas including: </w:t>
      </w:r>
      <w:r w:rsidRPr="00781112">
        <w:rPr>
          <w:rFonts w:cs="Arial"/>
          <w:color w:val="000000" w:themeColor="text1"/>
          <w:szCs w:val="16"/>
        </w:rPr>
        <w:br/>
        <w:t>a.</w:t>
      </w:r>
      <w:r w:rsidRPr="00781112">
        <w:rPr>
          <w:rFonts w:cs="Arial"/>
          <w:color w:val="000000" w:themeColor="text1"/>
          <w:szCs w:val="16"/>
        </w:rPr>
        <w:tab/>
        <w:t xml:space="preserve">the LEA's code of conduct; </w:t>
      </w:r>
      <w:r w:rsidRPr="00781112">
        <w:rPr>
          <w:rFonts w:cs="Arial"/>
          <w:color w:val="000000" w:themeColor="text1"/>
          <w:szCs w:val="16"/>
        </w:rPr>
        <w:br/>
        <w:t>b.</w:t>
      </w:r>
      <w:r w:rsidRPr="00781112">
        <w:rPr>
          <w:rFonts w:cs="Arial"/>
          <w:color w:val="000000" w:themeColor="text1"/>
          <w:szCs w:val="16"/>
        </w:rPr>
        <w:tab/>
        <w:t xml:space="preserve">the referral and evaluation process for students suspected of having a disability; </w:t>
      </w:r>
      <w:r w:rsidRPr="00781112">
        <w:rPr>
          <w:rFonts w:cs="Arial"/>
          <w:color w:val="000000" w:themeColor="text1"/>
          <w:szCs w:val="16"/>
        </w:rPr>
        <w:br/>
        <w:t>c. the development of IEPs for students whose behavior impedes the child's learning, including the use of PBIS or other strategies to address the child's behavior;</w:t>
      </w:r>
      <w:r w:rsidRPr="00781112">
        <w:rPr>
          <w:rFonts w:cs="Arial"/>
          <w:color w:val="000000" w:themeColor="text1"/>
          <w:szCs w:val="16"/>
        </w:rPr>
        <w:br/>
        <w:t>d.</w:t>
      </w:r>
      <w:r w:rsidRPr="00781112">
        <w:rPr>
          <w:rFonts w:cs="Arial"/>
          <w:color w:val="000000" w:themeColor="text1"/>
          <w:szCs w:val="16"/>
        </w:rPr>
        <w:tab/>
        <w:t xml:space="preserve">the LEA's general procedures for disciplinary removal for students with disabilities; </w:t>
      </w:r>
      <w:r w:rsidRPr="00781112">
        <w:rPr>
          <w:rFonts w:cs="Arial"/>
          <w:color w:val="000000" w:themeColor="text1"/>
          <w:szCs w:val="16"/>
        </w:rPr>
        <w:br/>
        <w:t>e.</w:t>
      </w:r>
      <w:r w:rsidRPr="00781112">
        <w:rPr>
          <w:rFonts w:cs="Arial"/>
          <w:color w:val="000000" w:themeColor="text1"/>
          <w:szCs w:val="16"/>
        </w:rPr>
        <w:tab/>
        <w:t xml:space="preserve">the procedures for conducting a manifestation determination; and </w:t>
      </w:r>
      <w:r w:rsidRPr="00781112">
        <w:rPr>
          <w:rFonts w:cs="Arial"/>
          <w:color w:val="000000" w:themeColor="text1"/>
          <w:szCs w:val="16"/>
        </w:rPr>
        <w:br/>
        <w:t>f.</w:t>
      </w:r>
      <w:r w:rsidRPr="00781112">
        <w:rPr>
          <w:rFonts w:cs="Arial"/>
          <w:color w:val="000000" w:themeColor="text1"/>
          <w:szCs w:val="16"/>
        </w:rPr>
        <w:tab/>
        <w:t xml:space="preserve">the procedures for conducting a functional behavioral assessment and the development of a behavioral intervention plan. </w:t>
      </w:r>
      <w:r w:rsidRPr="00781112">
        <w:rPr>
          <w:rFonts w:cs="Arial"/>
          <w:color w:val="000000" w:themeColor="text1"/>
          <w:szCs w:val="16"/>
        </w:rPr>
        <w:br/>
      </w:r>
      <w:r w:rsidRPr="00781112">
        <w:rPr>
          <w:rFonts w:cs="Arial"/>
          <w:color w:val="000000" w:themeColor="text1"/>
          <w:szCs w:val="16"/>
        </w:rPr>
        <w:br/>
        <w:t xml:space="preserve">LEAs found discrepant were required to use a self-review instrument to review, and, if necessary, revise their policies, practices, and procedures with regard to the implementation of IEPs, the use of positive behavior interventions and procedural safeguards, and submit a plan of action to the LDOE along with the policies reviewed. </w:t>
      </w:r>
      <w:r w:rsidRPr="00781112">
        <w:rPr>
          <w:rFonts w:cs="Arial"/>
          <w:color w:val="000000" w:themeColor="text1"/>
          <w:szCs w:val="16"/>
        </w:rPr>
        <w:br/>
      </w:r>
      <w:r w:rsidRPr="00781112">
        <w:rPr>
          <w:rFonts w:cs="Arial"/>
          <w:color w:val="000000" w:themeColor="text1"/>
          <w:szCs w:val="16"/>
        </w:rPr>
        <w:br/>
        <w:t>LDOE reviewed the self-review rubric for compliance with IDEA discipline requirements. The State did not identify noncompliance with Part B requirements as a result of the review required by 34 CFR 300.170b.</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30" w:name="_Toc381956335"/>
      <w:bookmarkStart w:id="31" w:name="_Toc384383336"/>
      <w:bookmarkStart w:id="32" w:name="_Toc392159288"/>
    </w:p>
    <w:p w14:paraId="0496594E" w14:textId="4FC1341B" w:rsidR="00B9048A"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541B0318" w:rsidR="00B9048A"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2B528E22"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 xml:space="preserve">In the FFY 2023 SPP/APR, the State must reset its baseline and targets due to the State's use of a revised methodology. </w:t>
      </w:r>
    </w:p>
    <w:p w14:paraId="54E863CC" w14:textId="77777777" w:rsidR="009B02BC" w:rsidRPr="00781112" w:rsidRDefault="009B02BC" w:rsidP="004E2151">
      <w:pPr>
        <w:rPr>
          <w:rFonts w:cs="Arial"/>
          <w:color w:val="000000" w:themeColor="text1"/>
          <w:szCs w:val="16"/>
        </w:rPr>
      </w:pPr>
    </w:p>
    <w:p w14:paraId="0FF6D321" w14:textId="192373BD" w:rsidR="004E2151" w:rsidRPr="00781112" w:rsidRDefault="007639D7" w:rsidP="004369B2">
      <w:pPr>
        <w:rPr>
          <w:b/>
          <w:color w:val="000000" w:themeColor="text1"/>
        </w:rPr>
      </w:pPr>
      <w:r>
        <w:rPr>
          <w:b/>
          <w:color w:val="000000" w:themeColor="text1"/>
        </w:rPr>
        <w:t>Response to actions required in FFY 2022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Louisiana did not have a change in its methodology. Louisiana inadvertently included a n size in Indicator 4A but shouldn't have.</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30"/>
      <w:bookmarkEnd w:id="31"/>
      <w:bookmarkEnd w:id="32"/>
    </w:p>
    <w:p w14:paraId="1BA30D93" w14:textId="515996E4" w:rsidR="008637F8" w:rsidRPr="002C274F" w:rsidRDefault="008637F8" w:rsidP="002C274F">
      <w:pPr>
        <w:rPr>
          <w:b/>
          <w:bCs/>
          <w:sz w:val="20"/>
          <w:szCs w:val="20"/>
        </w:rPr>
      </w:pPr>
      <w:bookmarkStart w:id="33" w:name="_Toc384383338"/>
      <w:bookmarkStart w:id="34" w:name="_Toc392159290"/>
      <w:r w:rsidRPr="002C274F">
        <w:rPr>
          <w:b/>
          <w:bCs/>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6859FE14" w14:textId="58F72E1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5F753F19"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16DD2DE" w14:textId="001BD4C8" w:rsidR="00413366" w:rsidRPr="00FE4611" w:rsidRDefault="00E52C16" w:rsidP="00BB7BC9">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7D3F6556" w14:textId="173C985B"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2023 SPP/APR, use data from 2022-2023),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34216E20"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4B77809C" w14:textId="0F98B23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w:t>
      </w:r>
      <w:r w:rsidR="00F0304D">
        <w:rPr>
          <w:rFonts w:cs="Arial"/>
          <w:color w:val="000000" w:themeColor="text1"/>
          <w:szCs w:val="16"/>
        </w:rPr>
        <w:t>2</w:t>
      </w:r>
      <w:r w:rsidRPr="00781112">
        <w:rPr>
          <w:rFonts w:cs="Arial"/>
          <w:color w:val="000000" w:themeColor="text1"/>
          <w:szCs w:val="16"/>
        </w:rPr>
        <w:t xml:space="preserve">: The rates of suspensions and expulsions for children with IEPs to </w:t>
      </w:r>
      <w:bookmarkStart w:id="35" w:name="_Hlk150863741"/>
      <w:r w:rsidR="00FC69E3">
        <w:rPr>
          <w:rFonts w:cs="Arial"/>
          <w:color w:val="000000" w:themeColor="text1"/>
          <w:szCs w:val="16"/>
        </w:rPr>
        <w:t xml:space="preserve">the rates of suspensions and expulsions for </w:t>
      </w:r>
      <w:bookmarkEnd w:id="35"/>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FF87B9F"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6E7615F1"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2537B541" w14:textId="15A26A01"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2022-2023 (which can be found in the FFY 2022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1F7345F8" w14:textId="29EDCD85"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41E5B6C6"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1E2EA8D"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2009</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2022</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2400"/>
        <w:gridCol w:w="2567"/>
        <w:gridCol w:w="2567"/>
      </w:tblGrid>
      <w:tr w:rsidR="003234C9" w:rsidRPr="00781112" w14:paraId="1019C6DC" w14:textId="17898954" w:rsidTr="003234C9">
        <w:trPr>
          <w:trHeight w:val="325"/>
        </w:trPr>
        <w:tc>
          <w:tcPr>
            <w:tcW w:w="394" w:type="pct"/>
            <w:tcBorders>
              <w:bottom w:val="single" w:sz="4" w:space="0" w:color="auto"/>
            </w:tcBorders>
            <w:shd w:val="clear" w:color="auto" w:fill="auto"/>
          </w:tcPr>
          <w:p w14:paraId="049B323A" w14:textId="77777777" w:rsidR="003234C9" w:rsidRPr="00781112" w:rsidRDefault="003234C9" w:rsidP="00D62058">
            <w:pPr>
              <w:jc w:val="center"/>
              <w:rPr>
                <w:b/>
                <w:color w:val="000000" w:themeColor="text1"/>
              </w:rPr>
            </w:pPr>
            <w:r w:rsidRPr="00781112">
              <w:rPr>
                <w:b/>
                <w:color w:val="000000" w:themeColor="text1"/>
              </w:rPr>
              <w:t>FFY</w:t>
            </w:r>
          </w:p>
        </w:tc>
        <w:tc>
          <w:tcPr>
            <w:tcW w:w="1468" w:type="pct"/>
            <w:shd w:val="clear" w:color="auto" w:fill="auto"/>
          </w:tcPr>
          <w:p w14:paraId="50E287A7" w14:textId="77777777" w:rsidR="003234C9" w:rsidRPr="00781112" w:rsidRDefault="003234C9" w:rsidP="00D62058">
            <w:pPr>
              <w:jc w:val="center"/>
              <w:rPr>
                <w:b/>
                <w:color w:val="000000" w:themeColor="text1"/>
              </w:rPr>
            </w:pPr>
            <w:r w:rsidRPr="00781112">
              <w:rPr>
                <w:b/>
                <w:color w:val="000000" w:themeColor="text1"/>
              </w:rPr>
              <w:t>2023</w:t>
            </w:r>
          </w:p>
        </w:tc>
        <w:tc>
          <w:tcPr>
            <w:tcW w:w="1569" w:type="pct"/>
          </w:tcPr>
          <w:p w14:paraId="126623D3" w14:textId="402F1C62" w:rsidR="003234C9" w:rsidRPr="00781112" w:rsidRDefault="003234C9" w:rsidP="00D62058">
            <w:pPr>
              <w:jc w:val="center"/>
              <w:rPr>
                <w:b/>
                <w:color w:val="000000" w:themeColor="text1"/>
              </w:rPr>
            </w:pPr>
            <w:r w:rsidRPr="00781112">
              <w:rPr>
                <w:rFonts w:cs="Arial"/>
                <w:b/>
                <w:color w:val="000000" w:themeColor="text1"/>
                <w:szCs w:val="16"/>
              </w:rPr>
              <w:t>2024</w:t>
            </w:r>
          </w:p>
        </w:tc>
        <w:tc>
          <w:tcPr>
            <w:tcW w:w="1569" w:type="pct"/>
          </w:tcPr>
          <w:p w14:paraId="737913FD" w14:textId="6A609FDC" w:rsidR="003234C9" w:rsidRPr="00781112" w:rsidRDefault="003234C9" w:rsidP="00D62058">
            <w:pPr>
              <w:jc w:val="center"/>
              <w:rPr>
                <w:b/>
                <w:color w:val="000000" w:themeColor="text1"/>
              </w:rPr>
            </w:pPr>
            <w:r w:rsidRPr="00781112">
              <w:rPr>
                <w:rFonts w:cs="Arial"/>
                <w:b/>
                <w:color w:val="000000" w:themeColor="text1"/>
                <w:szCs w:val="16"/>
              </w:rPr>
              <w:t>2025</w:t>
            </w:r>
          </w:p>
        </w:tc>
      </w:tr>
      <w:tr w:rsidR="003234C9" w:rsidRPr="00781112" w14:paraId="090BA5B6" w14:textId="14D1700A" w:rsidTr="003234C9">
        <w:trPr>
          <w:trHeight w:val="332"/>
        </w:trPr>
        <w:tc>
          <w:tcPr>
            <w:tcW w:w="394" w:type="pct"/>
            <w:shd w:val="clear" w:color="auto" w:fill="auto"/>
            <w:vAlign w:val="center"/>
          </w:tcPr>
          <w:p w14:paraId="47EE91AE" w14:textId="1E6CE702" w:rsidR="003234C9" w:rsidRPr="00781112" w:rsidRDefault="003234C9" w:rsidP="00BA3DBE">
            <w:pPr>
              <w:jc w:val="center"/>
              <w:rPr>
                <w:rFonts w:cs="Arial"/>
                <w:color w:val="000000" w:themeColor="text1"/>
                <w:szCs w:val="16"/>
              </w:rPr>
            </w:pPr>
            <w:r w:rsidRPr="00781112">
              <w:rPr>
                <w:rFonts w:cs="Arial"/>
                <w:color w:val="000000" w:themeColor="text1"/>
                <w:szCs w:val="16"/>
              </w:rPr>
              <w:t>Target</w:t>
            </w:r>
          </w:p>
        </w:tc>
        <w:tc>
          <w:tcPr>
            <w:tcW w:w="1468" w:type="pct"/>
            <w:shd w:val="clear" w:color="auto" w:fill="auto"/>
            <w:vAlign w:val="center"/>
          </w:tcPr>
          <w:p w14:paraId="26579D0D" w14:textId="55868DD1" w:rsidR="003234C9" w:rsidRPr="00781112" w:rsidRDefault="003234C9" w:rsidP="00D62058">
            <w:pPr>
              <w:jc w:val="center"/>
              <w:rPr>
                <w:rFonts w:cs="Arial"/>
                <w:color w:val="000000" w:themeColor="text1"/>
                <w:szCs w:val="16"/>
              </w:rPr>
            </w:pPr>
            <w:r w:rsidRPr="00781112">
              <w:rPr>
                <w:rFonts w:cs="Arial"/>
                <w:color w:val="000000" w:themeColor="text1"/>
                <w:szCs w:val="16"/>
              </w:rPr>
              <w:t>0%</w:t>
            </w:r>
          </w:p>
        </w:tc>
        <w:tc>
          <w:tcPr>
            <w:tcW w:w="1569" w:type="pct"/>
          </w:tcPr>
          <w:p w14:paraId="41C3DA31" w14:textId="175676CA" w:rsidR="003234C9" w:rsidRPr="00781112" w:rsidRDefault="003234C9" w:rsidP="00D62058">
            <w:pPr>
              <w:jc w:val="center"/>
              <w:rPr>
                <w:rFonts w:cs="Arial"/>
                <w:color w:val="000000" w:themeColor="text1"/>
                <w:szCs w:val="16"/>
              </w:rPr>
            </w:pPr>
            <w:r w:rsidRPr="00781112">
              <w:rPr>
                <w:color w:val="000000" w:themeColor="text1"/>
                <w:szCs w:val="16"/>
              </w:rPr>
              <w:t>0%</w:t>
            </w:r>
          </w:p>
        </w:tc>
        <w:tc>
          <w:tcPr>
            <w:tcW w:w="1569" w:type="pct"/>
          </w:tcPr>
          <w:p w14:paraId="11966A3D" w14:textId="65AB7EFF" w:rsidR="003234C9" w:rsidRPr="00781112" w:rsidRDefault="003234C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3"/>
    <w:bookmarkEnd w:id="34"/>
    <w:p w14:paraId="6C217ADA" w14:textId="24A1A15F" w:rsidR="00D03701" w:rsidRPr="00781112" w:rsidRDefault="0047313F">
      <w:pPr>
        <w:rPr>
          <w:b/>
          <w:color w:val="000000" w:themeColor="text1"/>
        </w:rPr>
      </w:pPr>
      <w:r>
        <w:rPr>
          <w:b/>
          <w:color w:val="000000" w:themeColor="text1"/>
        </w:rPr>
        <w:t>FFY 2023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0E1DD4DF"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1B28FEF2" w14:textId="4316A0D5" w:rsidR="00E52C16" w:rsidRPr="00FE4611" w:rsidRDefault="00E52C16">
      <w:pPr>
        <w:rPr>
          <w:rFonts w:cs="Arial"/>
          <w:color w:val="000000" w:themeColor="text1"/>
          <w:szCs w:val="16"/>
        </w:rPr>
      </w:pPr>
      <w:r w:rsidRPr="00FE4611">
        <w:rPr>
          <w:rFonts w:cs="Arial"/>
          <w:color w:val="000000" w:themeColor="text1"/>
          <w:szCs w:val="16"/>
        </w:rPr>
        <w:t>Louisiana's cell size of 3 represents the number of children with disabilities with out-of-school suspensions (OSS) and expulsions greater than 10 days in the racial/ethnic group within the LEA. Additionally, Louisiana's n size of 25 represents the number of children with disabilities enrolled in an LEA.</w:t>
      </w:r>
    </w:p>
    <w:p w14:paraId="2EA86269" w14:textId="46B915E6"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3381EA39" w14:textId="6D2C1148" w:rsidR="00F93985" w:rsidRDefault="00E52C16" w:rsidP="00E52C16">
      <w:pPr>
        <w:rPr>
          <w:rFonts w:cs="Arial"/>
          <w:color w:val="000000" w:themeColor="text1"/>
          <w:szCs w:val="16"/>
        </w:rPr>
      </w:pPr>
      <w:r w:rsidRPr="00FE4611">
        <w:rPr>
          <w:rFonts w:cs="Arial"/>
          <w:color w:val="000000" w:themeColor="text1"/>
          <w:szCs w:val="16"/>
        </w:rPr>
        <w:t>Louisiana selected a minimum cell size of 3 and a minimum n size of 25 to analyze and identify LEAs for significant discrepancy due to the characteristics of the State's educational landscape, particularly the large number of charter schools. Louisiana charter schools typically have a lower population of students with disabilities than the traditional school districts. Additionally, many charter schools serve a student population that is predominantly from one racial/ethnic group. A larger cell or n size could potentially lead to volatile results and possible over identification of LEAs when there is no significant discrepancy. Thus, these parameters ensure that the data remains stable and reliable.</w:t>
      </w:r>
    </w:p>
    <w:p w14:paraId="1E818983" w14:textId="2BCEB1A6"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1BCA870" w14:textId="42C6A184" w:rsidR="00E52C16" w:rsidRPr="00FE4611" w:rsidRDefault="00E52C16">
      <w:pPr>
        <w:rPr>
          <w:rFonts w:cs="Arial"/>
          <w:color w:val="000000" w:themeColor="text1"/>
          <w:szCs w:val="16"/>
        </w:rPr>
      </w:pPr>
      <w:r w:rsidRPr="00FE4611">
        <w:rPr>
          <w:rFonts w:cs="Arial"/>
          <w:color w:val="000000" w:themeColor="text1"/>
          <w:szCs w:val="16"/>
        </w:rPr>
        <w:t>The minimum n and cell size have been consistent throughout the SPP/APR reporting period. There have been no changes.</w:t>
      </w:r>
    </w:p>
    <w:p w14:paraId="291B5286"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56023CFF" w14:textId="68F61573" w:rsidR="00E52C16" w:rsidRPr="00FE4611" w:rsidRDefault="00E52C16">
      <w:pPr>
        <w:rPr>
          <w:rFonts w:cs="Arial"/>
          <w:color w:val="000000" w:themeColor="text1"/>
          <w:szCs w:val="16"/>
        </w:rPr>
      </w:pPr>
      <w:r w:rsidRPr="00FE4611">
        <w:rPr>
          <w:rFonts w:cs="Arial"/>
          <w:color w:val="000000" w:themeColor="text1"/>
          <w:szCs w:val="16"/>
        </w:rPr>
        <w:t>The minimum n and cell size have been consistent throughout the SPP/APR reporting period. There have been no changes.</w:t>
      </w:r>
    </w:p>
    <w:p w14:paraId="69A72720" w14:textId="67B8926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If the State used a minimum n and/or cell size requirement, report the number of LEAs totally excluded from the calculation as a result of this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24</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lastRenderedPageBreak/>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2ED4570D" w:rsidR="00740CBC" w:rsidRPr="00CC1061" w:rsidRDefault="00740CBC" w:rsidP="00740CBC">
            <w:pPr>
              <w:jc w:val="center"/>
              <w:rPr>
                <w:rFonts w:cs="Arial"/>
                <w:b/>
                <w:bCs/>
                <w:color w:val="000000" w:themeColor="text1"/>
                <w:szCs w:val="16"/>
              </w:rPr>
            </w:pPr>
            <w:r w:rsidRPr="00CC1061">
              <w:rPr>
                <w:b/>
                <w:bCs/>
              </w:rPr>
              <w:t>FFY 2022 Data</w:t>
            </w:r>
          </w:p>
        </w:tc>
        <w:tc>
          <w:tcPr>
            <w:tcW w:w="776" w:type="pct"/>
            <w:shd w:val="clear" w:color="auto" w:fill="auto"/>
            <w:vAlign w:val="bottom"/>
          </w:tcPr>
          <w:p w14:paraId="1BAB59B0" w14:textId="231C4FF6" w:rsidR="00740CBC" w:rsidRPr="00CC1061" w:rsidRDefault="00740CBC" w:rsidP="00740CBC">
            <w:pPr>
              <w:jc w:val="center"/>
              <w:rPr>
                <w:rFonts w:cs="Arial"/>
                <w:b/>
                <w:bCs/>
                <w:color w:val="000000" w:themeColor="text1"/>
                <w:szCs w:val="16"/>
              </w:rPr>
            </w:pPr>
            <w:r w:rsidRPr="00CC1061">
              <w:rPr>
                <w:b/>
                <w:bCs/>
              </w:rPr>
              <w:t>FFY 2023 Target</w:t>
            </w:r>
          </w:p>
        </w:tc>
        <w:tc>
          <w:tcPr>
            <w:tcW w:w="485" w:type="pct"/>
            <w:shd w:val="clear" w:color="auto" w:fill="auto"/>
            <w:vAlign w:val="bottom"/>
          </w:tcPr>
          <w:p w14:paraId="179C63C5" w14:textId="103459BA" w:rsidR="00740CBC" w:rsidRPr="00CC1061" w:rsidRDefault="00740CBC" w:rsidP="00740CBC">
            <w:pPr>
              <w:jc w:val="center"/>
              <w:rPr>
                <w:rFonts w:cs="Arial"/>
                <w:b/>
                <w:bCs/>
                <w:color w:val="000000" w:themeColor="text1"/>
                <w:szCs w:val="16"/>
              </w:rPr>
            </w:pPr>
            <w:r w:rsidRPr="00CC1061">
              <w:rPr>
                <w:b/>
                <w:bCs/>
              </w:rPr>
              <w:t>FFY 2023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33</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170</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6"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 xml:space="preserve">In Louisiana, an LEA is determined to have significant discrepancy if the LEA meets the criteria defined as: </w:t>
      </w:r>
      <w:r w:rsidRPr="00781112">
        <w:rPr>
          <w:rFonts w:cs="Arial"/>
          <w:color w:val="000000" w:themeColor="text1"/>
          <w:szCs w:val="16"/>
        </w:rPr>
        <w:br/>
      </w:r>
      <w:r w:rsidRPr="00781112">
        <w:rPr>
          <w:rFonts w:cs="Arial"/>
          <w:color w:val="000000" w:themeColor="text1"/>
          <w:szCs w:val="16"/>
        </w:rPr>
        <w:br/>
        <w:t xml:space="preserve">The LEA has at least 25 students with disabilities (SWD) in the racial/ethnic group being analyzed; </w:t>
      </w:r>
      <w:r w:rsidRPr="00781112">
        <w:rPr>
          <w:rFonts w:cs="Arial"/>
          <w:color w:val="000000" w:themeColor="text1"/>
          <w:szCs w:val="16"/>
        </w:rPr>
        <w:br/>
        <w:t>The LEA has at least 3 SWD with OSS and expulsions greater than 10 days in the racial/ethnic group being analyzed;</w:t>
      </w:r>
      <w:r w:rsidRPr="00781112">
        <w:rPr>
          <w:rFonts w:cs="Arial"/>
          <w:color w:val="000000" w:themeColor="text1"/>
          <w:szCs w:val="16"/>
        </w:rPr>
        <w:br/>
        <w:t>The LEA rate of OSS and expulsions greater than 10 days for the racial/ethnic group being analyzed is greater than the State threshold (see the following for how the threshold is determined):</w:t>
      </w:r>
      <w:r w:rsidRPr="00781112">
        <w:rPr>
          <w:rFonts w:cs="Arial"/>
          <w:color w:val="000000" w:themeColor="text1"/>
          <w:szCs w:val="16"/>
        </w:rPr>
        <w:br/>
      </w:r>
      <w:r w:rsidRPr="00781112">
        <w:rPr>
          <w:rFonts w:cs="Arial"/>
          <w:color w:val="000000" w:themeColor="text1"/>
          <w:szCs w:val="16"/>
        </w:rPr>
        <w:br/>
        <w:t>Determining State Threshold:</w:t>
      </w:r>
      <w:r w:rsidRPr="00781112">
        <w:rPr>
          <w:rFonts w:cs="Arial"/>
          <w:color w:val="000000" w:themeColor="text1"/>
          <w:szCs w:val="16"/>
        </w:rPr>
        <w:br/>
        <w:t>The first step is to calculate the State rate: divide the number of SWD in the State with the OSS and expulsions greater than 10 days by the cumulative number of SWD in the State.</w:t>
      </w:r>
      <w:r w:rsidRPr="00781112">
        <w:rPr>
          <w:rFonts w:cs="Arial"/>
          <w:color w:val="000000" w:themeColor="text1"/>
          <w:szCs w:val="16"/>
        </w:rPr>
        <w:br/>
        <w:t>The State threshold is calculated by multiplying the State rate by 1.5.</w:t>
      </w:r>
      <w:r w:rsidRPr="00781112">
        <w:rPr>
          <w:rFonts w:cs="Arial"/>
          <w:color w:val="000000" w:themeColor="text1"/>
          <w:szCs w:val="16"/>
        </w:rPr>
        <w:br/>
        <w:t xml:space="preserve">The LEA rate is calculated by dividing the number of SWD with OSS and expulsions greater than 10 days in the racial/ethnic group being analyzed in the LEA by the cumulative number of SWD in the LEA. </w:t>
      </w:r>
      <w:r w:rsidRPr="00781112">
        <w:rPr>
          <w:rFonts w:cs="Arial"/>
          <w:color w:val="000000" w:themeColor="text1"/>
          <w:szCs w:val="16"/>
        </w:rPr>
        <w:br/>
        <w:t xml:space="preserve">Any LEA whose rate is greater than the State threshold for any racial/ethnic group has significant discrepancy. </w:t>
      </w:r>
      <w:r w:rsidRPr="00781112">
        <w:rPr>
          <w:rFonts w:cs="Arial"/>
          <w:color w:val="000000" w:themeColor="text1"/>
          <w:szCs w:val="16"/>
        </w:rPr>
        <w:br/>
      </w:r>
      <w:r w:rsidRPr="00781112">
        <w:rPr>
          <w:rFonts w:cs="Arial"/>
          <w:color w:val="000000" w:themeColor="text1"/>
          <w:szCs w:val="16"/>
        </w:rPr>
        <w:br/>
        <w:t>As in the calculation for Indicator 4A, the state average was 0.32%. Thus, any LEA with a percentage greater than 0.48% for any racial/ethnic group who met the above criteria is considered significantly discrepant.</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The FFY 2023 APR generally reflects data from school year 2023-2024; however, indicators 4A and 4B reflect data from school year 2022-2023.</w:t>
      </w:r>
    </w:p>
    <w:p w14:paraId="4B905245" w14:textId="77777777" w:rsidR="005E2440" w:rsidRPr="00781112" w:rsidRDefault="005E2440" w:rsidP="004369B2">
      <w:pPr>
        <w:rPr>
          <w:color w:val="000000" w:themeColor="text1"/>
        </w:rPr>
      </w:pPr>
    </w:p>
    <w:p w14:paraId="248087F7" w14:textId="4A46CA07" w:rsidR="001F6A28" w:rsidRPr="00781112" w:rsidRDefault="001F6A28" w:rsidP="004369B2">
      <w:pPr>
        <w:rPr>
          <w:color w:val="000000" w:themeColor="text1"/>
        </w:rPr>
      </w:pPr>
      <w:r w:rsidRPr="00781112">
        <w:rPr>
          <w:b/>
          <w:color w:val="000000" w:themeColor="text1"/>
        </w:rPr>
        <w:t>Review of Policies, Procedures, and Practices (completed in FFY 2023 using 2022-2023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 xml:space="preserve">1. LEAs identified with significant discrepancies were required to establish a team of personnel involved in disciplinary actions for students with disabilities to complete a self-review of the LEA's discipline policies, procedures, and practices. LEAs review areas including: </w:t>
      </w:r>
      <w:r w:rsidRPr="00781112">
        <w:rPr>
          <w:rFonts w:cs="Arial"/>
          <w:color w:val="000000" w:themeColor="text1"/>
          <w:szCs w:val="16"/>
        </w:rPr>
        <w:br/>
      </w:r>
      <w:r w:rsidRPr="00781112">
        <w:rPr>
          <w:rFonts w:cs="Arial"/>
          <w:color w:val="000000" w:themeColor="text1"/>
          <w:szCs w:val="16"/>
        </w:rPr>
        <w:br/>
        <w:t xml:space="preserve">a. the LEA's code of conduct; </w:t>
      </w:r>
      <w:r w:rsidRPr="00781112">
        <w:rPr>
          <w:rFonts w:cs="Arial"/>
          <w:color w:val="000000" w:themeColor="text1"/>
          <w:szCs w:val="16"/>
        </w:rPr>
        <w:br/>
        <w:t xml:space="preserve">b. the referral and evaluation process for students suspected of having a disability; </w:t>
      </w:r>
      <w:r w:rsidRPr="00781112">
        <w:rPr>
          <w:rFonts w:cs="Arial"/>
          <w:color w:val="000000" w:themeColor="text1"/>
          <w:szCs w:val="16"/>
        </w:rPr>
        <w:br/>
        <w:t xml:space="preserve">c. the development of IEPs for students whose behavior impedes the child's learning, including the use of PBIS or other strategies to address the child's behavior; </w:t>
      </w:r>
      <w:r w:rsidRPr="00781112">
        <w:rPr>
          <w:rFonts w:cs="Arial"/>
          <w:color w:val="000000" w:themeColor="text1"/>
          <w:szCs w:val="16"/>
        </w:rPr>
        <w:br/>
        <w:t xml:space="preserve">d. the LEA's general procedures for disciplinary removal for students with disabilities; </w:t>
      </w:r>
      <w:r w:rsidRPr="00781112">
        <w:rPr>
          <w:rFonts w:cs="Arial"/>
          <w:color w:val="000000" w:themeColor="text1"/>
          <w:szCs w:val="16"/>
        </w:rPr>
        <w:br/>
        <w:t xml:space="preserve">e. the procedures for conducting a manifestation determination; and </w:t>
      </w:r>
      <w:r w:rsidRPr="00781112">
        <w:rPr>
          <w:rFonts w:cs="Arial"/>
          <w:color w:val="000000" w:themeColor="text1"/>
          <w:szCs w:val="16"/>
        </w:rPr>
        <w:br/>
        <w:t xml:space="preserve">f. the procedures for conducting a functional behavioral assessment and the development of a behavioral intervention plan. </w:t>
      </w:r>
      <w:r w:rsidRPr="00781112">
        <w:rPr>
          <w:rFonts w:cs="Arial"/>
          <w:color w:val="000000" w:themeColor="text1"/>
          <w:szCs w:val="16"/>
        </w:rPr>
        <w:br/>
      </w:r>
      <w:r w:rsidRPr="00781112">
        <w:rPr>
          <w:rFonts w:cs="Arial"/>
          <w:color w:val="000000" w:themeColor="text1"/>
          <w:szCs w:val="16"/>
        </w:rPr>
        <w:br/>
        <w:t xml:space="preserve">2. LEAs that were discrepant were required to use a self-review instrument to review, and, if necessary, revise their policies, practices, and procedures with regard to the implementation of IEPs, the use of positive behavior interventions and procedural safeguards and submit a plan of action with the policies to the LDOE. </w:t>
      </w:r>
      <w:r w:rsidRPr="00781112">
        <w:rPr>
          <w:rFonts w:cs="Arial"/>
          <w:color w:val="000000" w:themeColor="text1"/>
          <w:szCs w:val="16"/>
        </w:rPr>
        <w:br/>
      </w:r>
      <w:r w:rsidRPr="00781112">
        <w:rPr>
          <w:rFonts w:cs="Arial"/>
          <w:color w:val="000000" w:themeColor="text1"/>
          <w:szCs w:val="16"/>
        </w:rPr>
        <w:br/>
        <w:t xml:space="preserve">3. LDOE reviewed the self-review rubric for compliance with IDEA discipline requirements. If any rubrics indicated noncompliance with IDEA requirements, LDOE issued a finding of noncompliance. </w:t>
      </w:r>
      <w:r w:rsidRPr="00781112">
        <w:rPr>
          <w:rFonts w:cs="Arial"/>
          <w:color w:val="000000" w:themeColor="text1"/>
          <w:szCs w:val="16"/>
        </w:rPr>
        <w:br/>
      </w:r>
      <w:r w:rsidRPr="00781112">
        <w:rPr>
          <w:rFonts w:cs="Arial"/>
          <w:color w:val="000000" w:themeColor="text1"/>
          <w:szCs w:val="16"/>
        </w:rPr>
        <w:br/>
        <w:t>4. To demonstrate correction of the identified noncompliance, each LEA had to: a. revise their noncompliant policies, procedures, and practices through training and revision of appropriate forms; and b. demonstrate that they correctly implemented the specific regulatory requirements, through the review of state records from a subsequent reporting period.</w:t>
      </w:r>
      <w:r w:rsidRPr="00781112">
        <w:rPr>
          <w:rFonts w:cs="Arial"/>
          <w:color w:val="000000" w:themeColor="text1"/>
          <w:szCs w:val="16"/>
        </w:rPr>
        <w:br/>
      </w:r>
      <w:r w:rsidRPr="00781112">
        <w:rPr>
          <w:rFonts w:cs="Arial"/>
          <w:color w:val="000000" w:themeColor="text1"/>
          <w:szCs w:val="16"/>
        </w:rPr>
        <w:br/>
        <w:t>The State DID NOT identify noncompliance with Part B requirements as a result of the review required by 34 CFR §300.170(b).</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18C141C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10AA3A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4035CC3C"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The State did not provide valid and reliable data for FFY 2022. The State must provide valid and reliable data for FFY 2023 in the FFY 2023 SPP/APR.</w:t>
      </w:r>
    </w:p>
    <w:p w14:paraId="739A1EFB" w14:textId="6AE8F009" w:rsidR="004E2151" w:rsidRPr="00781112" w:rsidRDefault="007639D7" w:rsidP="004369B2">
      <w:pPr>
        <w:rPr>
          <w:b/>
          <w:color w:val="000000" w:themeColor="text1"/>
        </w:rPr>
      </w:pPr>
      <w:r>
        <w:rPr>
          <w:b/>
          <w:color w:val="000000" w:themeColor="text1"/>
        </w:rPr>
        <w:t>Response to actions required in FFY 2022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 xml:space="preserve">During the submission period of the FFY 2022 data in the APR, the state was also under an audit at the state level. The demands of reporting the APR data in conjunction with meeting the needs of the Louisiana Legislative Auditors exceeded staff capacity. Louisiana took the necessary steps to ensure that procedures for collecting and validating data for this indicator meet the standards outlined in the protocol. The methods were applied with fidelity and notification to LEAs who exceeded the threshold were made. The identified LEAs submitted a completed version of the Discipline Rubric accompanied by the applicable policies. After review of the submissions, determinations were made concerning whether the policies, procedures, and practices were the root cause of the identification. FFY 2022 data for this indicator was submitted during clarification, however, the State misreported the number of LEAs analyzed. The State has corrected this as demonstrated in the number of LEAs reported as included and excluded based on minimum cell and n-size requirements. </w:t>
      </w:r>
    </w:p>
    <w:p w14:paraId="63ACC6CE" w14:textId="77777777" w:rsidR="00744E34" w:rsidRPr="00781112" w:rsidRDefault="00744E34" w:rsidP="004E2151">
      <w:pPr>
        <w:rPr>
          <w:rFonts w:cs="Arial"/>
          <w:color w:val="000000" w:themeColor="text1"/>
          <w:szCs w:val="16"/>
        </w:rPr>
      </w:pPr>
    </w:p>
    <w:p w14:paraId="7562BCA8" w14:textId="2875B1E9" w:rsidR="005115D6" w:rsidRPr="00781112" w:rsidRDefault="00D11730" w:rsidP="008645AD">
      <w:pPr>
        <w:pStyle w:val="Heading2"/>
      </w:pPr>
      <w:r w:rsidRPr="00781112">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5"/>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22"/>
      <w:bookmarkEnd w:id="36"/>
    </w:p>
    <w:p w14:paraId="52AD89A1" w14:textId="09613BAA" w:rsidR="00775845" w:rsidRPr="002C274F" w:rsidRDefault="00775845" w:rsidP="002C274F">
      <w:pPr>
        <w:rPr>
          <w:b/>
          <w:bCs/>
          <w:sz w:val="20"/>
          <w:szCs w:val="20"/>
        </w:rPr>
      </w:pPr>
      <w:bookmarkStart w:id="37" w:name="_Toc392159295"/>
      <w:r w:rsidRPr="002C274F">
        <w:rPr>
          <w:b/>
          <w:bCs/>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7"/>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64.00%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64.00%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72.00%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72.00%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72.50%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71.98%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61.76%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63.93%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71.98%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67.85%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64.60%</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13.50%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13.50%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9.50%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9.50%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9.50%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9.61%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14.59%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14.00%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9.61%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13.40%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16.81%</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1.20%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1.29%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1.22%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1.29%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1.21%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1.33%</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2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0"/>
      </w:tblGrid>
      <w:tr w:rsidR="000F7167" w:rsidRPr="00781112" w14:paraId="67121B7A" w14:textId="6B1EA8E0" w:rsidTr="003E5D5A">
        <w:trPr>
          <w:trHeight w:val="264"/>
        </w:trPr>
        <w:tc>
          <w:tcPr>
            <w:tcW w:w="585" w:type="pct"/>
            <w:tcBorders>
              <w:bottom w:val="single" w:sz="4" w:space="0" w:color="auto"/>
            </w:tcBorders>
            <w:shd w:val="clear" w:color="auto" w:fill="auto"/>
          </w:tcPr>
          <w:p w14:paraId="417BC1C4" w14:textId="77777777" w:rsidR="000F7167" w:rsidRPr="00781112" w:rsidRDefault="000F7167" w:rsidP="00D62058">
            <w:pPr>
              <w:jc w:val="center"/>
              <w:rPr>
                <w:b/>
                <w:color w:val="000000" w:themeColor="text1"/>
              </w:rPr>
            </w:pPr>
            <w:r w:rsidRPr="00781112">
              <w:rPr>
                <w:b/>
                <w:color w:val="000000" w:themeColor="text1"/>
              </w:rPr>
              <w:t>FFY</w:t>
            </w:r>
          </w:p>
        </w:tc>
        <w:tc>
          <w:tcPr>
            <w:tcW w:w="1472" w:type="pct"/>
            <w:shd w:val="clear" w:color="auto" w:fill="auto"/>
          </w:tcPr>
          <w:p w14:paraId="43C546D5" w14:textId="7A1B1AB1" w:rsidR="000F7167" w:rsidRPr="00781112" w:rsidRDefault="000F7167" w:rsidP="00D62058">
            <w:pPr>
              <w:jc w:val="center"/>
              <w:rPr>
                <w:b/>
                <w:color w:val="000000" w:themeColor="text1"/>
              </w:rPr>
            </w:pPr>
            <w:r w:rsidRPr="00781112">
              <w:rPr>
                <w:b/>
                <w:color w:val="000000" w:themeColor="text1"/>
              </w:rPr>
              <w:t>2023</w:t>
            </w:r>
          </w:p>
        </w:tc>
        <w:tc>
          <w:tcPr>
            <w:tcW w:w="1472" w:type="pct"/>
          </w:tcPr>
          <w:p w14:paraId="12417F21" w14:textId="04859FD1" w:rsidR="000F7167" w:rsidRPr="00781112" w:rsidRDefault="000F7167" w:rsidP="00D62058">
            <w:pPr>
              <w:jc w:val="center"/>
              <w:rPr>
                <w:b/>
                <w:color w:val="000000" w:themeColor="text1"/>
              </w:rPr>
            </w:pPr>
            <w:r w:rsidRPr="00781112">
              <w:rPr>
                <w:rFonts w:cs="Arial"/>
                <w:b/>
                <w:color w:val="000000" w:themeColor="text1"/>
                <w:szCs w:val="16"/>
              </w:rPr>
              <w:t>2024</w:t>
            </w:r>
          </w:p>
        </w:tc>
        <w:tc>
          <w:tcPr>
            <w:tcW w:w="1472" w:type="pct"/>
          </w:tcPr>
          <w:p w14:paraId="75B6E23D" w14:textId="1550C183" w:rsidR="000F7167" w:rsidRPr="00781112" w:rsidRDefault="000F7167" w:rsidP="00D62058">
            <w:pPr>
              <w:jc w:val="center"/>
              <w:rPr>
                <w:b/>
                <w:color w:val="000000" w:themeColor="text1"/>
              </w:rPr>
            </w:pPr>
            <w:r w:rsidRPr="00781112">
              <w:rPr>
                <w:rFonts w:cs="Arial"/>
                <w:b/>
                <w:color w:val="000000" w:themeColor="text1"/>
                <w:szCs w:val="16"/>
              </w:rPr>
              <w:t>2025</w:t>
            </w:r>
          </w:p>
        </w:tc>
      </w:tr>
      <w:tr w:rsidR="000F7167" w:rsidRPr="00781112" w14:paraId="0E725BBE" w14:textId="7C441390" w:rsidTr="003E5D5A">
        <w:trPr>
          <w:trHeight w:val="270"/>
        </w:trPr>
        <w:tc>
          <w:tcPr>
            <w:tcW w:w="585" w:type="pct"/>
            <w:shd w:val="clear" w:color="auto" w:fill="auto"/>
            <w:vAlign w:val="center"/>
          </w:tcPr>
          <w:p w14:paraId="3CB4FC66" w14:textId="21A33A6B" w:rsidR="000F7167" w:rsidRPr="00781112" w:rsidRDefault="000F7167" w:rsidP="00BA3DBE">
            <w:pPr>
              <w:jc w:val="center"/>
              <w:rPr>
                <w:rFonts w:cs="Arial"/>
                <w:color w:val="000000" w:themeColor="text1"/>
                <w:szCs w:val="16"/>
              </w:rPr>
            </w:pPr>
            <w:r w:rsidRPr="00781112">
              <w:rPr>
                <w:rFonts w:cs="Arial"/>
                <w:color w:val="000000" w:themeColor="text1"/>
                <w:szCs w:val="16"/>
              </w:rPr>
              <w:t>Target A &gt;=</w:t>
            </w:r>
          </w:p>
        </w:tc>
        <w:tc>
          <w:tcPr>
            <w:tcW w:w="1472" w:type="pct"/>
            <w:shd w:val="clear" w:color="auto" w:fill="auto"/>
            <w:vAlign w:val="center"/>
          </w:tcPr>
          <w:p w14:paraId="0643B02C" w14:textId="7613B373" w:rsidR="000F7167" w:rsidRPr="00781112" w:rsidRDefault="000F7167" w:rsidP="00D62058">
            <w:pPr>
              <w:jc w:val="center"/>
              <w:rPr>
                <w:rFonts w:cs="Arial"/>
                <w:color w:val="000000" w:themeColor="text1"/>
                <w:szCs w:val="16"/>
              </w:rPr>
            </w:pPr>
            <w:r w:rsidRPr="00781112">
              <w:rPr>
                <w:rFonts w:cs="Arial"/>
                <w:color w:val="000000" w:themeColor="text1"/>
                <w:szCs w:val="16"/>
              </w:rPr>
              <w:t>73.00%</w:t>
            </w:r>
          </w:p>
        </w:tc>
        <w:tc>
          <w:tcPr>
            <w:tcW w:w="1472" w:type="pct"/>
          </w:tcPr>
          <w:p w14:paraId="5AAF7764" w14:textId="6CE24C23" w:rsidR="000F7167" w:rsidRPr="00781112" w:rsidRDefault="000F7167" w:rsidP="00D62058">
            <w:pPr>
              <w:jc w:val="center"/>
              <w:rPr>
                <w:rFonts w:cs="Arial"/>
                <w:color w:val="000000" w:themeColor="text1"/>
                <w:szCs w:val="16"/>
              </w:rPr>
            </w:pPr>
            <w:r w:rsidRPr="00781112">
              <w:rPr>
                <w:color w:val="000000" w:themeColor="text1"/>
                <w:szCs w:val="16"/>
              </w:rPr>
              <w:t>73.50%</w:t>
            </w:r>
          </w:p>
        </w:tc>
        <w:tc>
          <w:tcPr>
            <w:tcW w:w="1472" w:type="pct"/>
          </w:tcPr>
          <w:p w14:paraId="18842FBE" w14:textId="34C8AABC" w:rsidR="000F7167" w:rsidRPr="00781112" w:rsidRDefault="000F7167" w:rsidP="00D62058">
            <w:pPr>
              <w:jc w:val="center"/>
              <w:rPr>
                <w:rFonts w:cs="Arial"/>
                <w:color w:val="000000" w:themeColor="text1"/>
                <w:szCs w:val="16"/>
              </w:rPr>
            </w:pPr>
            <w:r w:rsidRPr="00781112">
              <w:rPr>
                <w:color w:val="000000" w:themeColor="text1"/>
                <w:szCs w:val="16"/>
              </w:rPr>
              <w:t>74.00%</w:t>
            </w:r>
          </w:p>
        </w:tc>
      </w:tr>
      <w:tr w:rsidR="000F7167" w:rsidRPr="00781112" w14:paraId="17C12050" w14:textId="1A45DE5B" w:rsidTr="003E5D5A">
        <w:trPr>
          <w:trHeight w:val="270"/>
        </w:trPr>
        <w:tc>
          <w:tcPr>
            <w:tcW w:w="585" w:type="pct"/>
            <w:shd w:val="clear" w:color="auto" w:fill="auto"/>
            <w:vAlign w:val="center"/>
          </w:tcPr>
          <w:p w14:paraId="5FF4BE45" w14:textId="3D057CF2" w:rsidR="000F7167" w:rsidRPr="00781112" w:rsidRDefault="000F7167" w:rsidP="00BA3DBE">
            <w:pPr>
              <w:jc w:val="center"/>
              <w:rPr>
                <w:rFonts w:cs="Arial"/>
                <w:color w:val="000000" w:themeColor="text1"/>
                <w:szCs w:val="16"/>
              </w:rPr>
            </w:pPr>
            <w:r w:rsidRPr="00781112">
              <w:rPr>
                <w:rFonts w:cs="Arial"/>
                <w:color w:val="000000" w:themeColor="text1"/>
                <w:szCs w:val="16"/>
              </w:rPr>
              <w:t>Target B &lt;=</w:t>
            </w:r>
          </w:p>
        </w:tc>
        <w:tc>
          <w:tcPr>
            <w:tcW w:w="1472" w:type="pct"/>
            <w:shd w:val="clear" w:color="auto" w:fill="auto"/>
            <w:vAlign w:val="center"/>
          </w:tcPr>
          <w:p w14:paraId="4B344C1C" w14:textId="2108066A" w:rsidR="000F7167" w:rsidRPr="00781112" w:rsidRDefault="000F7167" w:rsidP="00D62058">
            <w:pPr>
              <w:jc w:val="center"/>
              <w:rPr>
                <w:rFonts w:cs="Arial"/>
                <w:color w:val="000000" w:themeColor="text1"/>
                <w:szCs w:val="16"/>
              </w:rPr>
            </w:pPr>
            <w:r w:rsidRPr="00781112">
              <w:rPr>
                <w:rFonts w:cs="Arial"/>
                <w:color w:val="000000" w:themeColor="text1"/>
                <w:szCs w:val="16"/>
              </w:rPr>
              <w:t>9.40%</w:t>
            </w:r>
          </w:p>
        </w:tc>
        <w:tc>
          <w:tcPr>
            <w:tcW w:w="1472" w:type="pct"/>
          </w:tcPr>
          <w:p w14:paraId="05700FA5" w14:textId="5CCD345F" w:rsidR="000F7167" w:rsidRPr="00781112" w:rsidRDefault="000F7167" w:rsidP="00D62058">
            <w:pPr>
              <w:jc w:val="center"/>
              <w:rPr>
                <w:rFonts w:cs="Arial"/>
                <w:color w:val="000000" w:themeColor="text1"/>
                <w:szCs w:val="16"/>
              </w:rPr>
            </w:pPr>
            <w:r w:rsidRPr="00781112">
              <w:rPr>
                <w:color w:val="000000" w:themeColor="text1"/>
                <w:szCs w:val="16"/>
              </w:rPr>
              <w:t>9.40%</w:t>
            </w:r>
          </w:p>
        </w:tc>
        <w:tc>
          <w:tcPr>
            <w:tcW w:w="1472" w:type="pct"/>
          </w:tcPr>
          <w:p w14:paraId="3714E477" w14:textId="7A435890" w:rsidR="000F7167" w:rsidRPr="00781112" w:rsidRDefault="000F7167" w:rsidP="00D62058">
            <w:pPr>
              <w:jc w:val="center"/>
              <w:rPr>
                <w:rFonts w:cs="Arial"/>
                <w:color w:val="000000" w:themeColor="text1"/>
                <w:szCs w:val="16"/>
              </w:rPr>
            </w:pPr>
            <w:r w:rsidRPr="00781112">
              <w:rPr>
                <w:color w:val="000000" w:themeColor="text1"/>
                <w:szCs w:val="16"/>
              </w:rPr>
              <w:t>9.40%</w:t>
            </w:r>
          </w:p>
        </w:tc>
      </w:tr>
      <w:tr w:rsidR="000F7167" w:rsidRPr="00781112" w14:paraId="1C671552" w14:textId="2F7800FB" w:rsidTr="003E5D5A">
        <w:trPr>
          <w:trHeight w:val="270"/>
        </w:trPr>
        <w:tc>
          <w:tcPr>
            <w:tcW w:w="585" w:type="pct"/>
            <w:shd w:val="clear" w:color="auto" w:fill="auto"/>
            <w:vAlign w:val="center"/>
          </w:tcPr>
          <w:p w14:paraId="5D979A7F" w14:textId="57DEB4C1" w:rsidR="000F7167" w:rsidRPr="00781112" w:rsidRDefault="000F7167" w:rsidP="00BA3DBE">
            <w:pPr>
              <w:jc w:val="center"/>
              <w:rPr>
                <w:rFonts w:cs="Arial"/>
                <w:color w:val="000000" w:themeColor="text1"/>
                <w:szCs w:val="16"/>
              </w:rPr>
            </w:pPr>
            <w:r w:rsidRPr="00781112">
              <w:rPr>
                <w:rFonts w:cs="Arial"/>
                <w:color w:val="000000" w:themeColor="text1"/>
                <w:szCs w:val="16"/>
              </w:rPr>
              <w:t>Target C &lt;=</w:t>
            </w:r>
          </w:p>
        </w:tc>
        <w:tc>
          <w:tcPr>
            <w:tcW w:w="1472" w:type="pct"/>
            <w:shd w:val="clear" w:color="auto" w:fill="auto"/>
            <w:vAlign w:val="center"/>
          </w:tcPr>
          <w:p w14:paraId="1C0EF441" w14:textId="373B29D8" w:rsidR="000F7167" w:rsidRPr="00781112" w:rsidRDefault="000F7167" w:rsidP="00D62058">
            <w:pPr>
              <w:jc w:val="center"/>
              <w:rPr>
                <w:rFonts w:cs="Arial"/>
                <w:color w:val="000000" w:themeColor="text1"/>
                <w:szCs w:val="16"/>
              </w:rPr>
            </w:pPr>
            <w:r w:rsidRPr="00781112">
              <w:rPr>
                <w:rFonts w:cs="Arial"/>
                <w:color w:val="000000" w:themeColor="text1"/>
                <w:szCs w:val="16"/>
              </w:rPr>
              <w:t>1.10%</w:t>
            </w:r>
          </w:p>
        </w:tc>
        <w:tc>
          <w:tcPr>
            <w:tcW w:w="1472" w:type="pct"/>
          </w:tcPr>
          <w:p w14:paraId="29CA6903" w14:textId="7D992541" w:rsidR="000F7167" w:rsidRPr="00781112" w:rsidRDefault="000F7167" w:rsidP="00D62058">
            <w:pPr>
              <w:jc w:val="center"/>
              <w:rPr>
                <w:rFonts w:cs="Arial"/>
                <w:color w:val="000000" w:themeColor="text1"/>
                <w:szCs w:val="16"/>
              </w:rPr>
            </w:pPr>
            <w:r w:rsidRPr="00781112">
              <w:rPr>
                <w:color w:val="000000" w:themeColor="text1"/>
                <w:szCs w:val="16"/>
              </w:rPr>
              <w:t>1.10%</w:t>
            </w:r>
          </w:p>
        </w:tc>
        <w:tc>
          <w:tcPr>
            <w:tcW w:w="1472" w:type="pct"/>
          </w:tcPr>
          <w:p w14:paraId="552B6B09" w14:textId="511FB8CF" w:rsidR="000F7167" w:rsidRPr="00781112" w:rsidRDefault="000F7167" w:rsidP="00D62058">
            <w:pPr>
              <w:jc w:val="center"/>
              <w:rPr>
                <w:rFonts w:cs="Arial"/>
                <w:color w:val="000000" w:themeColor="text1"/>
                <w:szCs w:val="16"/>
              </w:rPr>
            </w:pPr>
            <w:r w:rsidRPr="00781112">
              <w:rPr>
                <w:color w:val="000000" w:themeColor="text1"/>
                <w:szCs w:val="16"/>
              </w:rPr>
              <w:t>1.10%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080E6720" w14:textId="1B438EC8" w:rsidR="002D145D" w:rsidRPr="00781112" w:rsidRDefault="00D60B5F" w:rsidP="002D145D">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r>
      <w:r w:rsidRPr="00781112">
        <w:rPr>
          <w:rFonts w:cs="Arial"/>
          <w:color w:val="000000" w:themeColor="text1"/>
          <w:szCs w:val="16"/>
        </w:rPr>
        <w:lastRenderedPageBreak/>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2B96DDD0" w14:textId="3E2ADE72" w:rsidR="002D145D" w:rsidRPr="00781112" w:rsidRDefault="002D145D" w:rsidP="002D145D">
      <w:pPr>
        <w:rPr>
          <w:rFonts w:cs="Arial"/>
          <w:color w:val="000000" w:themeColor="text1"/>
          <w:szCs w:val="16"/>
        </w:rPr>
      </w:pP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79,275</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53,773</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11,891</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321</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104</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531</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182DFD87" w:rsidR="00805DD3"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3763F484"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320127EA" w14:textId="10A848F1" w:rsidR="00740CBC" w:rsidRPr="00CC1061" w:rsidRDefault="00740CBC" w:rsidP="00740CBC">
            <w:pPr>
              <w:jc w:val="center"/>
              <w:rPr>
                <w:b/>
                <w:bCs/>
                <w:color w:val="000000" w:themeColor="text1"/>
              </w:rPr>
            </w:pPr>
            <w:r w:rsidRPr="00CC1061">
              <w:rPr>
                <w:b/>
                <w:bCs/>
              </w:rPr>
              <w:t>FFY 2023 Target</w:t>
            </w:r>
          </w:p>
        </w:tc>
        <w:tc>
          <w:tcPr>
            <w:tcW w:w="533" w:type="pct"/>
            <w:shd w:val="clear" w:color="auto" w:fill="auto"/>
            <w:vAlign w:val="bottom"/>
          </w:tcPr>
          <w:p w14:paraId="150C2675" w14:textId="230308FD" w:rsidR="00740CBC" w:rsidRPr="00CC1061" w:rsidRDefault="00740CBC" w:rsidP="00740CBC">
            <w:pPr>
              <w:jc w:val="center"/>
              <w:rPr>
                <w:b/>
                <w:bCs/>
                <w:color w:val="000000" w:themeColor="text1"/>
              </w:rPr>
            </w:pPr>
            <w:r w:rsidRPr="00CC1061">
              <w:rPr>
                <w:b/>
                <w:bCs/>
              </w:rPr>
              <w:t>FFY 2023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53,773</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79,275</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64.60%</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67.83%</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11,891</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79,275</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16.81%</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9.40%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15.00%</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956</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79,275</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1.33%</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1.10%</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1.21%</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349AFE17" w:rsidR="00897094" w:rsidRPr="002C274F" w:rsidRDefault="00897094" w:rsidP="002C274F">
      <w:pPr>
        <w:rPr>
          <w:b/>
          <w:bCs/>
          <w:sz w:val="20"/>
          <w:szCs w:val="20"/>
        </w:rPr>
      </w:pPr>
      <w:bookmarkStart w:id="38" w:name="_Toc392159299"/>
      <w:r w:rsidRPr="002C274F">
        <w:rPr>
          <w:b/>
          <w:bCs/>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5A062A32"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323578A9"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8"/>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31.00%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31.00%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16.25%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16.50%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17.00%</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18.57%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17.75%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16.21%</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15.10%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17.36%</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2.90%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2.90%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5.00%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5.00%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4.90%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5.14%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4.90%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5.77%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6.66%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6.53%</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r w:rsidRPr="00781112">
              <w:rPr>
                <w:rFonts w:cs="Arial"/>
                <w:color w:val="000000" w:themeColor="text1"/>
                <w:szCs w:val="16"/>
              </w:rPr>
              <w:t>3.34%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3.34%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3.20%</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r w:rsidRPr="00781112">
              <w:rPr>
                <w:rFonts w:cs="Arial"/>
                <w:color w:val="000000" w:themeColor="text1"/>
                <w:szCs w:val="16"/>
              </w:rPr>
              <w:t>3.34%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3.53%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2.23%</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02A3CB3A"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r>
      <w:r w:rsidRPr="00781112">
        <w:rPr>
          <w:rFonts w:cs="Arial"/>
          <w:color w:val="000000" w:themeColor="text1"/>
          <w:szCs w:val="16"/>
        </w:rPr>
        <w:lastRenderedPageBreak/>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137AAC0F" w14:textId="77777777" w:rsidR="0059735F" w:rsidRPr="00781112" w:rsidRDefault="0059735F" w:rsidP="0059735F">
      <w:pPr>
        <w:rPr>
          <w:rFonts w:cs="Arial"/>
          <w:color w:val="000000" w:themeColor="text1"/>
          <w:szCs w:val="16"/>
        </w:rPr>
      </w:pP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5371496"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16.21%</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5.77%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3.34%</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3"/>
      </w:tblGrid>
      <w:tr w:rsidR="00AC3EF2" w:rsidRPr="00781112" w14:paraId="502A05CF" w14:textId="31F34C5E" w:rsidTr="00FE4611">
        <w:trPr>
          <w:trHeight w:val="297"/>
        </w:trPr>
        <w:tc>
          <w:tcPr>
            <w:tcW w:w="908" w:type="pct"/>
            <w:tcBorders>
              <w:bottom w:val="single" w:sz="4" w:space="0" w:color="auto"/>
            </w:tcBorders>
            <w:shd w:val="clear" w:color="auto" w:fill="auto"/>
          </w:tcPr>
          <w:p w14:paraId="24938C30" w14:textId="77777777" w:rsidR="00AC3EF2" w:rsidRPr="00781112" w:rsidRDefault="00AC3EF2" w:rsidP="00D62058">
            <w:pPr>
              <w:jc w:val="center"/>
              <w:rPr>
                <w:b/>
                <w:color w:val="000000" w:themeColor="text1"/>
              </w:rPr>
            </w:pPr>
            <w:r w:rsidRPr="00781112">
              <w:rPr>
                <w:b/>
                <w:color w:val="000000" w:themeColor="text1"/>
              </w:rPr>
              <w:t>FFY</w:t>
            </w:r>
          </w:p>
        </w:tc>
        <w:tc>
          <w:tcPr>
            <w:tcW w:w="1362" w:type="pct"/>
            <w:shd w:val="clear" w:color="auto" w:fill="auto"/>
          </w:tcPr>
          <w:p w14:paraId="4B75D90A" w14:textId="04FBCB48" w:rsidR="00AC3EF2" w:rsidRPr="00781112" w:rsidRDefault="00AC3EF2" w:rsidP="00D62058">
            <w:pPr>
              <w:jc w:val="center"/>
              <w:rPr>
                <w:b/>
                <w:color w:val="000000" w:themeColor="text1"/>
              </w:rPr>
            </w:pPr>
            <w:r w:rsidRPr="00781112">
              <w:rPr>
                <w:b/>
                <w:color w:val="000000" w:themeColor="text1"/>
              </w:rPr>
              <w:t>2023</w:t>
            </w:r>
          </w:p>
        </w:tc>
        <w:tc>
          <w:tcPr>
            <w:tcW w:w="1362" w:type="pct"/>
          </w:tcPr>
          <w:p w14:paraId="5DC58FF5" w14:textId="7CBB0832" w:rsidR="00AC3EF2" w:rsidRPr="00781112" w:rsidRDefault="00AC3EF2" w:rsidP="00360DD6">
            <w:pPr>
              <w:jc w:val="center"/>
              <w:rPr>
                <w:b/>
                <w:color w:val="000000" w:themeColor="text1"/>
              </w:rPr>
            </w:pPr>
            <w:r w:rsidRPr="00781112">
              <w:rPr>
                <w:b/>
                <w:color w:val="000000" w:themeColor="text1"/>
              </w:rPr>
              <w:t>2024</w:t>
            </w:r>
          </w:p>
        </w:tc>
        <w:tc>
          <w:tcPr>
            <w:tcW w:w="1367" w:type="pct"/>
          </w:tcPr>
          <w:p w14:paraId="7F3093B9" w14:textId="2E366C4A" w:rsidR="00AC3EF2" w:rsidRPr="00781112" w:rsidRDefault="00AC3EF2" w:rsidP="00360DD6">
            <w:pPr>
              <w:jc w:val="center"/>
              <w:rPr>
                <w:b/>
                <w:color w:val="000000" w:themeColor="text1"/>
              </w:rPr>
            </w:pPr>
            <w:r w:rsidRPr="00781112">
              <w:rPr>
                <w:b/>
                <w:color w:val="000000" w:themeColor="text1"/>
              </w:rPr>
              <w:t>2025</w:t>
            </w:r>
          </w:p>
        </w:tc>
      </w:tr>
      <w:tr w:rsidR="00AC3EF2" w:rsidRPr="00781112" w14:paraId="19DCE246" w14:textId="1AEE89BD" w:rsidTr="00FE4611">
        <w:trPr>
          <w:trHeight w:val="303"/>
        </w:trPr>
        <w:tc>
          <w:tcPr>
            <w:tcW w:w="908" w:type="pct"/>
            <w:shd w:val="clear" w:color="auto" w:fill="auto"/>
            <w:vAlign w:val="center"/>
          </w:tcPr>
          <w:p w14:paraId="772DAD56" w14:textId="1540F97B" w:rsidR="00AC3EF2" w:rsidRPr="00781112" w:rsidRDefault="00AC3EF2" w:rsidP="00BA3DBE">
            <w:pPr>
              <w:jc w:val="center"/>
              <w:rPr>
                <w:rFonts w:cs="Arial"/>
                <w:color w:val="000000" w:themeColor="text1"/>
                <w:szCs w:val="16"/>
              </w:rPr>
            </w:pPr>
            <w:r w:rsidRPr="00781112">
              <w:rPr>
                <w:rFonts w:cs="Arial"/>
                <w:color w:val="000000" w:themeColor="text1"/>
                <w:szCs w:val="16"/>
              </w:rPr>
              <w:t>Target A &gt;=</w:t>
            </w:r>
          </w:p>
        </w:tc>
        <w:tc>
          <w:tcPr>
            <w:tcW w:w="1362" w:type="pct"/>
            <w:shd w:val="clear" w:color="auto" w:fill="auto"/>
            <w:vAlign w:val="center"/>
          </w:tcPr>
          <w:p w14:paraId="2E5FC5F6" w14:textId="4C6B8E64" w:rsidR="00AC3EF2" w:rsidRPr="00781112" w:rsidRDefault="00AC3EF2" w:rsidP="00D62058">
            <w:pPr>
              <w:jc w:val="center"/>
              <w:rPr>
                <w:rFonts w:cs="Arial"/>
                <w:color w:val="000000" w:themeColor="text1"/>
                <w:szCs w:val="16"/>
              </w:rPr>
            </w:pPr>
            <w:r w:rsidRPr="00781112">
              <w:rPr>
                <w:rFonts w:cs="Arial"/>
                <w:color w:val="000000" w:themeColor="text1"/>
                <w:szCs w:val="16"/>
              </w:rPr>
              <w:t>17.25%</w:t>
            </w:r>
          </w:p>
        </w:tc>
        <w:tc>
          <w:tcPr>
            <w:tcW w:w="1362" w:type="pct"/>
          </w:tcPr>
          <w:p w14:paraId="4C26EA28" w14:textId="691A218F" w:rsidR="00AC3EF2" w:rsidRPr="00781112" w:rsidRDefault="00AC3EF2" w:rsidP="00360DD6">
            <w:pPr>
              <w:jc w:val="center"/>
              <w:rPr>
                <w:rFonts w:cs="Arial"/>
                <w:color w:val="000000" w:themeColor="text1"/>
                <w:szCs w:val="16"/>
              </w:rPr>
            </w:pPr>
            <w:r w:rsidRPr="00781112">
              <w:rPr>
                <w:rFonts w:cs="Arial"/>
                <w:color w:val="000000" w:themeColor="text1"/>
                <w:szCs w:val="16"/>
              </w:rPr>
              <w:t>17.50%</w:t>
            </w:r>
          </w:p>
        </w:tc>
        <w:tc>
          <w:tcPr>
            <w:tcW w:w="1367" w:type="pct"/>
          </w:tcPr>
          <w:p w14:paraId="0BF1D9D9" w14:textId="482D9F05" w:rsidR="00AC3EF2" w:rsidRPr="00781112" w:rsidRDefault="00AC3EF2" w:rsidP="00360DD6">
            <w:pPr>
              <w:jc w:val="center"/>
              <w:rPr>
                <w:rFonts w:cs="Arial"/>
                <w:color w:val="000000" w:themeColor="text1"/>
                <w:szCs w:val="16"/>
              </w:rPr>
            </w:pPr>
            <w:r w:rsidRPr="00781112">
              <w:rPr>
                <w:rFonts w:cs="Arial"/>
                <w:color w:val="000000" w:themeColor="text1"/>
                <w:szCs w:val="16"/>
              </w:rPr>
              <w:t>18.00%</w:t>
            </w:r>
          </w:p>
        </w:tc>
      </w:tr>
      <w:tr w:rsidR="00AC3EF2" w:rsidRPr="00781112" w14:paraId="3AA5E8F7" w14:textId="085D0F95" w:rsidTr="00FE4611">
        <w:trPr>
          <w:trHeight w:val="303"/>
        </w:trPr>
        <w:tc>
          <w:tcPr>
            <w:tcW w:w="908" w:type="pct"/>
            <w:shd w:val="clear" w:color="auto" w:fill="auto"/>
            <w:vAlign w:val="center"/>
          </w:tcPr>
          <w:p w14:paraId="49E152B3" w14:textId="4DC08CD2" w:rsidR="00AC3EF2" w:rsidRPr="00781112" w:rsidRDefault="00AC3EF2" w:rsidP="00BA3DBE">
            <w:pPr>
              <w:jc w:val="center"/>
              <w:rPr>
                <w:rFonts w:cs="Arial"/>
                <w:color w:val="000000" w:themeColor="text1"/>
                <w:szCs w:val="16"/>
              </w:rPr>
            </w:pPr>
            <w:r w:rsidRPr="00781112">
              <w:rPr>
                <w:rFonts w:cs="Arial"/>
                <w:color w:val="000000" w:themeColor="text1"/>
                <w:szCs w:val="16"/>
              </w:rPr>
              <w:lastRenderedPageBreak/>
              <w:t>Target B &lt;=</w:t>
            </w:r>
          </w:p>
        </w:tc>
        <w:tc>
          <w:tcPr>
            <w:tcW w:w="1362" w:type="pct"/>
            <w:shd w:val="clear" w:color="auto" w:fill="auto"/>
            <w:vAlign w:val="center"/>
          </w:tcPr>
          <w:p w14:paraId="642E6A80" w14:textId="7A6AF652" w:rsidR="00AC3EF2" w:rsidRPr="00781112" w:rsidRDefault="00AC3EF2" w:rsidP="00D62058">
            <w:pPr>
              <w:jc w:val="center"/>
              <w:rPr>
                <w:rFonts w:cs="Arial"/>
                <w:color w:val="000000" w:themeColor="text1"/>
                <w:szCs w:val="16"/>
              </w:rPr>
            </w:pPr>
            <w:r w:rsidRPr="00781112">
              <w:rPr>
                <w:rFonts w:cs="Arial"/>
                <w:color w:val="000000" w:themeColor="text1"/>
                <w:szCs w:val="16"/>
              </w:rPr>
              <w:t>4.90%</w:t>
            </w:r>
          </w:p>
        </w:tc>
        <w:tc>
          <w:tcPr>
            <w:tcW w:w="1362" w:type="pct"/>
          </w:tcPr>
          <w:p w14:paraId="752B6B9E" w14:textId="3979D870" w:rsidR="00AC3EF2" w:rsidRPr="00781112" w:rsidRDefault="00AC3EF2" w:rsidP="00360DD6">
            <w:pPr>
              <w:jc w:val="center"/>
              <w:rPr>
                <w:rFonts w:cs="Arial"/>
                <w:color w:val="000000" w:themeColor="text1"/>
                <w:szCs w:val="16"/>
              </w:rPr>
            </w:pPr>
            <w:r w:rsidRPr="00781112">
              <w:rPr>
                <w:rFonts w:cs="Arial"/>
                <w:color w:val="000000" w:themeColor="text1"/>
                <w:szCs w:val="16"/>
              </w:rPr>
              <w:t>4.80%</w:t>
            </w:r>
          </w:p>
        </w:tc>
        <w:tc>
          <w:tcPr>
            <w:tcW w:w="1367" w:type="pct"/>
          </w:tcPr>
          <w:p w14:paraId="1DCC77D9" w14:textId="4B30FDBE" w:rsidR="00AC3EF2" w:rsidRPr="00781112" w:rsidRDefault="00AC3EF2" w:rsidP="00360DD6">
            <w:pPr>
              <w:jc w:val="center"/>
              <w:rPr>
                <w:rFonts w:cs="Arial"/>
                <w:color w:val="000000" w:themeColor="text1"/>
                <w:szCs w:val="16"/>
              </w:rPr>
            </w:pPr>
            <w:r w:rsidRPr="00781112">
              <w:rPr>
                <w:rFonts w:cs="Arial"/>
                <w:color w:val="000000" w:themeColor="text1"/>
                <w:szCs w:val="16"/>
              </w:rPr>
              <w:t>4.80%</w:t>
            </w:r>
          </w:p>
        </w:tc>
      </w:tr>
    </w:tbl>
    <w:p w14:paraId="27170CED" w14:textId="772C81FC" w:rsidR="00E428BD" w:rsidRDefault="00E428BD" w:rsidP="004369B2">
      <w:pPr>
        <w:rPr>
          <w:color w:val="000000" w:themeColor="text1"/>
        </w:rPr>
      </w:pPr>
      <w:bookmarkStart w:id="39" w:name="_Toc382082378"/>
      <w:bookmarkStart w:id="40"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3"/>
      </w:tblGrid>
      <w:tr w:rsidR="00AB2AE1" w:rsidRPr="00781112" w14:paraId="6B43903F" w14:textId="77777777" w:rsidTr="00FE4611">
        <w:trPr>
          <w:trHeight w:val="297"/>
        </w:trPr>
        <w:tc>
          <w:tcPr>
            <w:tcW w:w="908" w:type="pct"/>
            <w:tcBorders>
              <w:bottom w:val="single" w:sz="4" w:space="0" w:color="auto"/>
            </w:tcBorders>
            <w:shd w:val="clear" w:color="auto" w:fill="auto"/>
          </w:tcPr>
          <w:p w14:paraId="454FDD0F" w14:textId="77777777" w:rsidR="00AB2AE1" w:rsidRPr="00781112" w:rsidRDefault="00AB2AE1" w:rsidP="00992ACE">
            <w:pPr>
              <w:jc w:val="center"/>
              <w:rPr>
                <w:b/>
                <w:color w:val="000000" w:themeColor="text1"/>
              </w:rPr>
            </w:pPr>
            <w:r w:rsidRPr="00781112">
              <w:rPr>
                <w:b/>
                <w:color w:val="000000" w:themeColor="text1"/>
              </w:rPr>
              <w:t>FFY</w:t>
            </w:r>
          </w:p>
        </w:tc>
        <w:tc>
          <w:tcPr>
            <w:tcW w:w="1362" w:type="pct"/>
            <w:shd w:val="clear" w:color="auto" w:fill="auto"/>
          </w:tcPr>
          <w:p w14:paraId="23E06477" w14:textId="77777777" w:rsidR="00AB2AE1" w:rsidRPr="00781112" w:rsidRDefault="00AB2AE1" w:rsidP="00992ACE">
            <w:pPr>
              <w:jc w:val="center"/>
              <w:rPr>
                <w:b/>
                <w:color w:val="000000" w:themeColor="text1"/>
              </w:rPr>
            </w:pPr>
            <w:r w:rsidRPr="00781112">
              <w:rPr>
                <w:b/>
                <w:color w:val="000000" w:themeColor="text1"/>
              </w:rPr>
              <w:t>2023</w:t>
            </w:r>
          </w:p>
        </w:tc>
        <w:tc>
          <w:tcPr>
            <w:tcW w:w="1362" w:type="pct"/>
          </w:tcPr>
          <w:p w14:paraId="727ADECD" w14:textId="77777777" w:rsidR="00AB2AE1" w:rsidRPr="00781112" w:rsidRDefault="00AB2AE1" w:rsidP="00992ACE">
            <w:pPr>
              <w:jc w:val="center"/>
              <w:rPr>
                <w:b/>
                <w:color w:val="000000" w:themeColor="text1"/>
              </w:rPr>
            </w:pPr>
            <w:r w:rsidRPr="00781112">
              <w:rPr>
                <w:b/>
                <w:color w:val="000000" w:themeColor="text1"/>
              </w:rPr>
              <w:t>2024</w:t>
            </w:r>
          </w:p>
        </w:tc>
        <w:tc>
          <w:tcPr>
            <w:tcW w:w="1367" w:type="pct"/>
          </w:tcPr>
          <w:p w14:paraId="6EC259CD" w14:textId="77777777" w:rsidR="00AB2AE1" w:rsidRPr="00781112" w:rsidRDefault="00AB2AE1" w:rsidP="00992ACE">
            <w:pPr>
              <w:jc w:val="center"/>
              <w:rPr>
                <w:b/>
                <w:color w:val="000000" w:themeColor="text1"/>
              </w:rPr>
            </w:pPr>
            <w:r w:rsidRPr="00781112">
              <w:rPr>
                <w:b/>
                <w:color w:val="000000" w:themeColor="text1"/>
              </w:rPr>
              <w:t>2025</w:t>
            </w:r>
          </w:p>
        </w:tc>
      </w:tr>
      <w:tr w:rsidR="00AB2AE1" w:rsidRPr="00781112" w14:paraId="38A2A2D3" w14:textId="77777777" w:rsidTr="00FE4611">
        <w:trPr>
          <w:trHeight w:val="303"/>
        </w:trPr>
        <w:tc>
          <w:tcPr>
            <w:tcW w:w="908" w:type="pct"/>
            <w:shd w:val="clear" w:color="auto" w:fill="auto"/>
            <w:vAlign w:val="center"/>
          </w:tcPr>
          <w:p w14:paraId="1A01A931" w14:textId="77777777" w:rsidR="00AB2AE1" w:rsidRPr="00781112" w:rsidRDefault="00AB2AE1" w:rsidP="00BA3DBE">
            <w:pPr>
              <w:jc w:val="center"/>
              <w:rPr>
                <w:rFonts w:cs="Arial"/>
                <w:color w:val="000000" w:themeColor="text1"/>
                <w:szCs w:val="16"/>
              </w:rPr>
            </w:pPr>
            <w:r w:rsidRPr="00781112">
              <w:rPr>
                <w:rFonts w:cs="Arial"/>
                <w:color w:val="000000" w:themeColor="text1"/>
                <w:szCs w:val="16"/>
              </w:rPr>
              <w:t>Target C &lt;=</w:t>
            </w:r>
          </w:p>
        </w:tc>
        <w:tc>
          <w:tcPr>
            <w:tcW w:w="1362" w:type="pct"/>
            <w:shd w:val="clear" w:color="auto" w:fill="auto"/>
            <w:vAlign w:val="center"/>
          </w:tcPr>
          <w:p w14:paraId="4CC46A48"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3.20%</w:t>
            </w:r>
          </w:p>
        </w:tc>
        <w:tc>
          <w:tcPr>
            <w:tcW w:w="1362" w:type="pct"/>
          </w:tcPr>
          <w:p w14:paraId="262E2FD0"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3.10%</w:t>
            </w:r>
          </w:p>
        </w:tc>
        <w:tc>
          <w:tcPr>
            <w:tcW w:w="1367" w:type="pct"/>
          </w:tcPr>
          <w:p w14:paraId="54ED085E"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3.10%</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2023-24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07/31/2024</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2,007</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3,376</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3,618</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9,001</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80</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435</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784</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1,299</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106</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209</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197</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512</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22</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18</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9</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49</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2</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2</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153</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87</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22</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262</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7ADB66A" w:rsidR="00E60622" w:rsidRPr="00781112" w:rsidRDefault="0047313F" w:rsidP="004369B2">
      <w:pPr>
        <w:rPr>
          <w:b/>
          <w:bCs/>
          <w:color w:val="000000" w:themeColor="text1"/>
        </w:rPr>
      </w:pPr>
      <w:r>
        <w:rPr>
          <w:b/>
          <w:bCs/>
          <w:color w:val="000000" w:themeColor="text1"/>
        </w:rPr>
        <w:t xml:space="preserve">FFY 2023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1E3BCDC3"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525540A0" w14:textId="77516FBA" w:rsidR="00CC1061" w:rsidRPr="00781112" w:rsidRDefault="00CC1061" w:rsidP="00CC1061">
            <w:pPr>
              <w:jc w:val="center"/>
              <w:rPr>
                <w:rFonts w:cs="Arial"/>
                <w:b/>
                <w:color w:val="000000" w:themeColor="text1"/>
                <w:szCs w:val="16"/>
              </w:rPr>
            </w:pPr>
            <w:r w:rsidRPr="00073BD7">
              <w:rPr>
                <w:b/>
                <w:bCs/>
              </w:rPr>
              <w:t>FFY 2023 Target</w:t>
            </w:r>
          </w:p>
        </w:tc>
        <w:tc>
          <w:tcPr>
            <w:tcW w:w="518" w:type="pct"/>
            <w:shd w:val="clear" w:color="auto" w:fill="auto"/>
            <w:vAlign w:val="bottom"/>
          </w:tcPr>
          <w:p w14:paraId="2B9D213A" w14:textId="0A383420" w:rsidR="00CC1061" w:rsidRPr="00781112" w:rsidRDefault="00CC1061" w:rsidP="00CC1061">
            <w:pPr>
              <w:jc w:val="center"/>
              <w:rPr>
                <w:rFonts w:cs="Arial"/>
                <w:b/>
                <w:color w:val="000000" w:themeColor="text1"/>
                <w:szCs w:val="16"/>
              </w:rPr>
            </w:pPr>
            <w:r w:rsidRPr="00073BD7">
              <w:rPr>
                <w:b/>
                <w:bCs/>
              </w:rPr>
              <w:t>FFY 2023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1,299</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9,001</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17.36%</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17.25%</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14.43%</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203C22FB" w14:textId="77777777" w:rsidTr="007239EC">
        <w:trPr>
          <w:trHeight w:val="361"/>
        </w:trPr>
        <w:tc>
          <w:tcPr>
            <w:tcW w:w="1373" w:type="pct"/>
            <w:shd w:val="clear" w:color="auto" w:fill="auto"/>
            <w:vAlign w:val="center"/>
          </w:tcPr>
          <w:p w14:paraId="79CB9C36" w14:textId="0FF2F3E0"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563</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9,001</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6.53%</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4.90%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6.25%</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262</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9,001</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2.23%</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3.20%</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2.91%</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0BB4A3E2" w14:textId="656306A8" w:rsidR="006B39BD" w:rsidRPr="00781112" w:rsidRDefault="006B39BD" w:rsidP="006B39BD">
      <w:pPr>
        <w:rPr>
          <w:b/>
          <w:color w:val="000000" w:themeColor="text1"/>
        </w:rPr>
      </w:pPr>
      <w:r w:rsidRPr="00781112">
        <w:rPr>
          <w:b/>
          <w:color w:val="000000" w:themeColor="text1"/>
        </w:rPr>
        <w:t>Provide reasons for slippage for Group A aged 3 through 5, if applicable</w:t>
      </w:r>
    </w:p>
    <w:p w14:paraId="2BFFD53E" w14:textId="192B3D60" w:rsidR="006B39BD" w:rsidRPr="00781112" w:rsidRDefault="006B39BD" w:rsidP="006B39BD">
      <w:pPr>
        <w:rPr>
          <w:rFonts w:cs="Arial"/>
          <w:color w:val="000000" w:themeColor="text1"/>
          <w:szCs w:val="16"/>
        </w:rPr>
      </w:pPr>
      <w:r w:rsidRPr="00781112">
        <w:rPr>
          <w:rFonts w:cs="Arial"/>
          <w:color w:val="000000" w:themeColor="text1"/>
          <w:szCs w:val="16"/>
        </w:rPr>
        <w:t>Louisiana does not have universal pre-k programs and the number of children qualifying for services has increased. Conversely, the number of publicly funded seats has decreased because of the loss of the birth to 3 Program, which was a publicly funded program that provided funds to cover the cost of child care for children ages birth to 3 to attend regular early childhood programs. Hence the increase in the number of children served outside of the regular early childhood program, which typically occurs through itinerant services.</w:t>
      </w: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lastRenderedPageBreak/>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9"/>
      <w:bookmarkEnd w:id="40"/>
    </w:p>
    <w:p w14:paraId="1404DCF9" w14:textId="10BB1891" w:rsidR="00531E54" w:rsidRPr="002C274F" w:rsidRDefault="00531E54" w:rsidP="002C274F">
      <w:pPr>
        <w:rPr>
          <w:b/>
          <w:bCs/>
          <w:sz w:val="20"/>
          <w:szCs w:val="20"/>
        </w:rPr>
      </w:pPr>
      <w:bookmarkStart w:id="41" w:name="_Toc392159303"/>
      <w:r w:rsidRPr="002C274F">
        <w:rPr>
          <w:b/>
          <w:bCs/>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1"/>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72.50%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72.50%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72.50%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69.60%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68.52%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68.11%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69.15%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69.64%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61.83%</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65.00%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65.20%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65.40%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64.90%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50.60%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47.51%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48.73%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57.17%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54.90%</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72.50%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70.90%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72.57%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68.90%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66.58%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74.06%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65.80%</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57.00%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57.20%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57.40%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56.20%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55.25%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45.99%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46.34%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54.76%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53.61%</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72.50%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73.50%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74.70%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59.09%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54.70%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60.20%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63.67%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59.15%</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60.25%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60.50%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69.00%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44.70%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30.79%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31.37%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55.03%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52.61%</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3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402"/>
        <w:gridCol w:w="2564"/>
        <w:gridCol w:w="2564"/>
      </w:tblGrid>
      <w:tr w:rsidR="00AC3EF2" w:rsidRPr="00781112" w14:paraId="7154778B" w14:textId="326343BD" w:rsidTr="00FE4611">
        <w:trPr>
          <w:trHeight w:val="333"/>
        </w:trPr>
        <w:tc>
          <w:tcPr>
            <w:tcW w:w="384" w:type="pct"/>
            <w:tcBorders>
              <w:bottom w:val="single" w:sz="4" w:space="0" w:color="auto"/>
            </w:tcBorders>
            <w:shd w:val="clear" w:color="auto" w:fill="auto"/>
            <w:vAlign w:val="center"/>
          </w:tcPr>
          <w:p w14:paraId="4C772A88" w14:textId="77777777" w:rsidR="00AC3EF2" w:rsidRPr="00781112" w:rsidRDefault="00AC3EF2" w:rsidP="00D62058">
            <w:pPr>
              <w:jc w:val="center"/>
              <w:rPr>
                <w:b/>
                <w:color w:val="000000" w:themeColor="text1"/>
              </w:rPr>
            </w:pPr>
            <w:r w:rsidRPr="00781112">
              <w:rPr>
                <w:b/>
                <w:color w:val="000000" w:themeColor="text1"/>
              </w:rPr>
              <w:t>FFY</w:t>
            </w:r>
          </w:p>
        </w:tc>
        <w:tc>
          <w:tcPr>
            <w:tcW w:w="1473" w:type="pct"/>
            <w:shd w:val="clear" w:color="auto" w:fill="auto"/>
            <w:vAlign w:val="center"/>
          </w:tcPr>
          <w:p w14:paraId="12A78916" w14:textId="4FE79E21" w:rsidR="00AC3EF2" w:rsidRPr="00781112" w:rsidRDefault="00AC3EF2" w:rsidP="00D62058">
            <w:pPr>
              <w:jc w:val="center"/>
              <w:rPr>
                <w:b/>
                <w:color w:val="000000" w:themeColor="text1"/>
              </w:rPr>
            </w:pPr>
            <w:r w:rsidRPr="00781112">
              <w:rPr>
                <w:b/>
                <w:color w:val="000000" w:themeColor="text1"/>
              </w:rPr>
              <w:t>2023</w:t>
            </w:r>
          </w:p>
        </w:tc>
        <w:tc>
          <w:tcPr>
            <w:tcW w:w="1571" w:type="pct"/>
            <w:vAlign w:val="center"/>
          </w:tcPr>
          <w:p w14:paraId="252A750A" w14:textId="25138A81" w:rsidR="00AC3EF2" w:rsidRPr="00781112" w:rsidRDefault="00AC3EF2" w:rsidP="00D62058">
            <w:pPr>
              <w:jc w:val="center"/>
              <w:rPr>
                <w:b/>
                <w:color w:val="000000" w:themeColor="text1"/>
              </w:rPr>
            </w:pPr>
            <w:r w:rsidRPr="00781112">
              <w:rPr>
                <w:rFonts w:cs="Arial"/>
                <w:b/>
                <w:color w:val="000000" w:themeColor="text1"/>
                <w:szCs w:val="16"/>
              </w:rPr>
              <w:t>2024</w:t>
            </w:r>
          </w:p>
        </w:tc>
        <w:tc>
          <w:tcPr>
            <w:tcW w:w="1571" w:type="pct"/>
            <w:vAlign w:val="center"/>
          </w:tcPr>
          <w:p w14:paraId="68D8D021" w14:textId="79B543D0" w:rsidR="00AC3EF2" w:rsidRPr="00781112" w:rsidRDefault="00AC3EF2" w:rsidP="00D62058">
            <w:pPr>
              <w:jc w:val="center"/>
              <w:rPr>
                <w:b/>
                <w:color w:val="000000" w:themeColor="text1"/>
              </w:rPr>
            </w:pPr>
            <w:r w:rsidRPr="00781112">
              <w:rPr>
                <w:rFonts w:cs="Arial"/>
                <w:b/>
                <w:color w:val="000000" w:themeColor="text1"/>
                <w:szCs w:val="16"/>
              </w:rPr>
              <w:t>2025</w:t>
            </w:r>
          </w:p>
        </w:tc>
      </w:tr>
      <w:tr w:rsidR="00AC3EF2" w:rsidRPr="00781112" w14:paraId="18C73B9A" w14:textId="4A314190" w:rsidTr="00FE4611">
        <w:trPr>
          <w:trHeight w:val="340"/>
        </w:trPr>
        <w:tc>
          <w:tcPr>
            <w:tcW w:w="384" w:type="pct"/>
            <w:shd w:val="clear" w:color="auto" w:fill="auto"/>
            <w:vAlign w:val="center"/>
          </w:tcPr>
          <w:p w14:paraId="507B0BCD" w14:textId="415A5723" w:rsidR="00AC3EF2" w:rsidRPr="00781112" w:rsidRDefault="00AC3EF2" w:rsidP="00BA3DBE">
            <w:pPr>
              <w:jc w:val="center"/>
              <w:rPr>
                <w:rFonts w:cs="Arial"/>
                <w:color w:val="000000" w:themeColor="text1"/>
                <w:szCs w:val="16"/>
              </w:rPr>
            </w:pPr>
            <w:r w:rsidRPr="00781112">
              <w:rPr>
                <w:rFonts w:cs="Arial"/>
                <w:color w:val="000000" w:themeColor="text1"/>
                <w:szCs w:val="16"/>
              </w:rPr>
              <w:t>Target A1 &gt;=</w:t>
            </w:r>
          </w:p>
        </w:tc>
        <w:tc>
          <w:tcPr>
            <w:tcW w:w="1473" w:type="pct"/>
            <w:shd w:val="clear" w:color="auto" w:fill="auto"/>
            <w:vAlign w:val="center"/>
          </w:tcPr>
          <w:p w14:paraId="1B809E80" w14:textId="23651174" w:rsidR="00AC3EF2" w:rsidRPr="00781112" w:rsidRDefault="00AC3EF2" w:rsidP="00D62058">
            <w:pPr>
              <w:jc w:val="center"/>
              <w:rPr>
                <w:color w:val="000000" w:themeColor="text1"/>
              </w:rPr>
            </w:pPr>
            <w:r w:rsidRPr="00781112">
              <w:rPr>
                <w:color w:val="000000" w:themeColor="text1"/>
              </w:rPr>
              <w:t>73.00%</w:t>
            </w:r>
          </w:p>
        </w:tc>
        <w:tc>
          <w:tcPr>
            <w:tcW w:w="1571" w:type="pct"/>
            <w:vAlign w:val="center"/>
          </w:tcPr>
          <w:p w14:paraId="5EAD01EF" w14:textId="12066A13" w:rsidR="00AC3EF2" w:rsidRPr="00781112" w:rsidRDefault="00AC3EF2" w:rsidP="00D62058">
            <w:pPr>
              <w:jc w:val="center"/>
              <w:rPr>
                <w:color w:val="000000" w:themeColor="text1"/>
              </w:rPr>
            </w:pPr>
            <w:r w:rsidRPr="00781112">
              <w:rPr>
                <w:color w:val="000000" w:themeColor="text1"/>
                <w:szCs w:val="16"/>
              </w:rPr>
              <w:t>73.50%</w:t>
            </w:r>
          </w:p>
        </w:tc>
        <w:tc>
          <w:tcPr>
            <w:tcW w:w="1571" w:type="pct"/>
            <w:vAlign w:val="center"/>
          </w:tcPr>
          <w:p w14:paraId="2E3018C0" w14:textId="3758E6A1" w:rsidR="00AC3EF2" w:rsidRPr="00781112" w:rsidRDefault="00AC3EF2" w:rsidP="00D62058">
            <w:pPr>
              <w:jc w:val="center"/>
              <w:rPr>
                <w:color w:val="000000" w:themeColor="text1"/>
              </w:rPr>
            </w:pPr>
            <w:r w:rsidRPr="00781112">
              <w:rPr>
                <w:color w:val="000000" w:themeColor="text1"/>
                <w:szCs w:val="16"/>
              </w:rPr>
              <w:t>74.00%</w:t>
            </w:r>
          </w:p>
        </w:tc>
      </w:tr>
      <w:tr w:rsidR="00AC3EF2" w:rsidRPr="00781112" w14:paraId="7C704220" w14:textId="4A1FC69E" w:rsidTr="00FE4611">
        <w:trPr>
          <w:trHeight w:val="340"/>
        </w:trPr>
        <w:tc>
          <w:tcPr>
            <w:tcW w:w="384" w:type="pct"/>
            <w:shd w:val="clear" w:color="auto" w:fill="auto"/>
            <w:vAlign w:val="center"/>
          </w:tcPr>
          <w:p w14:paraId="253AADF0" w14:textId="721E9C65" w:rsidR="00AC3EF2" w:rsidRPr="00781112" w:rsidRDefault="00AC3EF2" w:rsidP="00BA3DBE">
            <w:pPr>
              <w:jc w:val="center"/>
              <w:rPr>
                <w:rFonts w:cs="Arial"/>
                <w:color w:val="000000" w:themeColor="text1"/>
                <w:szCs w:val="16"/>
              </w:rPr>
            </w:pPr>
            <w:r w:rsidRPr="00781112">
              <w:rPr>
                <w:rFonts w:cs="Arial"/>
                <w:color w:val="000000" w:themeColor="text1"/>
                <w:szCs w:val="16"/>
              </w:rPr>
              <w:t>Target A2 &gt;=</w:t>
            </w:r>
          </w:p>
        </w:tc>
        <w:tc>
          <w:tcPr>
            <w:tcW w:w="1473" w:type="pct"/>
            <w:shd w:val="clear" w:color="auto" w:fill="auto"/>
            <w:vAlign w:val="center"/>
          </w:tcPr>
          <w:p w14:paraId="572F97E5" w14:textId="71E20118" w:rsidR="00AC3EF2" w:rsidRPr="00781112" w:rsidRDefault="00AC3EF2" w:rsidP="00D62058">
            <w:pPr>
              <w:jc w:val="center"/>
              <w:rPr>
                <w:rFonts w:cs="Arial"/>
                <w:color w:val="000000" w:themeColor="text1"/>
                <w:szCs w:val="16"/>
              </w:rPr>
            </w:pPr>
            <w:r w:rsidRPr="00781112">
              <w:rPr>
                <w:rFonts w:cs="Arial"/>
                <w:color w:val="000000" w:themeColor="text1"/>
                <w:szCs w:val="16"/>
              </w:rPr>
              <w:t>65.60%</w:t>
            </w:r>
          </w:p>
        </w:tc>
        <w:tc>
          <w:tcPr>
            <w:tcW w:w="1571" w:type="pct"/>
            <w:vAlign w:val="center"/>
          </w:tcPr>
          <w:p w14:paraId="40137C22" w14:textId="775C9D4C" w:rsidR="00AC3EF2" w:rsidRPr="00781112" w:rsidRDefault="00AC3EF2" w:rsidP="00D62058">
            <w:pPr>
              <w:jc w:val="center"/>
              <w:rPr>
                <w:rFonts w:cs="Arial"/>
                <w:color w:val="000000" w:themeColor="text1"/>
                <w:szCs w:val="16"/>
              </w:rPr>
            </w:pPr>
            <w:r w:rsidRPr="00781112">
              <w:rPr>
                <w:color w:val="000000" w:themeColor="text1"/>
                <w:szCs w:val="16"/>
              </w:rPr>
              <w:t>65.80%</w:t>
            </w:r>
          </w:p>
        </w:tc>
        <w:tc>
          <w:tcPr>
            <w:tcW w:w="1571" w:type="pct"/>
            <w:vAlign w:val="center"/>
          </w:tcPr>
          <w:p w14:paraId="468DEAEF" w14:textId="0B21BE62" w:rsidR="00AC3EF2" w:rsidRPr="00781112" w:rsidRDefault="00AC3EF2" w:rsidP="00D62058">
            <w:pPr>
              <w:jc w:val="center"/>
              <w:rPr>
                <w:rFonts w:cs="Arial"/>
                <w:color w:val="000000" w:themeColor="text1"/>
                <w:szCs w:val="16"/>
              </w:rPr>
            </w:pPr>
            <w:r w:rsidRPr="00781112">
              <w:rPr>
                <w:color w:val="000000" w:themeColor="text1"/>
                <w:szCs w:val="16"/>
              </w:rPr>
              <w:t>66.00%</w:t>
            </w:r>
          </w:p>
        </w:tc>
      </w:tr>
      <w:tr w:rsidR="00AC3EF2" w:rsidRPr="00781112" w14:paraId="6D44D644" w14:textId="2AAE55F2" w:rsidTr="00FE4611">
        <w:trPr>
          <w:trHeight w:val="340"/>
        </w:trPr>
        <w:tc>
          <w:tcPr>
            <w:tcW w:w="384" w:type="pct"/>
            <w:shd w:val="clear" w:color="auto" w:fill="auto"/>
            <w:vAlign w:val="center"/>
          </w:tcPr>
          <w:p w14:paraId="2E46543E" w14:textId="484E799D" w:rsidR="00AC3EF2" w:rsidRPr="00781112" w:rsidRDefault="00AC3EF2" w:rsidP="00BA3DBE">
            <w:pPr>
              <w:jc w:val="center"/>
              <w:rPr>
                <w:rFonts w:cs="Arial"/>
                <w:color w:val="000000" w:themeColor="text1"/>
                <w:szCs w:val="16"/>
              </w:rPr>
            </w:pPr>
            <w:r w:rsidRPr="00781112">
              <w:rPr>
                <w:rFonts w:cs="Arial"/>
                <w:color w:val="000000" w:themeColor="text1"/>
                <w:szCs w:val="16"/>
              </w:rPr>
              <w:t>Target B1 &gt;=</w:t>
            </w:r>
          </w:p>
        </w:tc>
        <w:tc>
          <w:tcPr>
            <w:tcW w:w="1473" w:type="pct"/>
            <w:shd w:val="clear" w:color="auto" w:fill="auto"/>
            <w:vAlign w:val="center"/>
          </w:tcPr>
          <w:p w14:paraId="5B1AAB6F" w14:textId="09987858" w:rsidR="00AC3EF2" w:rsidRPr="00781112" w:rsidRDefault="00AC3EF2" w:rsidP="00D62058">
            <w:pPr>
              <w:jc w:val="center"/>
              <w:rPr>
                <w:rFonts w:cs="Arial"/>
                <w:color w:val="000000" w:themeColor="text1"/>
                <w:szCs w:val="16"/>
              </w:rPr>
            </w:pPr>
            <w:r w:rsidRPr="00781112">
              <w:rPr>
                <w:rFonts w:cs="Arial"/>
                <w:color w:val="000000" w:themeColor="text1"/>
                <w:szCs w:val="16"/>
              </w:rPr>
              <w:t>72.50%</w:t>
            </w:r>
          </w:p>
        </w:tc>
        <w:tc>
          <w:tcPr>
            <w:tcW w:w="1571" w:type="pct"/>
            <w:vAlign w:val="center"/>
          </w:tcPr>
          <w:p w14:paraId="7D23F948" w14:textId="1533C8CE" w:rsidR="00AC3EF2" w:rsidRPr="00781112" w:rsidRDefault="00AC3EF2" w:rsidP="00D62058">
            <w:pPr>
              <w:jc w:val="center"/>
              <w:rPr>
                <w:rFonts w:cs="Arial"/>
                <w:color w:val="000000" w:themeColor="text1"/>
                <w:szCs w:val="16"/>
              </w:rPr>
            </w:pPr>
            <w:r w:rsidRPr="00781112">
              <w:rPr>
                <w:color w:val="000000" w:themeColor="text1"/>
                <w:szCs w:val="16"/>
              </w:rPr>
              <w:t>73.00%</w:t>
            </w:r>
          </w:p>
        </w:tc>
        <w:tc>
          <w:tcPr>
            <w:tcW w:w="1571" w:type="pct"/>
            <w:vAlign w:val="center"/>
          </w:tcPr>
          <w:p w14:paraId="681F2D39" w14:textId="3BA1761B" w:rsidR="00AC3EF2" w:rsidRPr="00781112" w:rsidRDefault="00AC3EF2" w:rsidP="00D62058">
            <w:pPr>
              <w:jc w:val="center"/>
              <w:rPr>
                <w:rFonts w:cs="Arial"/>
                <w:color w:val="000000" w:themeColor="text1"/>
                <w:szCs w:val="16"/>
              </w:rPr>
            </w:pPr>
            <w:r w:rsidRPr="00781112">
              <w:rPr>
                <w:color w:val="000000" w:themeColor="text1"/>
                <w:szCs w:val="16"/>
              </w:rPr>
              <w:t>73.00%</w:t>
            </w:r>
          </w:p>
        </w:tc>
      </w:tr>
      <w:tr w:rsidR="00AC3EF2" w:rsidRPr="00781112" w14:paraId="23425CD0" w14:textId="2D15C5CA" w:rsidTr="00FE4611">
        <w:trPr>
          <w:trHeight w:val="340"/>
        </w:trPr>
        <w:tc>
          <w:tcPr>
            <w:tcW w:w="384" w:type="pct"/>
            <w:shd w:val="clear" w:color="auto" w:fill="auto"/>
            <w:vAlign w:val="center"/>
          </w:tcPr>
          <w:p w14:paraId="7DAA620C" w14:textId="6D6F79FD" w:rsidR="00AC3EF2" w:rsidRPr="00781112" w:rsidRDefault="00AC3EF2" w:rsidP="00BA3DBE">
            <w:pPr>
              <w:jc w:val="center"/>
              <w:rPr>
                <w:rFonts w:cs="Arial"/>
                <w:color w:val="000000" w:themeColor="text1"/>
                <w:szCs w:val="16"/>
              </w:rPr>
            </w:pPr>
            <w:r w:rsidRPr="00781112">
              <w:rPr>
                <w:rFonts w:cs="Arial"/>
                <w:color w:val="000000" w:themeColor="text1"/>
                <w:szCs w:val="16"/>
              </w:rPr>
              <w:t>Target B2 &gt;=</w:t>
            </w:r>
          </w:p>
        </w:tc>
        <w:tc>
          <w:tcPr>
            <w:tcW w:w="1473" w:type="pct"/>
            <w:shd w:val="clear" w:color="auto" w:fill="auto"/>
            <w:vAlign w:val="center"/>
          </w:tcPr>
          <w:p w14:paraId="0C8065AA" w14:textId="2AC4B20C" w:rsidR="00AC3EF2" w:rsidRPr="00781112" w:rsidRDefault="00AC3EF2" w:rsidP="00D62058">
            <w:pPr>
              <w:jc w:val="center"/>
              <w:rPr>
                <w:rFonts w:cs="Arial"/>
                <w:color w:val="000000" w:themeColor="text1"/>
                <w:szCs w:val="16"/>
              </w:rPr>
            </w:pPr>
            <w:r w:rsidRPr="00781112">
              <w:rPr>
                <w:rFonts w:cs="Arial"/>
                <w:color w:val="000000" w:themeColor="text1"/>
                <w:szCs w:val="16"/>
              </w:rPr>
              <w:t>57.60%</w:t>
            </w:r>
          </w:p>
        </w:tc>
        <w:tc>
          <w:tcPr>
            <w:tcW w:w="1571" w:type="pct"/>
            <w:vAlign w:val="center"/>
          </w:tcPr>
          <w:p w14:paraId="3751A50F" w14:textId="3383D4A8" w:rsidR="00AC3EF2" w:rsidRPr="00781112" w:rsidRDefault="00AC3EF2" w:rsidP="00D62058">
            <w:pPr>
              <w:jc w:val="center"/>
              <w:rPr>
                <w:rFonts w:cs="Arial"/>
                <w:color w:val="000000" w:themeColor="text1"/>
                <w:szCs w:val="16"/>
              </w:rPr>
            </w:pPr>
            <w:r w:rsidRPr="00781112">
              <w:rPr>
                <w:color w:val="000000" w:themeColor="text1"/>
                <w:szCs w:val="16"/>
              </w:rPr>
              <w:t>57.80%</w:t>
            </w:r>
          </w:p>
        </w:tc>
        <w:tc>
          <w:tcPr>
            <w:tcW w:w="1571" w:type="pct"/>
            <w:vAlign w:val="center"/>
          </w:tcPr>
          <w:p w14:paraId="5235FFA6" w14:textId="4138DEB0" w:rsidR="00AC3EF2" w:rsidRPr="00781112" w:rsidRDefault="00AC3EF2" w:rsidP="00D62058">
            <w:pPr>
              <w:jc w:val="center"/>
              <w:rPr>
                <w:rFonts w:cs="Arial"/>
                <w:color w:val="000000" w:themeColor="text1"/>
                <w:szCs w:val="16"/>
              </w:rPr>
            </w:pPr>
            <w:r w:rsidRPr="00781112">
              <w:rPr>
                <w:color w:val="000000" w:themeColor="text1"/>
                <w:szCs w:val="16"/>
              </w:rPr>
              <w:t>58.00%</w:t>
            </w:r>
          </w:p>
        </w:tc>
      </w:tr>
      <w:tr w:rsidR="00AC3EF2" w:rsidRPr="00781112" w14:paraId="3A0A624F" w14:textId="2DA1E496" w:rsidTr="00FE4611">
        <w:trPr>
          <w:trHeight w:val="340"/>
        </w:trPr>
        <w:tc>
          <w:tcPr>
            <w:tcW w:w="384" w:type="pct"/>
            <w:shd w:val="clear" w:color="auto" w:fill="auto"/>
            <w:vAlign w:val="center"/>
          </w:tcPr>
          <w:p w14:paraId="04DCCFAA" w14:textId="5591B965" w:rsidR="00AC3EF2" w:rsidRPr="00781112" w:rsidRDefault="00AC3EF2" w:rsidP="00BA3DBE">
            <w:pPr>
              <w:jc w:val="center"/>
              <w:rPr>
                <w:rFonts w:cs="Arial"/>
                <w:color w:val="000000" w:themeColor="text1"/>
                <w:szCs w:val="16"/>
              </w:rPr>
            </w:pPr>
            <w:r w:rsidRPr="00781112">
              <w:rPr>
                <w:rFonts w:cs="Arial"/>
                <w:color w:val="000000" w:themeColor="text1"/>
                <w:szCs w:val="16"/>
              </w:rPr>
              <w:t>Target C1 &gt;=</w:t>
            </w:r>
          </w:p>
        </w:tc>
        <w:tc>
          <w:tcPr>
            <w:tcW w:w="1473" w:type="pct"/>
            <w:shd w:val="clear" w:color="auto" w:fill="auto"/>
            <w:vAlign w:val="center"/>
          </w:tcPr>
          <w:p w14:paraId="26176209" w14:textId="03FEA13C" w:rsidR="00AC3EF2" w:rsidRPr="00781112" w:rsidRDefault="00AC3EF2" w:rsidP="00D62058">
            <w:pPr>
              <w:jc w:val="center"/>
              <w:rPr>
                <w:rFonts w:cs="Arial"/>
                <w:color w:val="000000" w:themeColor="text1"/>
                <w:szCs w:val="16"/>
              </w:rPr>
            </w:pPr>
            <w:r w:rsidRPr="00781112">
              <w:rPr>
                <w:rFonts w:cs="Arial"/>
                <w:color w:val="000000" w:themeColor="text1"/>
                <w:szCs w:val="16"/>
              </w:rPr>
              <w:t>74.00%</w:t>
            </w:r>
          </w:p>
        </w:tc>
        <w:tc>
          <w:tcPr>
            <w:tcW w:w="1571" w:type="pct"/>
            <w:vAlign w:val="center"/>
          </w:tcPr>
          <w:p w14:paraId="36CB20B0" w14:textId="212CC3E5" w:rsidR="00AC3EF2" w:rsidRPr="00781112" w:rsidRDefault="00AC3EF2" w:rsidP="00D62058">
            <w:pPr>
              <w:jc w:val="center"/>
              <w:rPr>
                <w:rFonts w:cs="Arial"/>
                <w:color w:val="000000" w:themeColor="text1"/>
                <w:szCs w:val="16"/>
              </w:rPr>
            </w:pPr>
            <w:r w:rsidRPr="00781112">
              <w:rPr>
                <w:color w:val="000000" w:themeColor="text1"/>
                <w:szCs w:val="16"/>
              </w:rPr>
              <w:t>74.50%</w:t>
            </w:r>
          </w:p>
        </w:tc>
        <w:tc>
          <w:tcPr>
            <w:tcW w:w="1571" w:type="pct"/>
            <w:vAlign w:val="center"/>
          </w:tcPr>
          <w:p w14:paraId="29B1E3BE" w14:textId="0FFFD561" w:rsidR="00AC3EF2" w:rsidRPr="00781112" w:rsidRDefault="00AC3EF2" w:rsidP="00D62058">
            <w:pPr>
              <w:jc w:val="center"/>
              <w:rPr>
                <w:rFonts w:cs="Arial"/>
                <w:color w:val="000000" w:themeColor="text1"/>
                <w:szCs w:val="16"/>
              </w:rPr>
            </w:pPr>
            <w:r w:rsidRPr="00781112">
              <w:rPr>
                <w:color w:val="000000" w:themeColor="text1"/>
                <w:szCs w:val="16"/>
              </w:rPr>
              <w:t>75.00%</w:t>
            </w:r>
          </w:p>
        </w:tc>
      </w:tr>
      <w:tr w:rsidR="00AC3EF2" w:rsidRPr="00781112" w14:paraId="7FD0F8D0" w14:textId="6F160F3D" w:rsidTr="00FE4611">
        <w:trPr>
          <w:trHeight w:val="340"/>
        </w:trPr>
        <w:tc>
          <w:tcPr>
            <w:tcW w:w="384" w:type="pct"/>
            <w:shd w:val="clear" w:color="auto" w:fill="auto"/>
            <w:vAlign w:val="center"/>
          </w:tcPr>
          <w:p w14:paraId="16DEC104" w14:textId="6A28B34F" w:rsidR="00AC3EF2" w:rsidRPr="00781112" w:rsidRDefault="00AC3EF2" w:rsidP="00BA3DBE">
            <w:pPr>
              <w:jc w:val="center"/>
              <w:rPr>
                <w:rFonts w:cs="Arial"/>
                <w:color w:val="000000" w:themeColor="text1"/>
                <w:szCs w:val="16"/>
              </w:rPr>
            </w:pPr>
            <w:r w:rsidRPr="00781112">
              <w:rPr>
                <w:rFonts w:cs="Arial"/>
                <w:color w:val="000000" w:themeColor="text1"/>
                <w:szCs w:val="16"/>
              </w:rPr>
              <w:t>Target C2 &gt;=</w:t>
            </w:r>
          </w:p>
        </w:tc>
        <w:tc>
          <w:tcPr>
            <w:tcW w:w="1473" w:type="pct"/>
            <w:shd w:val="clear" w:color="auto" w:fill="auto"/>
            <w:vAlign w:val="center"/>
          </w:tcPr>
          <w:p w14:paraId="7A9F674E" w14:textId="54CCEACA" w:rsidR="00AC3EF2" w:rsidRPr="00781112" w:rsidRDefault="00AC3EF2" w:rsidP="00AD5583">
            <w:pPr>
              <w:jc w:val="center"/>
              <w:rPr>
                <w:rFonts w:cs="Arial"/>
                <w:color w:val="000000" w:themeColor="text1"/>
                <w:szCs w:val="16"/>
              </w:rPr>
            </w:pPr>
            <w:r w:rsidRPr="00781112">
              <w:rPr>
                <w:rFonts w:cs="Arial"/>
                <w:color w:val="000000" w:themeColor="text1"/>
                <w:szCs w:val="16"/>
              </w:rPr>
              <w:t>60.75%</w:t>
            </w:r>
          </w:p>
        </w:tc>
        <w:tc>
          <w:tcPr>
            <w:tcW w:w="1571" w:type="pct"/>
            <w:vAlign w:val="center"/>
          </w:tcPr>
          <w:p w14:paraId="1A528F77" w14:textId="13F14B9B" w:rsidR="00AC3EF2" w:rsidRPr="00781112" w:rsidRDefault="00AC3EF2" w:rsidP="00AD5583">
            <w:pPr>
              <w:jc w:val="center"/>
              <w:rPr>
                <w:rFonts w:cs="Arial"/>
                <w:color w:val="000000" w:themeColor="text1"/>
                <w:szCs w:val="16"/>
              </w:rPr>
            </w:pPr>
            <w:r w:rsidRPr="00781112">
              <w:rPr>
                <w:color w:val="000000" w:themeColor="text1"/>
                <w:szCs w:val="16"/>
              </w:rPr>
              <w:t>70.00%</w:t>
            </w:r>
          </w:p>
          <w:p w14:paraId="3C5378CB" w14:textId="5A59E833" w:rsidR="00AC3EF2" w:rsidRPr="00781112" w:rsidRDefault="00AC3EF2" w:rsidP="00AD5583">
            <w:pPr>
              <w:jc w:val="center"/>
              <w:rPr>
                <w:rFonts w:cs="Arial"/>
                <w:color w:val="000000" w:themeColor="text1"/>
                <w:szCs w:val="16"/>
              </w:rPr>
            </w:pPr>
          </w:p>
        </w:tc>
        <w:tc>
          <w:tcPr>
            <w:tcW w:w="1571" w:type="pct"/>
            <w:vAlign w:val="center"/>
          </w:tcPr>
          <w:p w14:paraId="694DD14B" w14:textId="0FC2BAFA" w:rsidR="00AC3EF2" w:rsidRPr="00781112" w:rsidRDefault="00AC3EF2" w:rsidP="00AD5583">
            <w:pPr>
              <w:jc w:val="center"/>
              <w:rPr>
                <w:rFonts w:cs="Arial"/>
                <w:color w:val="000000" w:themeColor="text1"/>
                <w:szCs w:val="16"/>
              </w:rPr>
            </w:pPr>
            <w:r w:rsidRPr="00781112">
              <w:rPr>
                <w:color w:val="000000" w:themeColor="text1"/>
                <w:szCs w:val="16"/>
              </w:rPr>
              <w:t>70.25%</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00CB488" w14:textId="412B2B81" w:rsidR="002D145D" w:rsidRPr="00781112" w:rsidRDefault="002B7490" w:rsidP="002D145D">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lastRenderedPageBreak/>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6276C0F6" w14:textId="56252E01" w:rsidR="002D145D" w:rsidRPr="00781112" w:rsidRDefault="002D145D" w:rsidP="002D145D">
      <w:pPr>
        <w:rPr>
          <w:rFonts w:cs="Arial"/>
          <w:color w:val="000000" w:themeColor="text1"/>
          <w:szCs w:val="16"/>
        </w:rPr>
      </w:pPr>
    </w:p>
    <w:p w14:paraId="1512BEE4" w14:textId="77777777" w:rsidR="007870F8" w:rsidRPr="00781112" w:rsidRDefault="007870F8" w:rsidP="004369B2">
      <w:pPr>
        <w:rPr>
          <w:color w:val="000000" w:themeColor="text1"/>
        </w:rPr>
      </w:pPr>
    </w:p>
    <w:p w14:paraId="4D0201C3" w14:textId="538BBEB4" w:rsidR="008751D3" w:rsidRPr="00781112" w:rsidRDefault="0047313F">
      <w:pPr>
        <w:rPr>
          <w:b/>
          <w:color w:val="000000" w:themeColor="text1"/>
        </w:rPr>
      </w:pPr>
      <w:r>
        <w:rPr>
          <w:b/>
          <w:color w:val="000000" w:themeColor="text1"/>
        </w:rPr>
        <w:t>FFY 2023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1,918</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17</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0.89%</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474</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24.71%</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294</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15.33%</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583</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30.40%</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550</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28.68%</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331FE5AB"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1DCEE89" w14:textId="69BAA8A3" w:rsidR="00AA4F85" w:rsidRPr="00CC1061" w:rsidRDefault="00AA4F85" w:rsidP="00AA4F85">
            <w:pPr>
              <w:jc w:val="center"/>
              <w:rPr>
                <w:rFonts w:cs="Arial"/>
                <w:b/>
                <w:bCs/>
                <w:color w:val="000000" w:themeColor="text1"/>
                <w:szCs w:val="16"/>
              </w:rPr>
            </w:pPr>
            <w:r w:rsidRPr="00CC1061">
              <w:rPr>
                <w:b/>
                <w:bCs/>
              </w:rPr>
              <w:t>FFY 2023 Target</w:t>
            </w:r>
          </w:p>
        </w:tc>
        <w:tc>
          <w:tcPr>
            <w:tcW w:w="571" w:type="pct"/>
            <w:shd w:val="clear" w:color="auto" w:fill="auto"/>
            <w:vAlign w:val="bottom"/>
          </w:tcPr>
          <w:p w14:paraId="64737D68" w14:textId="38E4550D" w:rsidR="00AA4F85" w:rsidRPr="00CC1061" w:rsidRDefault="00AA4F85" w:rsidP="00AA4F85">
            <w:pPr>
              <w:jc w:val="center"/>
              <w:rPr>
                <w:rFonts w:cs="Arial"/>
                <w:b/>
                <w:bCs/>
                <w:color w:val="000000" w:themeColor="text1"/>
                <w:szCs w:val="16"/>
              </w:rPr>
            </w:pPr>
            <w:r w:rsidRPr="00CC1061">
              <w:rPr>
                <w:b/>
                <w:bCs/>
              </w:rPr>
              <w:t>FFY 2023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877</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1,368</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61.83%</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73.00%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64.11%</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1,133</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1,918</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54.90%</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65.60%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59.07%</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0.16%</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487</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25.39%</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lastRenderedPageBreak/>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367</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19.13%</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644</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33.58%</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417</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21.74%</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2A9F936A" w:rsidR="00AA4F85" w:rsidRPr="00CC1061" w:rsidRDefault="00AA4F85" w:rsidP="00CC1061">
            <w:pPr>
              <w:jc w:val="center"/>
              <w:rPr>
                <w:b/>
                <w:bCs/>
                <w:color w:val="000000" w:themeColor="text1"/>
              </w:rPr>
            </w:pPr>
            <w:r w:rsidRPr="00CC1061">
              <w:rPr>
                <w:b/>
                <w:bCs/>
              </w:rPr>
              <w:t>FFY 2022 Data</w:t>
            </w:r>
          </w:p>
        </w:tc>
        <w:tc>
          <w:tcPr>
            <w:tcW w:w="584" w:type="pct"/>
            <w:shd w:val="clear" w:color="auto" w:fill="auto"/>
            <w:vAlign w:val="bottom"/>
          </w:tcPr>
          <w:p w14:paraId="3AFAEBC5" w14:textId="46E70C1E" w:rsidR="00AA4F85" w:rsidRPr="00CC1061" w:rsidRDefault="00AA4F85" w:rsidP="00CC1061">
            <w:pPr>
              <w:jc w:val="center"/>
              <w:rPr>
                <w:b/>
                <w:bCs/>
                <w:color w:val="000000" w:themeColor="text1"/>
              </w:rPr>
            </w:pPr>
            <w:r w:rsidRPr="00CC1061">
              <w:rPr>
                <w:b/>
                <w:bCs/>
              </w:rPr>
              <w:t>FFY 2023 Target</w:t>
            </w:r>
          </w:p>
        </w:tc>
        <w:tc>
          <w:tcPr>
            <w:tcW w:w="584" w:type="pct"/>
            <w:shd w:val="clear" w:color="auto" w:fill="auto"/>
            <w:vAlign w:val="bottom"/>
          </w:tcPr>
          <w:p w14:paraId="40B6360D" w14:textId="28C8C719" w:rsidR="00AA4F85" w:rsidRPr="00CC1061" w:rsidRDefault="00AA4F85" w:rsidP="00CC1061">
            <w:pPr>
              <w:jc w:val="center"/>
              <w:rPr>
                <w:b/>
                <w:bCs/>
                <w:color w:val="000000" w:themeColor="text1"/>
              </w:rPr>
            </w:pPr>
            <w:r w:rsidRPr="00CC1061">
              <w:rPr>
                <w:b/>
                <w:bCs/>
              </w:rPr>
              <w:t>FFY 2023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1,011</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1,501</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65.80%</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72.50%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67.36%</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1,061</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1,918</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53.61%</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57.60%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55.32%</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33</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1.72%</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575</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29.98%</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269</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14.03%</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591</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30.81%</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450</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23.46%</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398AC8A6" w:rsidR="00AA4F85" w:rsidRPr="00CC1061" w:rsidRDefault="00AA4F85" w:rsidP="00AA4F85">
            <w:pPr>
              <w:jc w:val="center"/>
              <w:rPr>
                <w:rFonts w:cs="Arial"/>
                <w:b/>
                <w:bCs/>
                <w:color w:val="000000" w:themeColor="text1"/>
                <w:szCs w:val="16"/>
              </w:rPr>
            </w:pPr>
            <w:r w:rsidRPr="00CC1061">
              <w:rPr>
                <w:b/>
                <w:bCs/>
              </w:rPr>
              <w:t>FFY 2022 Data</w:t>
            </w:r>
          </w:p>
        </w:tc>
        <w:tc>
          <w:tcPr>
            <w:tcW w:w="584" w:type="pct"/>
            <w:shd w:val="clear" w:color="auto" w:fill="auto"/>
            <w:vAlign w:val="bottom"/>
          </w:tcPr>
          <w:p w14:paraId="7E59D447" w14:textId="1C40557C" w:rsidR="00AA4F85" w:rsidRPr="00CC1061" w:rsidRDefault="00AA4F85" w:rsidP="00AA4F85">
            <w:pPr>
              <w:jc w:val="center"/>
              <w:rPr>
                <w:rFonts w:cs="Arial"/>
                <w:b/>
                <w:bCs/>
                <w:color w:val="000000" w:themeColor="text1"/>
                <w:szCs w:val="16"/>
              </w:rPr>
            </w:pPr>
            <w:r w:rsidRPr="00CC1061">
              <w:rPr>
                <w:b/>
                <w:bCs/>
              </w:rPr>
              <w:t>FFY 2023 Target</w:t>
            </w:r>
          </w:p>
        </w:tc>
        <w:tc>
          <w:tcPr>
            <w:tcW w:w="625" w:type="pct"/>
            <w:shd w:val="clear" w:color="auto" w:fill="auto"/>
            <w:vAlign w:val="bottom"/>
          </w:tcPr>
          <w:p w14:paraId="48E0A776" w14:textId="6B1C2CF8" w:rsidR="00AA4F85" w:rsidRPr="00CC1061" w:rsidRDefault="00AA4F85" w:rsidP="00AA4F85">
            <w:pPr>
              <w:jc w:val="center"/>
              <w:rPr>
                <w:rFonts w:cs="Arial"/>
                <w:b/>
                <w:bCs/>
                <w:color w:val="000000" w:themeColor="text1"/>
                <w:szCs w:val="16"/>
              </w:rPr>
            </w:pPr>
            <w:r w:rsidRPr="00CC1061">
              <w:rPr>
                <w:b/>
                <w:bCs/>
              </w:rPr>
              <w:t>FFY 2023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3FD0705F" w14:textId="77777777" w:rsidR="00B31BA1" w:rsidRPr="00FE4611" w:rsidRDefault="00757D21" w:rsidP="00FE4611">
            <w:pPr>
              <w:spacing w:after="0"/>
              <w:rPr>
                <w:rFonts w:cs="Arial"/>
                <w:i/>
                <w:iCs/>
                <w:color w:val="C00000"/>
                <w:szCs w:val="16"/>
                <w:lang w:val="es-ES"/>
              </w:rPr>
            </w:pPr>
            <w:r w:rsidRPr="00FE4611">
              <w:rPr>
                <w:rFonts w:cs="Arial"/>
                <w:i/>
                <w:iCs/>
                <w:color w:val="C00000"/>
                <w:szCs w:val="16"/>
                <w:lang w:val="es-ES"/>
              </w:rPr>
              <w:t>Calculation:</w:t>
            </w:r>
          </w:p>
          <w:p w14:paraId="78844CD5" w14:textId="7FD59560" w:rsidR="00A86385" w:rsidRPr="00781112" w:rsidRDefault="00757D21" w:rsidP="00FE4611">
            <w:pPr>
              <w:spacing w:before="0"/>
              <w:rPr>
                <w:rFonts w:cs="Arial"/>
                <w:color w:val="000000" w:themeColor="text1"/>
                <w:szCs w:val="16"/>
              </w:rPr>
            </w:pPr>
            <w:r w:rsidRPr="00FE4611">
              <w:rPr>
                <w:rFonts w:cs="Arial"/>
                <w:i/>
                <w:iCs/>
                <w:color w:val="C00000"/>
                <w:szCs w:val="16"/>
                <w:lang w:val="es-ES"/>
              </w:rPr>
              <w:t>(c+d)/(a+b+c+d)</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860</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1,468</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59.15%</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58.58%</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1,041</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1,918</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52.61%</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60.75%</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54.28%</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42" w:name="_Toc382082381"/>
      <w:bookmarkStart w:id="43"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Ratings are made on the tool's standard objectives and the system pulls outcome data from the assessment checkpoints corresponding to the preschool IEP entry and exit dates to produce each category. Teaching Strategies GOLD uses its online system to automatically produce OSEP progress categories and crosswalk the data with the Global Child Outcomes 1-3, which can be found on ECTA’s website: https://ectacenter.org/eco/assets/pdfs/Crosswalk-TS%20GOLD.pdf</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9B37A2" w:rsidP="007D435F">
      <w:pPr>
        <w:rPr>
          <w:rFonts w:cs="Arial"/>
          <w:color w:val="000000" w:themeColor="text1"/>
          <w:szCs w:val="16"/>
        </w:rPr>
      </w:pP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In the FFY 2023 SPP/APR submission, the State must explain any discrepancies between the FFY 2023 total number assessed and the FFY 2023 denominator in its calculation of the percent of preschoolers aged 3 through 5 who were functioning within age expectations in each outcome area by the time they turned 6 years of age or exited the program.</w:t>
      </w:r>
    </w:p>
    <w:p w14:paraId="342951AE" w14:textId="530DEEBF" w:rsidR="00B1280F" w:rsidRPr="00781112" w:rsidRDefault="00B1280F" w:rsidP="000A2C83">
      <w:pPr>
        <w:rPr>
          <w:rFonts w:cs="Arial"/>
          <w:color w:val="000000" w:themeColor="text1"/>
          <w:szCs w:val="16"/>
        </w:rPr>
      </w:pPr>
    </w:p>
    <w:p w14:paraId="32819AD2" w14:textId="32F60567" w:rsidR="000A2C83" w:rsidRPr="00781112" w:rsidRDefault="007639D7" w:rsidP="004369B2">
      <w:pPr>
        <w:rPr>
          <w:b/>
          <w:color w:val="000000" w:themeColor="text1"/>
        </w:rPr>
      </w:pPr>
      <w:r>
        <w:rPr>
          <w:b/>
          <w:color w:val="000000" w:themeColor="text1"/>
        </w:rPr>
        <w:t>Response to actions required in FFY 2022 SPP/APR</w:t>
      </w:r>
    </w:p>
    <w:p w14:paraId="0E03AAE5" w14:textId="77777777" w:rsidR="00B1280F" w:rsidRPr="00781112" w:rsidRDefault="002B7490" w:rsidP="000A2C83">
      <w:pPr>
        <w:rPr>
          <w:rFonts w:cs="Arial"/>
          <w:color w:val="000000" w:themeColor="text1"/>
          <w:szCs w:val="16"/>
        </w:rPr>
      </w:pPr>
      <w:r w:rsidRPr="00781112">
        <w:rPr>
          <w:rFonts w:cs="Arial"/>
          <w:color w:val="000000" w:themeColor="text1"/>
          <w:szCs w:val="16"/>
        </w:rPr>
        <w:t xml:space="preserve">In FFY22, the denominator in outcomes A, B, and C were reported as 2399 and the count of 2214 preschool children aged 3 through 5 with IEPs were assessed was reported. In prior years, Louisiana did not use the Early Childhood Outcomes Center (EOC) Child Outcomes Summary (COS) process. Instead the state reported that Criteria for defining “comparable to same-aged peers” was determined through Item Response Theory (IRT) analyses by Teaching Strategies, based on a national sample. The algorithms result in a 7-point rating system that parallels the Child Outcomes Summary (COS) ratings. These ratings by age are input into the TS GOLD online system which generates a rating based on TS GOLD scores for each functional outcome. Research studies examining the reliability and validity of the TS GOLD are found at https://teachingstrategies.com/wp-content/uploads/2021/08/2020-Tech-Manual_GOLD.pdf. Ratings are made on the tools standard objectives and the system pulls outcome data from the assessment checkpoints corresponding to the preschool IEP entry and exit dates to produce each category. Teaching Strategies GOLD uses their online system to automatically produce OSEP progress categories and crosswalk the data with the Global Child Outcomes 1-3, which can be found on ECTA’s website: https://ectacenter.org/eco/assets/pdfs/Crosswalk-TS%20GOLD.pdf. </w:t>
      </w:r>
      <w:r w:rsidRPr="00781112">
        <w:rPr>
          <w:rFonts w:cs="Arial"/>
          <w:color w:val="000000" w:themeColor="text1"/>
          <w:szCs w:val="16"/>
        </w:rPr>
        <w:br/>
      </w:r>
      <w:r w:rsidRPr="00781112">
        <w:rPr>
          <w:rFonts w:cs="Arial"/>
          <w:color w:val="000000" w:themeColor="text1"/>
          <w:szCs w:val="16"/>
        </w:rPr>
        <w:br/>
        <w:t>After OSEP's response to the data set, Louisiana checked the summary reports provided by Teaching Strategies and discovered the sum feature had not provided the correct totals. Hence, 2399 should have been reported as the count for the number of preschool children aged 3 through 5 with IEPs assessed in the FFY22 SPP/APR for this indicator. For FFY23, Louisiana chose to use the Early Childhood Outcomes Center (EOC) Child Outcomes Summary (COS) process. Additionally, Louisiana verified the summary data that had been generated through this process. Louisiana will continue to ensure data quality.</w:t>
      </w: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42"/>
      <w:bookmarkEnd w:id="43"/>
    </w:p>
    <w:p w14:paraId="66FBCA03" w14:textId="744F6FA8" w:rsidR="00B654C1" w:rsidRPr="002C274F" w:rsidRDefault="00B654C1" w:rsidP="002C274F">
      <w:pPr>
        <w:rPr>
          <w:b/>
          <w:bCs/>
          <w:sz w:val="20"/>
          <w:szCs w:val="20"/>
        </w:rPr>
      </w:pPr>
      <w:bookmarkStart w:id="44" w:name="_Toc392159307"/>
      <w:r w:rsidRPr="002C274F">
        <w:rPr>
          <w:b/>
          <w:bCs/>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09E101F0"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5"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5"/>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4"/>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1CF8039C" w14:textId="30DA616B" w:rsidR="00487CBD" w:rsidRPr="00781112" w:rsidRDefault="00487CBD" w:rsidP="00487CBD">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 xml:space="preserve">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t>
      </w:r>
      <w:r w:rsidRPr="00781112">
        <w:rPr>
          <w:rFonts w:cs="Arial"/>
          <w:color w:val="000000" w:themeColor="text1"/>
          <w:szCs w:val="16"/>
        </w:rPr>
        <w:lastRenderedPageBreak/>
        <w:t>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71AF2AFF" w14:textId="77777777" w:rsidR="00487CBD" w:rsidRPr="00781112" w:rsidRDefault="00487CBD" w:rsidP="00487CBD">
      <w:pPr>
        <w:rPr>
          <w:rFonts w:cs="Arial"/>
          <w:color w:val="000000" w:themeColor="text1"/>
          <w:szCs w:val="16"/>
        </w:rPr>
      </w:pP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2005</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39.00%</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2022</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84.50%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85.50%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86.50%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85.71%</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84.31%</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86.88%</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82.85%</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81.98%</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2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9"/>
        <w:gridCol w:w="1651"/>
        <w:gridCol w:w="1651"/>
        <w:gridCol w:w="1651"/>
      </w:tblGrid>
      <w:tr w:rsidR="00AC3EF2" w:rsidRPr="00781112" w14:paraId="77450D85" w14:textId="217C23D8" w:rsidTr="00FE4611">
        <w:trPr>
          <w:trHeight w:val="242"/>
        </w:trPr>
        <w:tc>
          <w:tcPr>
            <w:tcW w:w="767" w:type="pct"/>
            <w:tcBorders>
              <w:bottom w:val="single" w:sz="4" w:space="0" w:color="auto"/>
            </w:tcBorders>
            <w:shd w:val="clear" w:color="auto" w:fill="auto"/>
            <w:vAlign w:val="center"/>
          </w:tcPr>
          <w:p w14:paraId="5A82FAC4" w14:textId="77777777" w:rsidR="00AC3EF2" w:rsidRPr="003F088A" w:rsidRDefault="00AC3EF2" w:rsidP="00AD5583">
            <w:pPr>
              <w:jc w:val="center"/>
              <w:rPr>
                <w:rFonts w:cs="Arial"/>
                <w:b/>
                <w:color w:val="000000" w:themeColor="text1"/>
                <w:szCs w:val="16"/>
              </w:rPr>
            </w:pPr>
            <w:r w:rsidRPr="003F088A">
              <w:rPr>
                <w:rFonts w:cs="Arial"/>
                <w:b/>
                <w:color w:val="000000" w:themeColor="text1"/>
                <w:szCs w:val="16"/>
              </w:rPr>
              <w:t>FFY</w:t>
            </w:r>
          </w:p>
        </w:tc>
        <w:tc>
          <w:tcPr>
            <w:tcW w:w="1410" w:type="pct"/>
            <w:shd w:val="clear" w:color="auto" w:fill="auto"/>
            <w:vAlign w:val="center"/>
          </w:tcPr>
          <w:p w14:paraId="6DDB1395" w14:textId="489E70A4" w:rsidR="00AC3EF2" w:rsidRPr="003F088A" w:rsidRDefault="00AC3EF2" w:rsidP="00AD5583">
            <w:pPr>
              <w:jc w:val="center"/>
              <w:rPr>
                <w:rFonts w:cs="Arial"/>
                <w:b/>
                <w:color w:val="000000" w:themeColor="text1"/>
                <w:szCs w:val="16"/>
              </w:rPr>
            </w:pPr>
            <w:r w:rsidRPr="003F088A">
              <w:rPr>
                <w:rFonts w:cs="Arial"/>
                <w:b/>
                <w:color w:val="000000" w:themeColor="text1"/>
                <w:szCs w:val="16"/>
              </w:rPr>
              <w:t>2023</w:t>
            </w:r>
          </w:p>
        </w:tc>
        <w:tc>
          <w:tcPr>
            <w:tcW w:w="1411" w:type="pct"/>
            <w:vAlign w:val="center"/>
          </w:tcPr>
          <w:p w14:paraId="3277D8E8" w14:textId="4A05E6F6" w:rsidR="00AC3EF2" w:rsidRPr="003F088A" w:rsidRDefault="00AC3EF2" w:rsidP="00730C62">
            <w:pPr>
              <w:jc w:val="center"/>
              <w:rPr>
                <w:rFonts w:cs="Arial"/>
                <w:b/>
                <w:color w:val="000000" w:themeColor="text1"/>
                <w:szCs w:val="16"/>
              </w:rPr>
            </w:pPr>
            <w:r w:rsidRPr="00781112">
              <w:rPr>
                <w:rFonts w:cs="Arial"/>
                <w:b/>
                <w:color w:val="000000" w:themeColor="text1"/>
                <w:szCs w:val="16"/>
              </w:rPr>
              <w:t>2024</w:t>
            </w:r>
          </w:p>
        </w:tc>
        <w:tc>
          <w:tcPr>
            <w:tcW w:w="1411" w:type="pct"/>
            <w:vAlign w:val="center"/>
          </w:tcPr>
          <w:p w14:paraId="3AC9106D" w14:textId="5F7A56D0" w:rsidR="00AC3EF2" w:rsidRPr="003F088A" w:rsidRDefault="00AC3EF2" w:rsidP="00730C62">
            <w:pPr>
              <w:jc w:val="center"/>
              <w:rPr>
                <w:rFonts w:cs="Arial"/>
                <w:b/>
                <w:color w:val="000000" w:themeColor="text1"/>
                <w:szCs w:val="16"/>
              </w:rPr>
            </w:pPr>
            <w:r w:rsidRPr="00781112">
              <w:rPr>
                <w:rFonts w:cs="Arial"/>
                <w:b/>
                <w:color w:val="000000" w:themeColor="text1"/>
                <w:szCs w:val="16"/>
              </w:rPr>
              <w:t>2025</w:t>
            </w:r>
          </w:p>
        </w:tc>
      </w:tr>
      <w:tr w:rsidR="00AC3EF2" w:rsidRPr="00781112" w14:paraId="50A2A35E" w14:textId="13C4D5C2" w:rsidTr="00FE4611">
        <w:trPr>
          <w:trHeight w:val="370"/>
        </w:trPr>
        <w:tc>
          <w:tcPr>
            <w:tcW w:w="767" w:type="pct"/>
            <w:shd w:val="clear" w:color="auto" w:fill="auto"/>
          </w:tcPr>
          <w:p w14:paraId="2F249DEE" w14:textId="4AA3473F" w:rsidR="00AC3EF2" w:rsidRPr="00781112" w:rsidRDefault="00AC3EF2" w:rsidP="00BA3DBE">
            <w:pPr>
              <w:jc w:val="center"/>
              <w:rPr>
                <w:rFonts w:cs="Arial"/>
                <w:color w:val="000000" w:themeColor="text1"/>
                <w:szCs w:val="16"/>
              </w:rPr>
            </w:pPr>
            <w:r w:rsidRPr="00781112">
              <w:rPr>
                <w:rFonts w:cs="Arial"/>
                <w:color w:val="000000" w:themeColor="text1"/>
                <w:szCs w:val="16"/>
              </w:rPr>
              <w:t>Target &gt;=</w:t>
            </w:r>
          </w:p>
        </w:tc>
        <w:tc>
          <w:tcPr>
            <w:tcW w:w="1410" w:type="pct"/>
            <w:shd w:val="clear" w:color="auto" w:fill="auto"/>
            <w:vAlign w:val="center"/>
          </w:tcPr>
          <w:p w14:paraId="2ACB7B9E" w14:textId="427B5E78" w:rsidR="00AC3EF2" w:rsidRPr="00781112" w:rsidRDefault="00AC3EF2" w:rsidP="00AD5583">
            <w:pPr>
              <w:jc w:val="center"/>
              <w:rPr>
                <w:rFonts w:cs="Arial"/>
                <w:color w:val="000000" w:themeColor="text1"/>
                <w:szCs w:val="16"/>
              </w:rPr>
            </w:pPr>
            <w:r w:rsidRPr="00781112">
              <w:rPr>
                <w:rFonts w:cs="Arial"/>
                <w:color w:val="000000" w:themeColor="text1"/>
                <w:szCs w:val="16"/>
              </w:rPr>
              <w:t>87.50%</w:t>
            </w:r>
          </w:p>
        </w:tc>
        <w:tc>
          <w:tcPr>
            <w:tcW w:w="1411" w:type="pct"/>
          </w:tcPr>
          <w:p w14:paraId="01493DF6" w14:textId="39FAD961" w:rsidR="00AC3EF2" w:rsidRPr="00781112" w:rsidRDefault="00AC3EF2" w:rsidP="00AD5583">
            <w:pPr>
              <w:spacing w:before="0" w:after="200" w:line="276" w:lineRule="auto"/>
            </w:pPr>
            <w:r w:rsidRPr="00781112">
              <w:rPr>
                <w:color w:val="000000" w:themeColor="text1"/>
                <w:szCs w:val="16"/>
              </w:rPr>
              <w:t>88.50%</w:t>
            </w:r>
          </w:p>
        </w:tc>
        <w:tc>
          <w:tcPr>
            <w:tcW w:w="1411" w:type="pct"/>
          </w:tcPr>
          <w:p w14:paraId="71DAA89B" w14:textId="5FDD553A" w:rsidR="00AC3EF2" w:rsidRPr="00781112" w:rsidRDefault="00AC3EF2" w:rsidP="00AD5583">
            <w:pPr>
              <w:spacing w:before="0" w:after="200" w:line="276" w:lineRule="auto"/>
            </w:pPr>
            <w:r w:rsidRPr="00781112">
              <w:rPr>
                <w:color w:val="000000" w:themeColor="text1"/>
                <w:szCs w:val="16"/>
              </w:rPr>
              <w:t>89.50%</w:t>
            </w:r>
          </w:p>
        </w:tc>
      </w:tr>
    </w:tbl>
    <w:p w14:paraId="68BCE5ED" w14:textId="77777777" w:rsidR="007E2779" w:rsidRPr="00781112" w:rsidRDefault="007E2779" w:rsidP="000A2C83">
      <w:pPr>
        <w:rPr>
          <w:rFonts w:cs="Arial"/>
          <w:color w:val="000000" w:themeColor="text1"/>
          <w:szCs w:val="16"/>
        </w:rPr>
      </w:pPr>
    </w:p>
    <w:p w14:paraId="15954908" w14:textId="4BF2A9E2" w:rsidR="00FB6462" w:rsidRPr="00781112" w:rsidRDefault="0047313F" w:rsidP="004369B2">
      <w:pPr>
        <w:rPr>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376C2855" w:rsidR="00206A65" w:rsidRPr="00CC1061" w:rsidRDefault="00206A65" w:rsidP="00206A65">
            <w:pPr>
              <w:jc w:val="center"/>
              <w:rPr>
                <w:b/>
                <w:bCs/>
                <w:color w:val="000000" w:themeColor="text1"/>
              </w:rPr>
            </w:pPr>
            <w:r w:rsidRPr="00CC1061">
              <w:rPr>
                <w:b/>
                <w:bCs/>
              </w:rPr>
              <w:t>FFY 2022 Data</w:t>
            </w:r>
          </w:p>
        </w:tc>
        <w:tc>
          <w:tcPr>
            <w:tcW w:w="667" w:type="pct"/>
            <w:shd w:val="clear" w:color="auto" w:fill="auto"/>
            <w:vAlign w:val="bottom"/>
          </w:tcPr>
          <w:p w14:paraId="42BF1046" w14:textId="4B540791" w:rsidR="00206A65" w:rsidRPr="00CC1061" w:rsidRDefault="00206A65" w:rsidP="00206A65">
            <w:pPr>
              <w:jc w:val="center"/>
              <w:rPr>
                <w:b/>
                <w:bCs/>
                <w:color w:val="000000" w:themeColor="text1"/>
              </w:rPr>
            </w:pPr>
            <w:r w:rsidRPr="00CC1061">
              <w:rPr>
                <w:b/>
                <w:bCs/>
              </w:rPr>
              <w:t>FFY 2023 Target</w:t>
            </w:r>
          </w:p>
        </w:tc>
        <w:tc>
          <w:tcPr>
            <w:tcW w:w="542" w:type="pct"/>
            <w:shd w:val="clear" w:color="auto" w:fill="auto"/>
            <w:vAlign w:val="bottom"/>
          </w:tcPr>
          <w:p w14:paraId="36E0331C" w14:textId="71B31279" w:rsidR="00206A65" w:rsidRPr="00CC1061" w:rsidRDefault="00206A65" w:rsidP="00206A65">
            <w:pPr>
              <w:jc w:val="center"/>
              <w:rPr>
                <w:b/>
                <w:bCs/>
                <w:color w:val="000000" w:themeColor="text1"/>
              </w:rPr>
            </w:pPr>
            <w:r w:rsidRPr="00CC1061">
              <w:rPr>
                <w:b/>
                <w:bCs/>
              </w:rPr>
              <w:t>FFY 2023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597</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761</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81.98%</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87.50%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78.45%</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2E31F6C1" w14:textId="49DD19A3" w:rsidR="006D77A0" w:rsidRPr="00781112" w:rsidRDefault="006D77A0" w:rsidP="00230EE6">
      <w:pPr>
        <w:rPr>
          <w:b/>
          <w:color w:val="000000" w:themeColor="text1"/>
        </w:rPr>
      </w:pPr>
      <w:r w:rsidRPr="00781112">
        <w:rPr>
          <w:b/>
          <w:color w:val="000000" w:themeColor="text1"/>
        </w:rPr>
        <w:t>Provide reasons for slippage, if applicable</w:t>
      </w:r>
    </w:p>
    <w:p w14:paraId="422D5396" w14:textId="68746AD2" w:rsidR="00230EE6" w:rsidRPr="00781112" w:rsidRDefault="00230EE6" w:rsidP="004369B2">
      <w:pPr>
        <w:rPr>
          <w:rFonts w:cs="Arial"/>
          <w:color w:val="000000" w:themeColor="text1"/>
          <w:szCs w:val="16"/>
        </w:rPr>
      </w:pPr>
      <w:r w:rsidRPr="00781112">
        <w:rPr>
          <w:rFonts w:cs="Arial"/>
          <w:color w:val="000000" w:themeColor="text1"/>
          <w:szCs w:val="16"/>
        </w:rPr>
        <w:t>After analyzing the survey data, a likely reason for the slippage is the response rates within LEAs. LEAs are required to send the surveys to parents. Louisiana LEAs and the SEA analyzes submission data throughout the collection and provides technical assistance to parents as needed. Louisiana communicated via school system leader monthly calls, special education director monthly calls, and weekly newsletter reminders regarding increased participation in the parent engagement survey. Louisiana also used our Families Helping Families Centers and PTIC to send communication to families. Direct outreach is provided to school systems and regions with low participation to increase response rates. In the future, both paper and electronic options will be offered.</w:t>
      </w:r>
    </w:p>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lastRenderedPageBreak/>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LDOE uses a single parent involvement survey. Participating LEAs disseminate the survey to parents of all children with disabilities, including preschool children. LDOE’s FFY 2023 data reflect both preschool and school age respondents. LDOE compares the response rate of parents of preschool children with the statewide percentage of preschool children with disabilities to ensure responses are valid and reliable. In FFY 2023, approximately 9.1% of survey respondents were parents of preschool students with disabilities.</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16,661</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4.57%</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670"/>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6"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2022</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2023</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2.44%</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4.57%</w:t>
            </w:r>
          </w:p>
        </w:tc>
      </w:tr>
      <w:bookmarkEnd w:id="46"/>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Louisiana collects demographics by gender, age range, race, and geographic area for school age and early childhood. For FFY 2023, the special education parent involvement survey included questions to collect demographics on respondents in addition to questions to collect demographics on the respondents' children receiving services. The responses were analyzed to determine representativeness by comparing the survey data to the child count demographic data for the appropriate year. Under and over representation was determined by category when the difference is +/- 3.00 percentage points. A category of +3.00 was considered over representative while -3.00 was considered under represented.</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After review of the State's special education parent involvement survey, beginning FFY 2020, the special education parent involvement survey included questions to collect demographics on respondents in addition to questions to collect demographics on the respondents' children receiving services. The parent survey considered the following categories: </w:t>
      </w:r>
      <w:r w:rsidRPr="000A2B9F">
        <w:rPr>
          <w:bCs/>
          <w:color w:val="000000" w:themeColor="text1"/>
        </w:rPr>
        <w:br/>
      </w:r>
      <w:r w:rsidRPr="000A2B9F">
        <w:rPr>
          <w:bCs/>
          <w:color w:val="000000" w:themeColor="text1"/>
        </w:rPr>
        <w:br/>
        <w:t>-race/ethnicity;</w:t>
      </w:r>
      <w:r w:rsidRPr="000A2B9F">
        <w:rPr>
          <w:bCs/>
          <w:color w:val="000000" w:themeColor="text1"/>
        </w:rPr>
        <w:br/>
        <w:t>-gender;</w:t>
      </w:r>
      <w:r w:rsidRPr="000A2B9F">
        <w:rPr>
          <w:bCs/>
          <w:color w:val="000000" w:themeColor="text1"/>
        </w:rPr>
        <w:br/>
        <w:t>-age;</w:t>
      </w:r>
      <w:r w:rsidRPr="000A2B9F">
        <w:rPr>
          <w:bCs/>
          <w:color w:val="000000" w:themeColor="text1"/>
        </w:rPr>
        <w:br/>
        <w:t>-geographic location (urban or rural).</w:t>
      </w:r>
      <w:r w:rsidRPr="000A2B9F">
        <w:rPr>
          <w:bCs/>
          <w:color w:val="000000" w:themeColor="text1"/>
        </w:rPr>
        <w:br/>
      </w:r>
      <w:r w:rsidRPr="000A2B9F">
        <w:rPr>
          <w:bCs/>
          <w:color w:val="000000" w:themeColor="text1"/>
        </w:rPr>
        <w:br/>
        <w:t xml:space="preserve">The percent of students with disabilities in Louisiana by race is 49% Black or African-American, followed by 42% White. The percent of students with disabilities in the remaining ethnic groups - Asian, Hispanic or Latino, Native American, or Two or More Races - are each less than 5%. The percentage of respondents by students’ race/ethnicity is 39% Black or African American, 50% White, and 6% Two or more races. Each of the remaining racial/ethnic groups - Asian, Hispanic or Latino, or Native American are each less than 5%. Black or African American, white and two or more races accounts for the outliers that exceed the +/-3% threshold. Additionally, the students represented in these three ethnic groups also are the students in the outliers by primary disability. </w:t>
      </w:r>
      <w:r w:rsidRPr="000A2B9F">
        <w:rPr>
          <w:bCs/>
          <w:color w:val="000000" w:themeColor="text1"/>
        </w:rPr>
        <w:br/>
      </w:r>
      <w:r w:rsidRPr="000A2B9F">
        <w:rPr>
          <w:bCs/>
          <w:color w:val="000000" w:themeColor="text1"/>
        </w:rPr>
        <w:br/>
        <w:t>Our sample selection process was designed to ensure representativeness by incorporating a wide range of schools and student populations. However, upon reviewing the data, we recognize that certain factors—such as the overrepresentation of specific school types or demographic groups—may have skewed the results. While our intent was to capture a diverse and accurate snapshot, the data does not fully align with this goal, indicating that there are disparities that need further attention in future analyses.</w:t>
      </w:r>
      <w:r w:rsidRPr="000A2B9F">
        <w:rPr>
          <w:bCs/>
          <w:color w:val="000000" w:themeColor="text1"/>
        </w:rPr>
        <w:br/>
      </w:r>
      <w:r w:rsidRPr="000A2B9F">
        <w:rPr>
          <w:bCs/>
          <w:color w:val="000000" w:themeColor="text1"/>
        </w:rPr>
        <w:br/>
        <w:t xml:space="preserve">Please see Indicator 8 attachment for the FFY 2023 special education parent involvement survey. </w:t>
      </w:r>
    </w:p>
    <w:p w14:paraId="3EF17F6A" w14:textId="0A433742"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Our sample selection process was designed to ensure representativeness by incorporating a wide range of schools and student populations. However, upon reviewing the data, we recognize that certain factors—such as the overrepresentation of specific school types or demographic groups—may have skewed the results. While our intent was to capture a diverse and accurate snapshot, the data does not fully align with this goal, indicating that there are disparities that need further attention in future analyses.</w:t>
      </w:r>
      <w:r w:rsidRPr="000A2B9F">
        <w:rPr>
          <w:b w:val="0"/>
          <w:bCs/>
          <w:color w:val="000000" w:themeColor="text1"/>
        </w:rPr>
        <w:br/>
      </w:r>
      <w:r w:rsidRPr="000A2B9F">
        <w:rPr>
          <w:b w:val="0"/>
          <w:bCs/>
          <w:color w:val="000000" w:themeColor="text1"/>
        </w:rPr>
        <w:br/>
        <w:t>Louisiana will continue to distribute the Parent Survey to selected LEA staff and allow multiple formats for parents to access the survey and will provide technical assistance to LEAs to ensure convenience for parents, such as administering the survey during opportunities when parents are already at the school, during IEP meetings or at parent events.</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 xml:space="preserve">Historically, Louisiana has reported low response rates for the special education parent involvement survey. For FFY 2021, the LDOE offered office hours to assist parents with completing the survey instead of the option to complete the online survey. LDOE partnered with Families Helping Families and the PTIC to assist parents in completion of the survey. While the survey was available online, LDOE understood the need to offer families another </w:t>
      </w:r>
      <w:r w:rsidRPr="0061205F">
        <w:rPr>
          <w:rFonts w:cs="Arial"/>
          <w:bCs/>
          <w:color w:val="000000" w:themeColor="text1"/>
          <w:szCs w:val="16"/>
        </w:rPr>
        <w:lastRenderedPageBreak/>
        <w:t xml:space="preserve">method besides completing the survey electronically. With this method, LDOE staff read the survey questions to the respondent, and the answers were recorded in the online survey. School systems were also provided with a QR code for the survey to share with parents. The QR code allowed parents to easily access the survey on a mobile device. </w:t>
      </w:r>
      <w:r w:rsidRPr="0061205F">
        <w:rPr>
          <w:rFonts w:cs="Arial"/>
          <w:bCs/>
          <w:color w:val="000000" w:themeColor="text1"/>
          <w:szCs w:val="16"/>
        </w:rPr>
        <w:br/>
      </w:r>
      <w:r w:rsidRPr="0061205F">
        <w:rPr>
          <w:rFonts w:cs="Arial"/>
          <w:bCs/>
          <w:color w:val="000000" w:themeColor="text1"/>
          <w:szCs w:val="16"/>
        </w:rPr>
        <w:br/>
        <w:t>To increase the response rate from FFY 2023 onward, the LDOE will continue to provide multiple ways for parents to engage with and complete the survey and providing technical assistance to LEAs to ensure convenience for parents, such as administering the survey during opportunities when parents are already at the school, during IEP meetings or at parent events.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7" w:name="_Hlk81486999"/>
      <w:r w:rsidRPr="0061205F">
        <w:rPr>
          <w:rFonts w:cs="Arial"/>
          <w:b/>
          <w:color w:val="000000" w:themeColor="text1"/>
          <w:szCs w:val="16"/>
        </w:rPr>
        <w:t>of the response rate including any nonresponse bias that was identified,</w:t>
      </w:r>
      <w:bookmarkEnd w:id="47"/>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After analyzing the response data it was determined that Black or African American represented 39.4% of the participants while Hispanic/Latino represented 2.4% and White represented 50.1%. Each had a percentage of representativeness that exceeded the +/-3% threshold. While the response rate overall is low and the respondents were not all representative, within the ethnic groups none had nonresponse bias.</w:t>
      </w:r>
      <w:r>
        <w:rPr>
          <w:rFonts w:cs="Arial"/>
          <w:szCs w:val="16"/>
        </w:rPr>
        <w:br/>
      </w:r>
      <w:r>
        <w:rPr>
          <w:rFonts w:cs="Arial"/>
          <w:szCs w:val="16"/>
        </w:rPr>
        <w:br/>
        <w:t>Louisiana will continue to distribute the Parent Survey to selected LEA staff, allow multiple formats for parents to access the survey, use multiple communication outlets, and encourage LEAs to increase convenience to parents by administering the survey while parents are at IEP meetings or other parent events to increase response rate and reach many more parents in the sampling.</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 xml:space="preserve">Louisiana serves over 118,000 students with disabilities, ages 3-21, in LEAs ranging in size from single school charter schools to districts with over 40,000 students. To reach this diverse range of districts, charter schools, and students, LDOE continues to use its statistically valid sampling plan for FFY 2020 – FFY 2025. Louisiana uses a two-step process to develop the sampling plan. The first step focuses on which LEAs will be sampled each year. The second step focuses on which students with disabilities would be included in each LEA. </w:t>
      </w:r>
      <w:r w:rsidRPr="00781112">
        <w:rPr>
          <w:rFonts w:cs="Arial"/>
          <w:color w:val="000000" w:themeColor="text1"/>
          <w:szCs w:val="16"/>
        </w:rPr>
        <w:br/>
      </w:r>
      <w:r w:rsidRPr="00781112">
        <w:rPr>
          <w:rFonts w:cs="Arial"/>
          <w:color w:val="000000" w:themeColor="text1"/>
          <w:szCs w:val="16"/>
        </w:rPr>
        <w:br/>
        <w:t xml:space="preserve">Step 1: Louisiana stratified LEA selection based on a number of factors. </w:t>
      </w:r>
      <w:r w:rsidRPr="00781112">
        <w:rPr>
          <w:rFonts w:cs="Arial"/>
          <w:color w:val="000000" w:themeColor="text1"/>
          <w:szCs w:val="16"/>
        </w:rPr>
        <w:br/>
      </w:r>
      <w:r w:rsidRPr="00781112">
        <w:rPr>
          <w:rFonts w:cs="Arial"/>
          <w:color w:val="000000" w:themeColor="text1"/>
          <w:szCs w:val="16"/>
        </w:rPr>
        <w:br/>
        <w:t xml:space="preserve">Louisiana uses a multi-step process that considers a number of variables to ensure that each year’s sample is representative of the state as whole. Louisiana stratified the population into three groups: 1) traditional LEAs— include parish and city school districts and state special schools, 2) Type 2 charter schools, and 3) Type 5 charters and other non-traditional LEAs. Additionally, LEAs were stratified to ensure geographic (northeast, northwest, southeast, and southwest) as well as urban, suburban, and rural representation across the state. Each of these LEAs will be sampled once during FFY 2020 – FFY 2025. Louisiana used statistical software to randomly assign LEAs within each group to one of the six survey years. </w:t>
      </w:r>
      <w:r w:rsidRPr="00781112">
        <w:rPr>
          <w:rFonts w:cs="Arial"/>
          <w:color w:val="000000" w:themeColor="text1"/>
          <w:szCs w:val="16"/>
        </w:rPr>
        <w:br/>
      </w:r>
      <w:r w:rsidRPr="00781112">
        <w:rPr>
          <w:rFonts w:cs="Arial"/>
          <w:color w:val="000000" w:themeColor="text1"/>
          <w:szCs w:val="16"/>
        </w:rPr>
        <w:br/>
        <w:t xml:space="preserve">Louisiana conducts a series of additional analyses to ensure that the survey years contain a sample that will be representative of the state as a whole in disability, race, age and gender. Each year is found to be representative, ensuring a valid and reliable sample. OSEP requires that any LEA with an average daily membership of more than 50,000 students must be included in the sample each year. Since Louisiana does not have any LEAs that meet this criterion, each LEA will be included one time during the SPP/APR cycle. </w:t>
      </w:r>
      <w:r w:rsidRPr="00781112">
        <w:rPr>
          <w:rFonts w:cs="Arial"/>
          <w:color w:val="000000" w:themeColor="text1"/>
          <w:szCs w:val="16"/>
        </w:rPr>
        <w:br/>
      </w:r>
      <w:r w:rsidRPr="00781112">
        <w:rPr>
          <w:rFonts w:cs="Arial"/>
          <w:color w:val="000000" w:themeColor="text1"/>
          <w:szCs w:val="16"/>
        </w:rPr>
        <w:br/>
        <w:t xml:space="preserve">Step 2: Louisiana will include all students with disabilities in each selected LEA. </w:t>
      </w:r>
      <w:r w:rsidRPr="00781112">
        <w:rPr>
          <w:rFonts w:cs="Arial"/>
          <w:color w:val="000000" w:themeColor="text1"/>
          <w:szCs w:val="16"/>
        </w:rPr>
        <w:br/>
      </w:r>
      <w:r w:rsidRPr="00781112">
        <w:rPr>
          <w:rFonts w:cs="Arial"/>
          <w:color w:val="000000" w:themeColor="text1"/>
          <w:szCs w:val="16"/>
        </w:rPr>
        <w:br/>
        <w:t xml:space="preserve">In selected LEAs, each parent of a student with a disability will receive the Indicator 8 parent survey. LDOE developed an electronic survey tool to administer the survey and letters to parents with access information. Furthermore, the LDOE will provide a QR code in addition to the letters for parents to better access the survey. Each LEA will be required to disseminate letters along with the QR code to every parent of a student with a disability with a unique ID to access the electronic survey. This census approach, where every parent in the population is included for a complete count, means that LDOE will not use any other sampling of the population after Step 1. Using this approach, LDOE plans to reach each parent within the LEA. </w:t>
      </w:r>
      <w:r w:rsidRPr="00781112">
        <w:rPr>
          <w:rFonts w:cs="Arial"/>
          <w:color w:val="000000" w:themeColor="text1"/>
          <w:szCs w:val="16"/>
        </w:rPr>
        <w:br/>
      </w:r>
      <w:r w:rsidRPr="00781112">
        <w:rPr>
          <w:rFonts w:cs="Arial"/>
          <w:color w:val="000000" w:themeColor="text1"/>
          <w:szCs w:val="16"/>
        </w:rPr>
        <w:br/>
        <w:t xml:space="preserve">See attachment for full methodology and considerations. </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include the extent to which the demographics of the children for whom parents responding are representative of the demographics of children receiving special education services in the State, as required by the FFY 2022 SPP/APR Measurement Table. </w:t>
      </w:r>
      <w:r w:rsidRPr="00781112">
        <w:rPr>
          <w:rFonts w:cs="Arial"/>
          <w:color w:val="000000" w:themeColor="text1"/>
          <w:szCs w:val="16"/>
        </w:rPr>
        <w:br/>
      </w:r>
      <w:r w:rsidRPr="00781112">
        <w:rPr>
          <w:rFonts w:cs="Arial"/>
          <w:color w:val="000000" w:themeColor="text1"/>
          <w:szCs w:val="16"/>
        </w:rPr>
        <w:b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r w:rsidRPr="00781112">
        <w:rPr>
          <w:rFonts w:cs="Arial"/>
          <w:color w:val="000000" w:themeColor="text1"/>
          <w:szCs w:val="16"/>
        </w:rPr>
        <w:br/>
      </w:r>
      <w:r w:rsidRPr="00781112">
        <w:rPr>
          <w:rFonts w:cs="Arial"/>
          <w:color w:val="000000" w:themeColor="text1"/>
          <w:szCs w:val="16"/>
        </w:rPr>
        <w:br/>
        <w:t>In the FFY 2023 SPP/APR, the State must analyze the response rate to identify potential nonresponse bias and the steps taken to reduce any identified bias and promote response from a broad cross-section of parents of children with disabilities receiving special education services, as required by the Measurement Table.</w:t>
      </w:r>
    </w:p>
    <w:p w14:paraId="5AB800FF" w14:textId="53D4E253" w:rsidR="000A2C83" w:rsidRPr="00781112" w:rsidRDefault="007639D7" w:rsidP="004369B2">
      <w:pPr>
        <w:rPr>
          <w:b/>
          <w:color w:val="000000" w:themeColor="text1"/>
        </w:rPr>
      </w:pPr>
      <w:r>
        <w:rPr>
          <w:b/>
          <w:color w:val="000000" w:themeColor="text1"/>
        </w:rPr>
        <w:lastRenderedPageBreak/>
        <w:t>Response to actions required in FFY 2022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In the FFY 2023 SPP/APR, Louisiana reported the metric used to determine representativeness, reported that the response data are not representative with an explanation and analysis, and analyzed for potential nonresponse bias. Louisiana provided a more concise, detailed description within the indicator as well as steps taken to promote response.</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2B7490" w:rsidP="001F692C">
      <w:pPr>
        <w:rPr>
          <w:rFonts w:cs="Arial"/>
          <w:color w:val="000000" w:themeColor="text1"/>
          <w:szCs w:val="16"/>
        </w:rPr>
      </w:pPr>
      <w:r w:rsidRPr="00781112">
        <w:rPr>
          <w:rFonts w:cs="Arial"/>
          <w:color w:val="000000" w:themeColor="text1"/>
          <w:szCs w:val="16"/>
        </w:rPr>
        <w:t>The State submitted a sampling plan for this indicator, and OSEP’s evaluation of the sampling plan indicated that it is approvable.</w:t>
      </w: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64B557D3" w:rsidR="00AF5AFB" w:rsidRPr="002C274F" w:rsidRDefault="00AF5AFB" w:rsidP="002C274F">
      <w:pPr>
        <w:rPr>
          <w:b/>
          <w:bCs/>
          <w:sz w:val="20"/>
          <w:szCs w:val="20"/>
        </w:rPr>
      </w:pPr>
      <w:bookmarkStart w:id="48" w:name="_Toc384383343"/>
      <w:bookmarkStart w:id="49" w:name="_Toc392159311"/>
      <w:r w:rsidRPr="002C274F">
        <w:rPr>
          <w:b/>
          <w:bCs/>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4DE78813"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2023 reporting period (i.e., after June 30, 2024).</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DC0BC51"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D8917BC"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0" w:name="_Hlk150864210"/>
      <w:r w:rsidR="009E27F2" w:rsidRPr="009E27F2">
        <w:rPr>
          <w:rFonts w:cs="Arial"/>
          <w:color w:val="000000" w:themeColor="text1"/>
          <w:szCs w:val="16"/>
        </w:rPr>
        <w:t>child-specific and regulatory/systemic</w:t>
      </w:r>
      <w:r w:rsidR="009E27F2">
        <w:rPr>
          <w:sz w:val="20"/>
          <w:szCs w:val="14"/>
        </w:rPr>
        <w:t xml:space="preserve"> </w:t>
      </w:r>
      <w:bookmarkEnd w:id="50"/>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78E093FF" w14:textId="59ADF7D6"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5DC380A" w14:textId="351857B0"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A6C01D0" w14:textId="1BD83E55" w:rsidR="00AF5AFB" w:rsidRPr="00781112" w:rsidRDefault="00400C56" w:rsidP="008645AD">
      <w:pPr>
        <w:pStyle w:val="Heading2"/>
      </w:pPr>
      <w:bookmarkStart w:id="51" w:name="_Toc384383344"/>
      <w:bookmarkStart w:id="52" w:name="_Toc392159312"/>
      <w:bookmarkEnd w:id="48"/>
      <w:bookmarkEnd w:id="49"/>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397"/>
        <w:gridCol w:w="2570"/>
        <w:gridCol w:w="2570"/>
      </w:tblGrid>
      <w:tr w:rsidR="00AC3EF2" w:rsidRPr="00781112" w14:paraId="3B5E697E" w14:textId="22491944" w:rsidTr="00FE4611">
        <w:trPr>
          <w:trHeight w:val="307"/>
        </w:trPr>
        <w:tc>
          <w:tcPr>
            <w:tcW w:w="406" w:type="pct"/>
            <w:tcBorders>
              <w:bottom w:val="single" w:sz="4" w:space="0" w:color="auto"/>
            </w:tcBorders>
            <w:shd w:val="clear" w:color="auto" w:fill="auto"/>
          </w:tcPr>
          <w:p w14:paraId="6847FBDE" w14:textId="77777777" w:rsidR="00AC3EF2" w:rsidRPr="00781112" w:rsidRDefault="00AC3EF2" w:rsidP="00AD5583">
            <w:pPr>
              <w:jc w:val="center"/>
              <w:rPr>
                <w:b/>
                <w:color w:val="000000" w:themeColor="text1"/>
              </w:rPr>
            </w:pPr>
            <w:r w:rsidRPr="00781112">
              <w:rPr>
                <w:b/>
                <w:color w:val="000000" w:themeColor="text1"/>
              </w:rPr>
              <w:lastRenderedPageBreak/>
              <w:t>FFY</w:t>
            </w:r>
          </w:p>
        </w:tc>
        <w:tc>
          <w:tcPr>
            <w:tcW w:w="1461" w:type="pct"/>
            <w:shd w:val="clear" w:color="auto" w:fill="auto"/>
          </w:tcPr>
          <w:p w14:paraId="2C965821" w14:textId="77777777" w:rsidR="00AC3EF2" w:rsidRPr="00781112" w:rsidRDefault="00AC3EF2" w:rsidP="00AD5583">
            <w:pPr>
              <w:jc w:val="center"/>
              <w:rPr>
                <w:b/>
                <w:color w:val="000000" w:themeColor="text1"/>
              </w:rPr>
            </w:pPr>
            <w:r w:rsidRPr="00781112">
              <w:rPr>
                <w:b/>
                <w:color w:val="000000" w:themeColor="text1"/>
              </w:rPr>
              <w:t>2023</w:t>
            </w:r>
          </w:p>
        </w:tc>
        <w:tc>
          <w:tcPr>
            <w:tcW w:w="1566" w:type="pct"/>
          </w:tcPr>
          <w:p w14:paraId="695B1CC5" w14:textId="0A8E7C74" w:rsidR="00AC3EF2" w:rsidRPr="00781112" w:rsidRDefault="00AC3EF2" w:rsidP="00AD5583">
            <w:pPr>
              <w:jc w:val="center"/>
              <w:rPr>
                <w:b/>
                <w:color w:val="000000" w:themeColor="text1"/>
              </w:rPr>
            </w:pPr>
            <w:r w:rsidRPr="00781112">
              <w:rPr>
                <w:rFonts w:cs="Arial"/>
                <w:b/>
                <w:color w:val="000000" w:themeColor="text1"/>
                <w:szCs w:val="16"/>
              </w:rPr>
              <w:t>2024</w:t>
            </w:r>
          </w:p>
        </w:tc>
        <w:tc>
          <w:tcPr>
            <w:tcW w:w="1566" w:type="pct"/>
          </w:tcPr>
          <w:p w14:paraId="676B8DF3" w14:textId="1749272A" w:rsidR="00AC3EF2" w:rsidRPr="00781112" w:rsidRDefault="00AC3EF2" w:rsidP="00AD5583">
            <w:pPr>
              <w:jc w:val="center"/>
              <w:rPr>
                <w:b/>
                <w:color w:val="000000" w:themeColor="text1"/>
              </w:rPr>
            </w:pPr>
            <w:r w:rsidRPr="00781112">
              <w:rPr>
                <w:rFonts w:cs="Arial"/>
                <w:b/>
                <w:color w:val="000000" w:themeColor="text1"/>
                <w:szCs w:val="16"/>
              </w:rPr>
              <w:t>2025</w:t>
            </w:r>
          </w:p>
        </w:tc>
      </w:tr>
      <w:tr w:rsidR="00AC3EF2" w:rsidRPr="00781112" w14:paraId="48E9BF63" w14:textId="16949127" w:rsidTr="00FE4611">
        <w:trPr>
          <w:trHeight w:val="313"/>
        </w:trPr>
        <w:tc>
          <w:tcPr>
            <w:tcW w:w="406" w:type="pct"/>
            <w:shd w:val="clear" w:color="auto" w:fill="auto"/>
            <w:vAlign w:val="center"/>
          </w:tcPr>
          <w:p w14:paraId="3001E3D6" w14:textId="6C45C234" w:rsidR="00AC3EF2" w:rsidRPr="00781112" w:rsidRDefault="00AC3EF2"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38E5325" w14:textId="0C17771E" w:rsidR="00AC3EF2" w:rsidRPr="00781112" w:rsidRDefault="00AC3EF2" w:rsidP="00AD5583">
            <w:pPr>
              <w:jc w:val="center"/>
              <w:rPr>
                <w:rFonts w:cs="Arial"/>
                <w:color w:val="000000" w:themeColor="text1"/>
                <w:szCs w:val="16"/>
              </w:rPr>
            </w:pPr>
            <w:r w:rsidRPr="00781112">
              <w:rPr>
                <w:rFonts w:cs="Arial"/>
                <w:color w:val="000000" w:themeColor="text1"/>
                <w:szCs w:val="16"/>
              </w:rPr>
              <w:t>0%</w:t>
            </w:r>
          </w:p>
        </w:tc>
        <w:tc>
          <w:tcPr>
            <w:tcW w:w="1566" w:type="pct"/>
          </w:tcPr>
          <w:p w14:paraId="5C91471A" w14:textId="351E6F13" w:rsidR="00AC3EF2" w:rsidRPr="00781112" w:rsidRDefault="00AC3EF2" w:rsidP="00AD5583">
            <w:pPr>
              <w:jc w:val="center"/>
              <w:rPr>
                <w:rFonts w:cs="Arial"/>
                <w:color w:val="000000" w:themeColor="text1"/>
                <w:szCs w:val="16"/>
              </w:rPr>
            </w:pPr>
            <w:r w:rsidRPr="00781112">
              <w:rPr>
                <w:color w:val="000000" w:themeColor="text1"/>
                <w:szCs w:val="16"/>
              </w:rPr>
              <w:t>0%</w:t>
            </w:r>
          </w:p>
        </w:tc>
        <w:tc>
          <w:tcPr>
            <w:tcW w:w="1566" w:type="pct"/>
          </w:tcPr>
          <w:p w14:paraId="4C61AAA7" w14:textId="75046312" w:rsidR="00AC3EF2" w:rsidRPr="00781112" w:rsidRDefault="00AC3EF2" w:rsidP="00AD5583">
            <w:pPr>
              <w:jc w:val="center"/>
              <w:rPr>
                <w:rFonts w:cs="Arial"/>
                <w:color w:val="000000" w:themeColor="text1"/>
                <w:szCs w:val="16"/>
              </w:rPr>
            </w:pPr>
            <w:r w:rsidRPr="00781112">
              <w:rPr>
                <w:color w:val="000000" w:themeColor="text1"/>
                <w:szCs w:val="16"/>
              </w:rPr>
              <w:t>0%</w:t>
            </w:r>
          </w:p>
        </w:tc>
      </w:tr>
      <w:bookmarkEnd w:id="51"/>
      <w:bookmarkEnd w:id="52"/>
    </w:tbl>
    <w:p w14:paraId="2AD56AE3" w14:textId="77777777" w:rsidR="008D766F" w:rsidRDefault="008D766F">
      <w:pPr>
        <w:rPr>
          <w:b/>
          <w:color w:val="000000" w:themeColor="text1"/>
        </w:rPr>
      </w:pPr>
    </w:p>
    <w:p w14:paraId="77101B89" w14:textId="0209B4E6" w:rsidR="00D03701" w:rsidRPr="00781112" w:rsidRDefault="0047313F">
      <w:pPr>
        <w:rPr>
          <w:b/>
          <w:color w:val="000000" w:themeColor="text1"/>
        </w:rPr>
      </w:pPr>
      <w:r>
        <w:rPr>
          <w:b/>
          <w:color w:val="000000" w:themeColor="text1"/>
        </w:rPr>
        <w:t>FFY 2023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496D7B19" w:rsidR="00206A65" w:rsidRPr="00CC1061" w:rsidRDefault="00206A65" w:rsidP="00206A65">
            <w:pPr>
              <w:jc w:val="center"/>
              <w:rPr>
                <w:b/>
                <w:bCs/>
                <w:color w:val="000000" w:themeColor="text1"/>
              </w:rPr>
            </w:pPr>
            <w:r w:rsidRPr="00CC1061">
              <w:rPr>
                <w:b/>
                <w:bCs/>
              </w:rPr>
              <w:t>FFY 2022 Data</w:t>
            </w:r>
          </w:p>
        </w:tc>
        <w:tc>
          <w:tcPr>
            <w:tcW w:w="778" w:type="pct"/>
            <w:shd w:val="clear" w:color="auto" w:fill="auto"/>
            <w:vAlign w:val="bottom"/>
          </w:tcPr>
          <w:p w14:paraId="1B6D5875" w14:textId="081859FC" w:rsidR="00206A65" w:rsidRPr="00CC1061" w:rsidRDefault="00206A65" w:rsidP="00206A65">
            <w:pPr>
              <w:jc w:val="center"/>
              <w:rPr>
                <w:b/>
                <w:bCs/>
                <w:color w:val="000000" w:themeColor="text1"/>
              </w:rPr>
            </w:pPr>
            <w:r w:rsidRPr="00CC1061">
              <w:rPr>
                <w:b/>
                <w:bCs/>
              </w:rPr>
              <w:t>FFY 2023 Target</w:t>
            </w:r>
          </w:p>
        </w:tc>
        <w:tc>
          <w:tcPr>
            <w:tcW w:w="473" w:type="pct"/>
            <w:shd w:val="clear" w:color="auto" w:fill="auto"/>
            <w:vAlign w:val="bottom"/>
          </w:tcPr>
          <w:p w14:paraId="33B20FA6" w14:textId="2940D23E" w:rsidR="00206A65" w:rsidRPr="00CC1061" w:rsidRDefault="00206A65" w:rsidP="00206A65">
            <w:pPr>
              <w:jc w:val="center"/>
              <w:rPr>
                <w:b/>
                <w:bCs/>
                <w:color w:val="000000" w:themeColor="text1"/>
              </w:rPr>
            </w:pPr>
            <w:r w:rsidRPr="00CC1061">
              <w:rPr>
                <w:b/>
                <w:bCs/>
              </w:rPr>
              <w:t>FFY 2023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35</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169</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3" w:name="_Hlk494459610"/>
      <w:r w:rsidRPr="00781112">
        <w:rPr>
          <w:rFonts w:cs="Arial"/>
          <w:color w:val="000000" w:themeColor="text1"/>
          <w:szCs w:val="16"/>
        </w:rPr>
        <w:t>LDOE has a two-step process for the analysis of disproportionate representation data. LDOE defines disproportionate representation as having a risk ratio greater than 2.0 with a minimum n size of 25 for over-representation based on one year of data. To determine the risk of disproportionate representation, LDOE follows a two-step process.</w:t>
      </w:r>
      <w:r w:rsidRPr="00781112">
        <w:rPr>
          <w:rFonts w:cs="Arial"/>
          <w:color w:val="000000" w:themeColor="text1"/>
          <w:szCs w:val="16"/>
        </w:rPr>
        <w:br/>
      </w:r>
      <w:r w:rsidRPr="00781112">
        <w:rPr>
          <w:rFonts w:cs="Arial"/>
          <w:color w:val="000000" w:themeColor="text1"/>
          <w:szCs w:val="16"/>
        </w:rPr>
        <w:br/>
        <w:t xml:space="preserve">First is the Data Analysis. LDOE examines each LEA's child count data to identify disproportionate representation in designated populations of students. For the SPP/APR, LDOE uses the October 1 Child Count Report to extract the number of students with disabilities in each race or ethnic category. LDOE then completes a risk ratio analysis for each LEA to find whether a particular race or ethnicity was at a disproportionately greater risk of identification for special education and related services, excluding any LEA that did not meet the minimum n-size of 25 in the designated race or ethnic category. </w:t>
      </w:r>
      <w:r w:rsidRPr="00781112">
        <w:rPr>
          <w:rFonts w:cs="Arial"/>
          <w:color w:val="000000" w:themeColor="text1"/>
          <w:szCs w:val="16"/>
        </w:rPr>
        <w:br/>
      </w:r>
      <w:r w:rsidRPr="00781112">
        <w:rPr>
          <w:rFonts w:cs="Arial"/>
          <w:color w:val="000000" w:themeColor="text1"/>
          <w:szCs w:val="16"/>
        </w:rPr>
        <w:br/>
        <w:t xml:space="preserve">Second is communication with the LEAs. LDOE conducts outreach to the LEAs identified to determine whether the disproportionate representation is the result of inappropriate identification through policies, practices, or procedures. LEAs are required to upload in the secure File Transfer Portal (FTP) a current and/or revised copy of policies, procedures, and practices used to determine the root cause of the identified findings. LEAs are also required to complete the state-generated Disproportionality Review Rubric. This tool is designed to assist LEAs in identifying practices, policies, and procedures that may lead to inappropriate identification of students for special education and related services. The rubric includes topics, such as professional development, teacher support, instructional practices, intervention efforts, and assessment procedures. </w:t>
      </w:r>
    </w:p>
    <w:bookmarkEnd w:id="53"/>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LDOE completes a risk ratio analysis, based on one year of data, for each LEA to identify whether a particular race or ethnicity is at a disproportionately greater risk of being identified for special education and related services. LDOE conducts outreach to LEAs found to be disproportionate, requiring LEAs to complete a Disproportionality Review Rubric. The rubric is used to identify any policies, practices, and procedures that result in inappropriate identification. The rubric and policies, practices and procedures are then submitted to LDOE for review. If a rubric indicates disproportionate representation because of inappropriate identification, the LEA must revise its policies, practices, and procedures to address this concern and post revisions publicly.</w:t>
      </w:r>
    </w:p>
    <w:p w14:paraId="3B71A72A" w14:textId="77777777" w:rsidR="00DF1529" w:rsidRPr="00781112" w:rsidRDefault="00DF1529" w:rsidP="00DF1529">
      <w:pPr>
        <w:rPr>
          <w:rFonts w:cs="Arial"/>
          <w:b/>
          <w:color w:val="000000" w:themeColor="text1"/>
          <w:szCs w:val="16"/>
        </w:rPr>
      </w:pPr>
      <w:bookmarkStart w:id="54" w:name="_Toc381956337"/>
      <w:bookmarkStart w:id="55" w:name="_Toc384383347"/>
      <w:bookmarkStart w:id="56" w:name="_Toc392159315"/>
      <w:r w:rsidRPr="00781112">
        <w:rPr>
          <w:rFonts w:cs="Arial"/>
          <w:b/>
          <w:color w:val="000000" w:themeColor="text1"/>
          <w:szCs w:val="16"/>
        </w:rPr>
        <w:t>Provide additional information about this indicator (optional)</w:t>
      </w:r>
    </w:p>
    <w:p w14:paraId="0CC85C5C" w14:textId="196142DC" w:rsidR="009B37A2" w:rsidRPr="00781112" w:rsidRDefault="009B37A2" w:rsidP="007D435F">
      <w:pPr>
        <w:rPr>
          <w:rFonts w:cs="Arial"/>
          <w:color w:val="000000" w:themeColor="text1"/>
          <w:szCs w:val="16"/>
        </w:rPr>
      </w:pPr>
    </w:p>
    <w:p w14:paraId="69DF7E10" w14:textId="07C421A8"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AEACF1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6D1686CE"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4"/>
      <w:bookmarkEnd w:id="55"/>
      <w:bookmarkEnd w:id="56"/>
      <w:r w:rsidRPr="00781112">
        <w:rPr>
          <w:color w:val="000000" w:themeColor="text1"/>
          <w:sz w:val="22"/>
        </w:rPr>
        <w:t xml:space="preserve"> </w:t>
      </w:r>
    </w:p>
    <w:p w14:paraId="139B488B" w14:textId="72279883" w:rsidR="00B70FBF" w:rsidRPr="002C274F" w:rsidRDefault="00B70FBF" w:rsidP="002C274F">
      <w:pPr>
        <w:rPr>
          <w:b/>
          <w:bCs/>
          <w:sz w:val="20"/>
          <w:szCs w:val="20"/>
        </w:rPr>
      </w:pPr>
      <w:bookmarkStart w:id="57" w:name="_Toc384383348"/>
      <w:bookmarkStart w:id="58" w:name="_Toc392159316"/>
      <w:r w:rsidRPr="002C274F">
        <w:rPr>
          <w:b/>
          <w:bCs/>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20EBB47F"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3CB021A9"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6D71D230"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FA5955">
        <w:rPr>
          <w:rFonts w:cs="Arial"/>
          <w:color w:val="000000" w:themeColor="text1"/>
          <w:szCs w:val="16"/>
        </w:rPr>
        <w:t>3</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FA5955">
        <w:rPr>
          <w:rFonts w:cs="Arial"/>
          <w:color w:val="000000" w:themeColor="text1"/>
          <w:szCs w:val="16"/>
        </w:rPr>
        <w:t>4</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9" w:name="_Hlk150864288"/>
      <w:r w:rsidR="00084AD7" w:rsidRPr="00084AD7">
        <w:rPr>
          <w:rFonts w:cs="Arial"/>
          <w:color w:val="000000" w:themeColor="text1"/>
          <w:szCs w:val="16"/>
        </w:rPr>
        <w:t>child-specific and regulatory/systemic</w:t>
      </w:r>
      <w:r w:rsidR="00084AD7">
        <w:rPr>
          <w:sz w:val="20"/>
          <w:szCs w:val="14"/>
        </w:rPr>
        <w:t xml:space="preserve"> </w:t>
      </w:r>
      <w:bookmarkEnd w:id="5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105DAB7A"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4450CF7" w14:textId="2D028AE8"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07820E6" w14:textId="2418F86F" w:rsidR="00B70FBF" w:rsidRPr="00781112" w:rsidRDefault="009F64D5" w:rsidP="008645AD">
      <w:pPr>
        <w:pStyle w:val="Heading2"/>
      </w:pPr>
      <w:bookmarkStart w:id="60" w:name="_Toc384383349"/>
      <w:bookmarkStart w:id="61" w:name="_Toc392159317"/>
      <w:bookmarkEnd w:id="57"/>
      <w:bookmarkEnd w:id="58"/>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2020</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2021</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2022</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60"/>
      <w:bookmarkEnd w:id="61"/>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2"/>
        <w:gridCol w:w="1542"/>
        <w:gridCol w:w="1541"/>
      </w:tblGrid>
      <w:tr w:rsidR="00233EFB" w:rsidRPr="00781112" w14:paraId="66B5B2AB" w14:textId="77A1A8F1" w:rsidTr="00FE4611">
        <w:trPr>
          <w:trHeight w:val="424"/>
        </w:trPr>
        <w:tc>
          <w:tcPr>
            <w:tcW w:w="1248" w:type="pct"/>
            <w:tcBorders>
              <w:bottom w:val="single" w:sz="4" w:space="0" w:color="auto"/>
            </w:tcBorders>
            <w:shd w:val="clear" w:color="auto" w:fill="auto"/>
          </w:tcPr>
          <w:p w14:paraId="6C572A94" w14:textId="77777777" w:rsidR="00233EFB" w:rsidRPr="00781112" w:rsidRDefault="00233EFB" w:rsidP="00D0796B">
            <w:pPr>
              <w:jc w:val="center"/>
              <w:rPr>
                <w:b/>
                <w:color w:val="000000" w:themeColor="text1"/>
              </w:rPr>
            </w:pPr>
            <w:r w:rsidRPr="00781112">
              <w:rPr>
                <w:b/>
                <w:color w:val="000000" w:themeColor="text1"/>
              </w:rPr>
              <w:t>FFY</w:t>
            </w:r>
          </w:p>
        </w:tc>
        <w:tc>
          <w:tcPr>
            <w:tcW w:w="1250" w:type="pct"/>
            <w:shd w:val="clear" w:color="auto" w:fill="auto"/>
          </w:tcPr>
          <w:p w14:paraId="67096E8B" w14:textId="77777777" w:rsidR="00233EFB" w:rsidRPr="00781112" w:rsidRDefault="00233EFB" w:rsidP="00D0796B">
            <w:pPr>
              <w:jc w:val="center"/>
              <w:rPr>
                <w:b/>
                <w:color w:val="000000" w:themeColor="text1"/>
              </w:rPr>
            </w:pPr>
            <w:r w:rsidRPr="00781112">
              <w:rPr>
                <w:b/>
                <w:color w:val="000000" w:themeColor="text1"/>
              </w:rPr>
              <w:t>2023</w:t>
            </w:r>
          </w:p>
        </w:tc>
        <w:tc>
          <w:tcPr>
            <w:tcW w:w="1251" w:type="pct"/>
          </w:tcPr>
          <w:p w14:paraId="0FDB27DB" w14:textId="2A7CA3D5" w:rsidR="00233EFB" w:rsidRPr="00781112" w:rsidRDefault="00233EFB" w:rsidP="00D0796B">
            <w:pPr>
              <w:jc w:val="center"/>
              <w:rPr>
                <w:b/>
                <w:color w:val="000000" w:themeColor="text1"/>
              </w:rPr>
            </w:pPr>
            <w:r w:rsidRPr="00781112">
              <w:rPr>
                <w:rFonts w:cs="Arial"/>
                <w:b/>
                <w:color w:val="000000" w:themeColor="text1"/>
                <w:szCs w:val="16"/>
              </w:rPr>
              <w:t>2024</w:t>
            </w:r>
          </w:p>
        </w:tc>
        <w:tc>
          <w:tcPr>
            <w:tcW w:w="1250" w:type="pct"/>
          </w:tcPr>
          <w:p w14:paraId="6594AB3D" w14:textId="0AA5EB84" w:rsidR="00233EFB" w:rsidRPr="00781112" w:rsidRDefault="00233EFB" w:rsidP="00D0796B">
            <w:pPr>
              <w:jc w:val="center"/>
              <w:rPr>
                <w:b/>
                <w:color w:val="000000" w:themeColor="text1"/>
              </w:rPr>
            </w:pPr>
            <w:r w:rsidRPr="00781112">
              <w:rPr>
                <w:rFonts w:cs="Arial"/>
                <w:b/>
                <w:color w:val="000000" w:themeColor="text1"/>
                <w:szCs w:val="16"/>
              </w:rPr>
              <w:t>2025</w:t>
            </w:r>
          </w:p>
        </w:tc>
      </w:tr>
      <w:tr w:rsidR="00233EFB" w:rsidRPr="00781112" w14:paraId="169ED4F0" w14:textId="16F5CD6F" w:rsidTr="00FE4611">
        <w:trPr>
          <w:trHeight w:val="432"/>
        </w:trPr>
        <w:tc>
          <w:tcPr>
            <w:tcW w:w="1248" w:type="pct"/>
            <w:shd w:val="clear" w:color="auto" w:fill="auto"/>
            <w:vAlign w:val="center"/>
          </w:tcPr>
          <w:p w14:paraId="639437BD" w14:textId="5F1854A1" w:rsidR="00233EFB" w:rsidRPr="00781112" w:rsidRDefault="00233EFB" w:rsidP="00BA3DBE">
            <w:pPr>
              <w:jc w:val="center"/>
              <w:rPr>
                <w:rFonts w:cs="Arial"/>
                <w:color w:val="000000" w:themeColor="text1"/>
                <w:szCs w:val="16"/>
              </w:rPr>
            </w:pPr>
            <w:r w:rsidRPr="00781112">
              <w:rPr>
                <w:rFonts w:cs="Arial"/>
                <w:color w:val="000000" w:themeColor="text1"/>
                <w:szCs w:val="16"/>
              </w:rPr>
              <w:t>Target</w:t>
            </w:r>
          </w:p>
        </w:tc>
        <w:tc>
          <w:tcPr>
            <w:tcW w:w="1250" w:type="pct"/>
            <w:shd w:val="clear" w:color="auto" w:fill="auto"/>
            <w:vAlign w:val="center"/>
          </w:tcPr>
          <w:p w14:paraId="482B43E6" w14:textId="62FCF10C" w:rsidR="00233EFB" w:rsidRPr="00781112" w:rsidRDefault="00233EFB" w:rsidP="00D0796B">
            <w:pPr>
              <w:jc w:val="center"/>
              <w:rPr>
                <w:rFonts w:cs="Arial"/>
                <w:color w:val="000000" w:themeColor="text1"/>
                <w:szCs w:val="16"/>
              </w:rPr>
            </w:pPr>
            <w:r w:rsidRPr="00781112">
              <w:rPr>
                <w:rFonts w:cs="Arial"/>
                <w:color w:val="000000" w:themeColor="text1"/>
                <w:szCs w:val="16"/>
              </w:rPr>
              <w:t>0%</w:t>
            </w:r>
          </w:p>
        </w:tc>
        <w:tc>
          <w:tcPr>
            <w:tcW w:w="1251" w:type="pct"/>
          </w:tcPr>
          <w:p w14:paraId="6ED6CF52" w14:textId="07C8F82B" w:rsidR="00233EFB" w:rsidRPr="00781112" w:rsidRDefault="00233EFB" w:rsidP="00D0796B">
            <w:pPr>
              <w:jc w:val="center"/>
              <w:rPr>
                <w:rFonts w:cs="Arial"/>
                <w:color w:val="000000" w:themeColor="text1"/>
                <w:szCs w:val="16"/>
              </w:rPr>
            </w:pPr>
            <w:r w:rsidRPr="00781112">
              <w:rPr>
                <w:color w:val="000000" w:themeColor="text1"/>
                <w:szCs w:val="16"/>
              </w:rPr>
              <w:t>0%</w:t>
            </w:r>
          </w:p>
        </w:tc>
        <w:tc>
          <w:tcPr>
            <w:tcW w:w="1250" w:type="pct"/>
          </w:tcPr>
          <w:p w14:paraId="41DC7F3D" w14:textId="129F7B75" w:rsidR="00233EFB" w:rsidRPr="00781112" w:rsidRDefault="00233EF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74881553" w:rsidR="005A3C12" w:rsidRPr="00781112" w:rsidRDefault="0047313F">
      <w:pPr>
        <w:rPr>
          <w:b/>
          <w:color w:val="000000" w:themeColor="text1"/>
        </w:rPr>
      </w:pPr>
      <w:r>
        <w:rPr>
          <w:b/>
          <w:color w:val="000000" w:themeColor="text1"/>
        </w:rPr>
        <w:t>FFY 2023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62" w:name="_Hlk20258880"/>
      <w:r w:rsidRPr="00781112">
        <w:rPr>
          <w:rFonts w:cs="Arial"/>
          <w:color w:val="000000" w:themeColor="text1"/>
          <w:szCs w:val="16"/>
        </w:rPr>
        <w:t>YES</w:t>
      </w:r>
    </w:p>
    <w:bookmarkEnd w:id="62"/>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73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23A6FF39" w:rsidR="00206A65" w:rsidRPr="00CC1061" w:rsidRDefault="00206A65" w:rsidP="00206A65">
            <w:pPr>
              <w:jc w:val="center"/>
              <w:rPr>
                <w:b/>
                <w:bCs/>
                <w:color w:val="000000" w:themeColor="text1"/>
              </w:rPr>
            </w:pPr>
            <w:r w:rsidRPr="00CC1061">
              <w:rPr>
                <w:b/>
                <w:bCs/>
              </w:rPr>
              <w:t>FFY 2022 Data</w:t>
            </w:r>
          </w:p>
        </w:tc>
        <w:tc>
          <w:tcPr>
            <w:tcW w:w="799" w:type="pct"/>
            <w:shd w:val="clear" w:color="auto" w:fill="auto"/>
            <w:vAlign w:val="bottom"/>
          </w:tcPr>
          <w:p w14:paraId="72475F3B" w14:textId="589A011A" w:rsidR="00206A65" w:rsidRPr="00CC1061" w:rsidRDefault="00206A65" w:rsidP="00206A65">
            <w:pPr>
              <w:jc w:val="center"/>
              <w:rPr>
                <w:b/>
                <w:bCs/>
                <w:color w:val="000000" w:themeColor="text1"/>
              </w:rPr>
            </w:pPr>
            <w:r w:rsidRPr="00CC1061">
              <w:rPr>
                <w:b/>
                <w:bCs/>
              </w:rPr>
              <w:t>FFY 2023 Target</w:t>
            </w:r>
          </w:p>
        </w:tc>
        <w:tc>
          <w:tcPr>
            <w:tcW w:w="484" w:type="pct"/>
            <w:shd w:val="clear" w:color="auto" w:fill="auto"/>
            <w:vAlign w:val="bottom"/>
          </w:tcPr>
          <w:p w14:paraId="71FC938A" w14:textId="272922A8" w:rsidR="00206A65" w:rsidRPr="00CC1061" w:rsidRDefault="00206A65" w:rsidP="00206A65">
            <w:pPr>
              <w:jc w:val="center"/>
              <w:rPr>
                <w:b/>
                <w:bCs/>
                <w:color w:val="000000" w:themeColor="text1"/>
              </w:rPr>
            </w:pPr>
            <w:r w:rsidRPr="00CC1061">
              <w:rPr>
                <w:b/>
                <w:bCs/>
              </w:rPr>
              <w:t>FFY 2023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27</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115</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0234332"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 xml:space="preserve">First is the Data Analysis. LDOE examines each LEA's child count data to identify disproportionate representation in designated populations of students. For the SPP/APR, LDOE uses the October 1 Child Count Report to extract the number of students with disabilities in each race or ethnic category. LDOE then completes a risk ratio analysis for each LEA to find whether a particular race or ethnicity was at a disproportionately greater risk of identification for special education and related services, excluding any LEA that did not meet the minimum n-size of 25 in the designated race or ethnic category. </w:t>
      </w:r>
      <w:r w:rsidRPr="00781112">
        <w:rPr>
          <w:rFonts w:cs="Arial"/>
          <w:color w:val="000000" w:themeColor="text1"/>
          <w:szCs w:val="16"/>
        </w:rPr>
        <w:br/>
      </w:r>
      <w:r w:rsidRPr="00781112">
        <w:rPr>
          <w:rFonts w:cs="Arial"/>
          <w:color w:val="000000" w:themeColor="text1"/>
          <w:szCs w:val="16"/>
        </w:rPr>
        <w:br/>
        <w:t>Second is communication with the LEAs. LDOE conducts outreach to the LEAs identified to determine whether the disproportionate representation is the result of inappropriate identification through policies, practices, or procedures. LEAs are required to upload a current and/or revised copy of policies, procedures, and practices used to determine the root cause of the identified findings. LEAs are also required to complete the State-generated Disproportionality Review Rubric. This tool is designed to assist LEAs in identifying practices, policies, and procedures that may lead to inappropriate identification of students for special education and related services based on race/ethnicity, by disability. The rubric includes topics such as professional development, teacher support, instructional practices, intervention efforts, and assessment procedures.</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LDOE completes a risk ratio analysis, based on one year of data, for each LEA to identify whether a particular race or ethnicity is at a disproportionately greater risk of being identified for a specific exceptionality. LDOE conducts outreach to LEAs found to be disproportionate, requiring LEAs to complete a Disproportionality Review Rubric. The rubric is used to identify any policies, practices, and procedures that result in inappropriate identification. The rubric and policies, practices, procedures are then submitted to LDOE for review. If a rubric indicates disproportionate representation because of inappropriate identification, the LEA is notified of the noncompliance and must revise its policies, practices, and procedures to address this concern and post revisions publicly.</w:t>
      </w:r>
    </w:p>
    <w:p w14:paraId="1FCF1BF3" w14:textId="77777777" w:rsidR="00DF1529" w:rsidRPr="00781112" w:rsidRDefault="00DF1529" w:rsidP="00DF1529">
      <w:pPr>
        <w:rPr>
          <w:rFonts w:cs="Arial"/>
          <w:b/>
          <w:color w:val="000000" w:themeColor="text1"/>
          <w:szCs w:val="16"/>
        </w:rPr>
      </w:pPr>
      <w:bookmarkStart w:id="63" w:name="_Toc381956338"/>
      <w:bookmarkStart w:id="64" w:name="_Toc384383352"/>
      <w:bookmarkStart w:id="65" w:name="_Toc392159320"/>
      <w:r w:rsidRPr="00781112">
        <w:rPr>
          <w:rFonts w:cs="Arial"/>
          <w:b/>
          <w:color w:val="000000" w:themeColor="text1"/>
          <w:szCs w:val="16"/>
        </w:rPr>
        <w:t>Provide additional information about this indicator (optional)</w:t>
      </w:r>
    </w:p>
    <w:p w14:paraId="6A3194C2" w14:textId="40939986" w:rsidR="00481536" w:rsidRPr="00781112" w:rsidRDefault="00481536" w:rsidP="007D435F">
      <w:pPr>
        <w:rPr>
          <w:rFonts w:cs="Arial"/>
          <w:color w:val="000000" w:themeColor="text1"/>
          <w:szCs w:val="16"/>
        </w:rPr>
      </w:pPr>
    </w:p>
    <w:p w14:paraId="6268B372" w14:textId="4303E10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74C33FE4"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017705F1"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3"/>
      <w:bookmarkEnd w:id="64"/>
      <w:bookmarkEnd w:id="65"/>
    </w:p>
    <w:p w14:paraId="4F5D642D" w14:textId="17D375FD" w:rsidR="00E119B0" w:rsidRPr="002C274F" w:rsidRDefault="00E119B0" w:rsidP="002C274F">
      <w:pPr>
        <w:rPr>
          <w:b/>
          <w:bCs/>
          <w:sz w:val="20"/>
          <w:szCs w:val="20"/>
        </w:rPr>
      </w:pPr>
      <w:bookmarkStart w:id="66" w:name="_Toc384383353"/>
      <w:bookmarkStart w:id="67" w:name="_Toc392159321"/>
      <w:r w:rsidRPr="002C274F">
        <w:rPr>
          <w:b/>
          <w:bCs/>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8" w:name="_Hlk150864333"/>
      <w:r w:rsidR="005F55E8" w:rsidRPr="005F55E8">
        <w:rPr>
          <w:rFonts w:cs="Arial"/>
          <w:color w:val="000000" w:themeColor="text1"/>
          <w:szCs w:val="16"/>
        </w:rPr>
        <w:t>child-specific and regulatory/systemic</w:t>
      </w:r>
      <w:r w:rsidR="005F55E8">
        <w:rPr>
          <w:sz w:val="20"/>
          <w:szCs w:val="14"/>
        </w:rPr>
        <w:t xml:space="preserve"> </w:t>
      </w:r>
      <w:bookmarkEnd w:id="68"/>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5B236136"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D959517" w14:textId="56706A14" w:rsidR="007B2985" w:rsidRPr="00FE4611" w:rsidRDefault="007B2985"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CA3F78B" w14:textId="72C271DF" w:rsidR="00DB20BC" w:rsidRPr="00781112" w:rsidRDefault="00C22B92" w:rsidP="00123D76">
      <w:pPr>
        <w:pStyle w:val="Heading2"/>
      </w:pPr>
      <w:bookmarkStart w:id="69" w:name="_Toc384383354"/>
      <w:bookmarkStart w:id="70" w:name="_Toc392159322"/>
      <w:bookmarkEnd w:id="66"/>
      <w:bookmarkEnd w:id="67"/>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100.00%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99.13%</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98.01%</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89.57%</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99.56%</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98.65%</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397"/>
        <w:gridCol w:w="2570"/>
        <w:gridCol w:w="2570"/>
      </w:tblGrid>
      <w:tr w:rsidR="007F76DD" w:rsidRPr="00781112" w14:paraId="76DFECC2" w14:textId="07DDD47D" w:rsidTr="007F76DD">
        <w:trPr>
          <w:trHeight w:val="460"/>
        </w:trPr>
        <w:tc>
          <w:tcPr>
            <w:tcW w:w="406" w:type="pct"/>
            <w:tcBorders>
              <w:bottom w:val="single" w:sz="4" w:space="0" w:color="auto"/>
            </w:tcBorders>
            <w:shd w:val="clear" w:color="auto" w:fill="auto"/>
          </w:tcPr>
          <w:p w14:paraId="6892E70C" w14:textId="77777777" w:rsidR="007F76DD" w:rsidRPr="00781112" w:rsidRDefault="007F76DD" w:rsidP="00487DD1">
            <w:pPr>
              <w:jc w:val="center"/>
              <w:rPr>
                <w:b/>
                <w:color w:val="000000" w:themeColor="text1"/>
              </w:rPr>
            </w:pPr>
            <w:r w:rsidRPr="00781112">
              <w:rPr>
                <w:b/>
                <w:color w:val="000000" w:themeColor="text1"/>
              </w:rPr>
              <w:t>FFY</w:t>
            </w:r>
          </w:p>
        </w:tc>
        <w:tc>
          <w:tcPr>
            <w:tcW w:w="1461" w:type="pct"/>
            <w:shd w:val="clear" w:color="auto" w:fill="auto"/>
          </w:tcPr>
          <w:p w14:paraId="66B6940B" w14:textId="77777777" w:rsidR="007F76DD" w:rsidRPr="00781112" w:rsidRDefault="007F76DD" w:rsidP="00487DD1">
            <w:pPr>
              <w:jc w:val="center"/>
              <w:rPr>
                <w:b/>
                <w:color w:val="000000" w:themeColor="text1"/>
              </w:rPr>
            </w:pPr>
            <w:r w:rsidRPr="00781112">
              <w:rPr>
                <w:b/>
                <w:color w:val="000000" w:themeColor="text1"/>
              </w:rPr>
              <w:t>2023</w:t>
            </w:r>
          </w:p>
        </w:tc>
        <w:tc>
          <w:tcPr>
            <w:tcW w:w="1566" w:type="pct"/>
          </w:tcPr>
          <w:p w14:paraId="642D6D44" w14:textId="2A5BD9E4" w:rsidR="007F76DD" w:rsidRPr="00781112" w:rsidRDefault="007F76DD" w:rsidP="00487DD1">
            <w:pPr>
              <w:jc w:val="center"/>
              <w:rPr>
                <w:b/>
                <w:color w:val="000000" w:themeColor="text1"/>
              </w:rPr>
            </w:pPr>
            <w:r w:rsidRPr="00781112">
              <w:rPr>
                <w:rFonts w:cs="Arial"/>
                <w:b/>
                <w:color w:val="000000" w:themeColor="text1"/>
                <w:szCs w:val="16"/>
              </w:rPr>
              <w:t>2024</w:t>
            </w:r>
          </w:p>
        </w:tc>
        <w:tc>
          <w:tcPr>
            <w:tcW w:w="1566" w:type="pct"/>
          </w:tcPr>
          <w:p w14:paraId="3DC5C0D5" w14:textId="20C2B807" w:rsidR="007F76DD" w:rsidRPr="00781112" w:rsidRDefault="007F76DD" w:rsidP="00487DD1">
            <w:pPr>
              <w:jc w:val="center"/>
              <w:rPr>
                <w:b/>
                <w:color w:val="000000" w:themeColor="text1"/>
              </w:rPr>
            </w:pPr>
            <w:r w:rsidRPr="00781112">
              <w:rPr>
                <w:rFonts w:cs="Arial"/>
                <w:b/>
                <w:color w:val="000000" w:themeColor="text1"/>
                <w:szCs w:val="16"/>
              </w:rPr>
              <w:t>2025</w:t>
            </w:r>
          </w:p>
        </w:tc>
      </w:tr>
      <w:tr w:rsidR="007F76DD" w:rsidRPr="00781112" w14:paraId="3EC10007" w14:textId="1FF3F876" w:rsidTr="007F76DD">
        <w:trPr>
          <w:trHeight w:val="469"/>
        </w:trPr>
        <w:tc>
          <w:tcPr>
            <w:tcW w:w="406" w:type="pct"/>
            <w:shd w:val="clear" w:color="auto" w:fill="auto"/>
            <w:vAlign w:val="center"/>
          </w:tcPr>
          <w:p w14:paraId="078AD14E" w14:textId="4163BE23"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738C5681" w14:textId="308364FD" w:rsidR="007F76DD" w:rsidRPr="00781112" w:rsidRDefault="007F76DD" w:rsidP="00487DD1">
            <w:pPr>
              <w:jc w:val="center"/>
              <w:rPr>
                <w:rFonts w:cs="Arial"/>
                <w:color w:val="000000" w:themeColor="text1"/>
                <w:szCs w:val="16"/>
              </w:rPr>
            </w:pPr>
            <w:r w:rsidRPr="00781112">
              <w:rPr>
                <w:rFonts w:cs="Arial"/>
                <w:color w:val="000000" w:themeColor="text1"/>
                <w:szCs w:val="16"/>
              </w:rPr>
              <w:t>100%</w:t>
            </w:r>
          </w:p>
        </w:tc>
        <w:tc>
          <w:tcPr>
            <w:tcW w:w="1566" w:type="pct"/>
          </w:tcPr>
          <w:p w14:paraId="6D8F87FA" w14:textId="469699AF" w:rsidR="007F76DD" w:rsidRPr="00781112" w:rsidRDefault="007F76DD" w:rsidP="00487DD1">
            <w:pPr>
              <w:jc w:val="center"/>
              <w:rPr>
                <w:rFonts w:cs="Arial"/>
                <w:color w:val="000000" w:themeColor="text1"/>
                <w:szCs w:val="16"/>
              </w:rPr>
            </w:pPr>
            <w:r w:rsidRPr="00781112">
              <w:rPr>
                <w:color w:val="000000" w:themeColor="text1"/>
                <w:szCs w:val="16"/>
              </w:rPr>
              <w:t>100%</w:t>
            </w:r>
          </w:p>
        </w:tc>
        <w:tc>
          <w:tcPr>
            <w:tcW w:w="1566" w:type="pct"/>
          </w:tcPr>
          <w:p w14:paraId="36607C1B" w14:textId="54CF66D1" w:rsidR="007F76DD" w:rsidRPr="00781112" w:rsidRDefault="007F76DD"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9"/>
    <w:bookmarkEnd w:id="70"/>
    <w:p w14:paraId="3FAEB3AB" w14:textId="77553BF1"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1BE978E6" w:rsidR="00B1652C" w:rsidRPr="00CC1061" w:rsidRDefault="00B1652C" w:rsidP="00B1652C">
            <w:pPr>
              <w:jc w:val="center"/>
              <w:rPr>
                <w:rFonts w:cs="Arial"/>
                <w:b/>
                <w:bCs/>
                <w:color w:val="000000" w:themeColor="text1"/>
                <w:szCs w:val="16"/>
              </w:rPr>
            </w:pPr>
            <w:r w:rsidRPr="00CC1061">
              <w:rPr>
                <w:b/>
                <w:bCs/>
              </w:rPr>
              <w:t>FFY 2022 Data</w:t>
            </w:r>
          </w:p>
        </w:tc>
        <w:tc>
          <w:tcPr>
            <w:tcW w:w="984" w:type="pct"/>
            <w:shd w:val="clear" w:color="auto" w:fill="auto"/>
            <w:vAlign w:val="bottom"/>
          </w:tcPr>
          <w:p w14:paraId="46349806" w14:textId="66CFDC34" w:rsidR="00B1652C" w:rsidRPr="00CC1061" w:rsidRDefault="00B1652C" w:rsidP="00B1652C">
            <w:pPr>
              <w:jc w:val="center"/>
              <w:rPr>
                <w:rFonts w:cs="Arial"/>
                <w:b/>
                <w:bCs/>
                <w:color w:val="000000" w:themeColor="text1"/>
                <w:szCs w:val="16"/>
              </w:rPr>
            </w:pPr>
            <w:r w:rsidRPr="00CC1061">
              <w:rPr>
                <w:b/>
                <w:bCs/>
              </w:rPr>
              <w:t>FFY 2023 Target</w:t>
            </w:r>
          </w:p>
        </w:tc>
        <w:tc>
          <w:tcPr>
            <w:tcW w:w="586" w:type="pct"/>
            <w:shd w:val="clear" w:color="auto" w:fill="auto"/>
            <w:vAlign w:val="bottom"/>
          </w:tcPr>
          <w:p w14:paraId="789B0350" w14:textId="4F3FB020" w:rsidR="00B1652C" w:rsidRPr="00CC1061" w:rsidRDefault="00B1652C" w:rsidP="00B1652C">
            <w:pPr>
              <w:jc w:val="center"/>
              <w:rPr>
                <w:rFonts w:cs="Arial"/>
                <w:b/>
                <w:bCs/>
                <w:color w:val="000000" w:themeColor="text1"/>
                <w:szCs w:val="16"/>
              </w:rPr>
            </w:pPr>
            <w:r w:rsidRPr="00CC1061">
              <w:rPr>
                <w:b/>
                <w:bCs/>
              </w:rPr>
              <w:t>FFY 2023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17,827</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17,715</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98.65%</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99.37%</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112</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 xml:space="preserve">The evaluation timeline begins once parental consent is obtained.  Louisiana identified 112 children for whom parental consent was obtained and evaluations were not completed within the 60-day timeline. Below is the breakdown of the number of days for which the evaluation completion timeline exceed the timeline aggregated by range of days: </w:t>
      </w:r>
      <w:r w:rsidRPr="00781112">
        <w:rPr>
          <w:color w:val="000000" w:themeColor="text1"/>
        </w:rPr>
        <w:br/>
      </w:r>
      <w:r w:rsidRPr="00781112">
        <w:rPr>
          <w:color w:val="000000" w:themeColor="text1"/>
        </w:rPr>
        <w:br/>
        <w:t xml:space="preserve">(71) 1-15 days </w:t>
      </w:r>
      <w:r w:rsidRPr="00781112">
        <w:rPr>
          <w:color w:val="000000" w:themeColor="text1"/>
        </w:rPr>
        <w:br/>
        <w:t>(20) 16-30 days</w:t>
      </w:r>
      <w:r w:rsidRPr="00781112">
        <w:rPr>
          <w:color w:val="000000" w:themeColor="text1"/>
        </w:rPr>
        <w:br/>
        <w:t xml:space="preserve">  (8) 31-45 days</w:t>
      </w:r>
      <w:r w:rsidRPr="00781112">
        <w:rPr>
          <w:color w:val="000000" w:themeColor="text1"/>
        </w:rPr>
        <w:br/>
        <w:t xml:space="preserve">  (3) 46-60 days</w:t>
      </w:r>
      <w:r w:rsidRPr="00781112">
        <w:rPr>
          <w:color w:val="000000" w:themeColor="text1"/>
        </w:rPr>
        <w:br/>
        <w:t>(10) 60+ days</w:t>
      </w:r>
      <w:r w:rsidRPr="00781112">
        <w:rPr>
          <w:color w:val="000000" w:themeColor="text1"/>
        </w:rPr>
        <w:br/>
      </w:r>
      <w:r w:rsidRPr="00781112">
        <w:rPr>
          <w:color w:val="000000" w:themeColor="text1"/>
        </w:rPr>
        <w:br/>
        <w:t>Local Educational Agencies (LEAs) identified the following primary reasons for the delay:</w:t>
      </w:r>
      <w:r w:rsidRPr="00781112">
        <w:rPr>
          <w:color w:val="000000" w:themeColor="text1"/>
        </w:rPr>
        <w:br/>
        <w:t>• Inaccurate data entry</w:t>
      </w:r>
      <w:r w:rsidRPr="00781112">
        <w:rPr>
          <w:color w:val="000000" w:themeColor="text1"/>
        </w:rPr>
        <w:br/>
        <w:t>• Personnel not available for evaluation</w:t>
      </w:r>
      <w:r w:rsidRPr="00781112">
        <w:rPr>
          <w:color w:val="000000" w:themeColor="text1"/>
        </w:rPr>
        <w:br/>
        <w:t>• Delayed reports of outside agencies</w:t>
      </w:r>
      <w:r w:rsidRPr="00781112">
        <w:rPr>
          <w:color w:val="000000" w:themeColor="text1"/>
        </w:rPr>
        <w:br/>
        <w:t>• Delayed receipt of medical documents</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used the 60 day timeframe within which the evaluation must be conducted</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Louisiana's special education data collection and warehousing tool is an enhanced version of its Special Education Reporting System (SER) tool, hence the acronym eSER. Steps of the evaluation process are captured as data points and are entered by the evaluator at the LEA level into eSER under each student's state-generated ID number. This system houses each student’s demographic data, location of jurisdiction, parent/guardian contact information, services that are provided special education activity, the exit transition plan, incidents, referrals, evaluation processes, and the IEP. As the data is entered, timelines via business rules are generated in eSER documenting the evaluation start date, report dissemination date, the exceptionality code, the due date, and the number of business days the evaluation is past due, if applicable. Receipt of parental consent is the initial step of the evaluation process and the process must be completed within the 60-day timeline. </w:t>
      </w:r>
      <w:r w:rsidRPr="00781112">
        <w:rPr>
          <w:rFonts w:cs="Arial"/>
          <w:color w:val="000000" w:themeColor="text1"/>
          <w:szCs w:val="16"/>
        </w:rPr>
        <w:br/>
        <w:t>Annually at the state level, initial evaluation data for the full academic school year is extracted from eSER through the SPP Indicator 11 Report, also known as the Child Find Report. For FFY23 the data window is July 1, 2023, to June 30, 2024. The report is downloaded in Excel format for ease of calculation, but can also be downloaded as a CSV or PDF file. The first tab of this report is the summary page containing the counts of initial evaluation data by each LEA for the number of evaluations with parental consent, the number of evaluations for students eligible and were completed within the 60-day timeline without an extension, the number of evaluations for students eligible and were completed within the 60 day timeline with an extension, the number of evaluations completed within timeline that resulted in no exceptionality, the number of evaluations that resulted in no exceptionality not completed within timeline, and the number of evaluations not completed within timeline. For each of the categories that display counts on the summary sheet, there are additional tabs that identify by school, by ten-digit student ID, and students that meets the criteria of the category label on the tab. Additionally, each category tab lists data for the evaluation start date, report dissemination date, the exceptionality code, the due date and the number of business days the evaluation is past due. This report can also be generated at the LEA level and is used to manage compliance. For this reason, the report window is selected by the user; therefore, a user may select any window of time to generate targeted dates as needed.</w:t>
      </w:r>
    </w:p>
    <w:p w14:paraId="4F981BFF" w14:textId="77777777" w:rsidR="00C86164" w:rsidRPr="00781112" w:rsidRDefault="00C86164" w:rsidP="00C86164">
      <w:pPr>
        <w:rPr>
          <w:rFonts w:cs="Arial"/>
          <w:b/>
          <w:color w:val="000000" w:themeColor="text1"/>
          <w:szCs w:val="16"/>
        </w:rPr>
      </w:pPr>
      <w:bookmarkStart w:id="71" w:name="_Toc381956339"/>
      <w:bookmarkStart w:id="72" w:name="_Toc384383357"/>
      <w:bookmarkStart w:id="73" w:name="_Toc392159325"/>
      <w:r w:rsidRPr="00781112">
        <w:rPr>
          <w:rFonts w:cs="Arial"/>
          <w:b/>
          <w:color w:val="000000" w:themeColor="text1"/>
          <w:szCs w:val="16"/>
        </w:rPr>
        <w:t>Provide additional information about this indicator (optional)</w:t>
      </w:r>
    </w:p>
    <w:p w14:paraId="4D7330D9" w14:textId="5E39C58C" w:rsidR="00326C0B" w:rsidRPr="00781112" w:rsidRDefault="002B7490" w:rsidP="007D435F">
      <w:pPr>
        <w:rPr>
          <w:rFonts w:cs="Arial"/>
          <w:color w:val="000000" w:themeColor="text1"/>
          <w:szCs w:val="16"/>
        </w:rPr>
      </w:pPr>
      <w:r w:rsidRPr="00781112">
        <w:rPr>
          <w:rFonts w:cs="Arial"/>
          <w:color w:val="000000" w:themeColor="text1"/>
          <w:szCs w:val="16"/>
        </w:rPr>
        <w:t>Education Policies approved by the Louisiana Board of Elementary and Secondary Education (BESE) are called Bulletins. Bulletin 1508, https://doe.louisiana.gov/school-system-leaders/diverse-learners/academics, is the regulatory guide for pupil appraisal personnel when conducting individual evaluations of students suspected of being exceptional and in need of special education and related services, and as a reference for persons requiring specific information regarding the determination of eligibility for special education services. As indicated earlier through the tab headers of the Indicator 11 report, Louisiana allows the option of parentally approved extensions. Please refer to §511: Evaluation Timelines of the bulletin for guidance about the requirements for using an extension. Business rules within eSER limit extensions to one end-of-year parentally approved extension and one parentally approved extension as defined within section §511 of Bulletin 1508.</w:t>
      </w:r>
    </w:p>
    <w:p w14:paraId="3221D503" w14:textId="43CA4FB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241</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241</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436161EB" w:rsidR="009A755E" w:rsidRPr="00781112" w:rsidRDefault="00450F98" w:rsidP="004369B2">
      <w:pPr>
        <w:rPr>
          <w:color w:val="000000" w:themeColor="text1"/>
        </w:rPr>
      </w:pPr>
      <w:r>
        <w:rPr>
          <w:b/>
          <w:color w:val="000000" w:themeColor="text1"/>
        </w:rPr>
        <w:t>FFY 2022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lastRenderedPageBreak/>
        <w:t xml:space="preserve">In addition to the child-specific correction, the LDOE required all LEAs identified with noncompliance to examine their policies, practices and procedures, conduct a root cause analysis, and submit a Plan of Action, to the LDOE Child Find manager. The plan included the students whose evaluation exceeded the 60-day timeline, the number of days, the reason the timeline was not met, how it could have been prevented, how the noncompliance was corrected and the personnel responsible. The Child Find manager was in continuous communication with each LEA collecting and tracking all details and documentation. </w:t>
      </w:r>
      <w:r w:rsidRPr="00781112">
        <w:rPr>
          <w:rFonts w:cs="Arial"/>
          <w:color w:val="000000" w:themeColor="text1"/>
          <w:szCs w:val="16"/>
        </w:rPr>
        <w:br/>
      </w:r>
      <w:r w:rsidRPr="00781112">
        <w:rPr>
          <w:rFonts w:cs="Arial"/>
          <w:color w:val="000000" w:themeColor="text1"/>
          <w:szCs w:val="16"/>
        </w:rPr>
        <w:br/>
        <w:t>In any instance whereby an LEA was found to be non-compliant, the LDOE required each LEA to revise its current policies, practices, and procedures that contributed to and resulted in non-compliance. Within the 30-day timeline, LEAs' updated procedures were submitted to the Child Find manager via the FTP to substantiate the required changes. LDOE staff reviewed each LEA's Plan of Action to determine if the LEA had revised its policies, practices, and procedures to ensure compliance and/or correct implementation of timely evaluations. Because students’ special education history is comprehensive in eSER, after the LEA reported the correction, Louisiana used the data reporting system to verify that each evaluation was completed, although late, and reviewed subsequent updated data to verify that all LEAs were correctly implementing the regulatory requirements and achieved 100% compliance using updated, subsequent data from eSER.</w:t>
      </w:r>
      <w:r w:rsidRPr="00781112">
        <w:rPr>
          <w:rFonts w:cs="Arial"/>
          <w:color w:val="000000" w:themeColor="text1"/>
          <w:szCs w:val="16"/>
        </w:rPr>
        <w:br/>
      </w:r>
      <w:r w:rsidRPr="00781112">
        <w:rPr>
          <w:rFonts w:cs="Arial"/>
          <w:color w:val="000000" w:themeColor="text1"/>
          <w:szCs w:val="16"/>
        </w:rPr>
        <w:br/>
        <w:t>The Child Find manager and IDEA program office ran subsequent Indicator 11/Child Find Performance reports and reviewed monitoring results to ensure all LEAs complied with evaluation timelines and regulatory requirements. Child Find collection data was reviewed from the IDEA compliance protocol for each LEA monitored by identifying whether evaluation timelines were met. LEAs were required to correct the noncompliance immediately once the monitoring report was received; however, the data served as a resource to the Child Find manager as it relates to systemic compliance and recommendations for professional development relative to Child Find.</w:t>
      </w:r>
      <w:r w:rsidRPr="00781112">
        <w:rPr>
          <w:rFonts w:cs="Arial"/>
          <w:color w:val="000000" w:themeColor="text1"/>
          <w:szCs w:val="16"/>
        </w:rPr>
        <w:br/>
      </w:r>
      <w:r w:rsidRPr="00781112">
        <w:rPr>
          <w:rFonts w:cs="Arial"/>
          <w:color w:val="000000" w:themeColor="text1"/>
          <w:szCs w:val="16"/>
        </w:rPr>
        <w:br/>
        <w:t xml:space="preserve">LDOE verified that each individual student-specific file and a subsequent file review based on updated data indicated 100% compliance within one year from written notification of non-compliance, consistent with OSEP QA 23-01; all LEAs were provided a close-out letter. </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The State verified that each individual student case with noncompliance was reflected in the Child Find collection data and correctly implemented timely evaluations based on the state review of collection data, and that each child received a completed evaluation, although late, for any child whose initial evaluation was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The SPP Indicator 11 report was generated to identify LEAs who did not meet 100% compliance. This data was also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examine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sidRPr="00781112">
        <w:rPr>
          <w:rFonts w:cs="Arial"/>
          <w:color w:val="000000" w:themeColor="text1"/>
          <w:szCs w:val="16"/>
        </w:rPr>
        <w:br/>
      </w:r>
      <w:r w:rsidRPr="00781112">
        <w:rPr>
          <w:rFonts w:cs="Arial"/>
          <w:color w:val="000000" w:themeColor="text1"/>
          <w:szCs w:val="16"/>
        </w:rPr>
        <w:br/>
        <w:t xml:space="preserve">The State through a desk audit of previously corrected non-compliance confirmed using the date of completion that the students received their required evaluation even though it was late, consistent with OSEP QA 23-01, and all individual noncompliance was corrected for FFY 2022 within one year. </w:t>
      </w:r>
    </w:p>
    <w:p w14:paraId="47B6C111" w14:textId="77777777" w:rsidR="008227D4" w:rsidRPr="00781112" w:rsidRDefault="008227D4" w:rsidP="004369B2">
      <w:pPr>
        <w:rPr>
          <w:color w:val="000000" w:themeColor="text1"/>
        </w:rPr>
      </w:pPr>
    </w:p>
    <w:p w14:paraId="3D219E0E" w14:textId="4B31479F"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C95854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68</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68</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shd w:val="clear" w:color="auto" w:fill="auto"/>
          </w:tcPr>
          <w:p w14:paraId="1177FA9A" w14:textId="73A2A90B" w:rsidR="009A755E" w:rsidRPr="00781112" w:rsidRDefault="00596F83"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42D596E0" w14:textId="4BE898FD" w:rsidR="009A755E" w:rsidRPr="00781112" w:rsidRDefault="00596F83">
            <w:pPr>
              <w:jc w:val="center"/>
              <w:rPr>
                <w:rFonts w:cs="Arial"/>
                <w:noProof/>
                <w:color w:val="000000" w:themeColor="text1"/>
                <w:szCs w:val="16"/>
              </w:rPr>
            </w:pPr>
            <w:r w:rsidRPr="00781112">
              <w:rPr>
                <w:rFonts w:cs="Arial"/>
                <w:color w:val="000000" w:themeColor="text1"/>
                <w:szCs w:val="16"/>
              </w:rPr>
              <w:t>1,584</w:t>
            </w:r>
          </w:p>
        </w:tc>
        <w:tc>
          <w:tcPr>
            <w:tcW w:w="1317" w:type="pct"/>
            <w:shd w:val="clear" w:color="auto" w:fill="auto"/>
          </w:tcPr>
          <w:p w14:paraId="1709DA4E" w14:textId="03D6E40F" w:rsidR="009A755E" w:rsidRPr="00781112" w:rsidRDefault="002B7490">
            <w:pPr>
              <w:jc w:val="center"/>
              <w:rPr>
                <w:rFonts w:cs="Arial"/>
                <w:noProof/>
                <w:color w:val="000000" w:themeColor="text1"/>
                <w:szCs w:val="16"/>
              </w:rPr>
            </w:pPr>
            <w:r w:rsidRPr="00781112">
              <w:rPr>
                <w:rFonts w:cs="Arial"/>
                <w:color w:val="000000" w:themeColor="text1"/>
                <w:szCs w:val="16"/>
              </w:rPr>
              <w:t>1,584</w:t>
            </w:r>
          </w:p>
        </w:tc>
        <w:tc>
          <w:tcPr>
            <w:tcW w:w="1234" w:type="pct"/>
            <w:shd w:val="clear" w:color="auto" w:fill="auto"/>
          </w:tcPr>
          <w:p w14:paraId="7008AE63" w14:textId="0E87CC18"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6B4A8AF5" w14:textId="77777777" w:rsidTr="003968A6">
        <w:tc>
          <w:tcPr>
            <w:tcW w:w="988" w:type="pct"/>
            <w:shd w:val="clear" w:color="auto" w:fill="auto"/>
          </w:tcPr>
          <w:p w14:paraId="43946979" w14:textId="506054A6" w:rsidR="009A755E" w:rsidRPr="00781112" w:rsidRDefault="00596F83" w:rsidP="00A018D4">
            <w:pPr>
              <w:jc w:val="center"/>
              <w:rPr>
                <w:rFonts w:cs="Arial"/>
                <w:color w:val="000000" w:themeColor="text1"/>
                <w:szCs w:val="16"/>
              </w:rPr>
            </w:pPr>
            <w:r w:rsidRPr="00781112">
              <w:rPr>
                <w:rFonts w:cs="Arial"/>
                <w:color w:val="000000" w:themeColor="text1"/>
                <w:szCs w:val="16"/>
              </w:rPr>
              <w:t>FFY 2019</w:t>
            </w:r>
          </w:p>
        </w:tc>
        <w:tc>
          <w:tcPr>
            <w:tcW w:w="1461" w:type="pct"/>
            <w:shd w:val="clear" w:color="auto" w:fill="auto"/>
          </w:tcPr>
          <w:p w14:paraId="2F9F2AEA" w14:textId="4F1403DB" w:rsidR="009A755E" w:rsidRPr="00781112" w:rsidRDefault="00596F83">
            <w:pPr>
              <w:jc w:val="center"/>
              <w:rPr>
                <w:rFonts w:cs="Arial"/>
                <w:noProof/>
                <w:color w:val="000000" w:themeColor="text1"/>
                <w:szCs w:val="16"/>
              </w:rPr>
            </w:pPr>
            <w:r w:rsidRPr="00781112">
              <w:rPr>
                <w:rFonts w:cs="Arial"/>
                <w:color w:val="000000" w:themeColor="text1"/>
                <w:szCs w:val="16"/>
              </w:rPr>
              <w:t>247</w:t>
            </w:r>
          </w:p>
        </w:tc>
        <w:tc>
          <w:tcPr>
            <w:tcW w:w="1317" w:type="pct"/>
            <w:shd w:val="clear" w:color="auto" w:fill="auto"/>
          </w:tcPr>
          <w:p w14:paraId="083E1253" w14:textId="465F1687" w:rsidR="009A755E" w:rsidRPr="00781112" w:rsidRDefault="002B7490">
            <w:pPr>
              <w:jc w:val="center"/>
              <w:rPr>
                <w:rFonts w:cs="Arial"/>
                <w:noProof/>
                <w:color w:val="000000" w:themeColor="text1"/>
                <w:szCs w:val="16"/>
              </w:rPr>
            </w:pPr>
            <w:r w:rsidRPr="00781112">
              <w:rPr>
                <w:rFonts w:cs="Arial"/>
                <w:color w:val="000000" w:themeColor="text1"/>
                <w:szCs w:val="16"/>
              </w:rPr>
              <w:t>247</w:t>
            </w:r>
          </w:p>
        </w:tc>
        <w:tc>
          <w:tcPr>
            <w:tcW w:w="1234" w:type="pct"/>
            <w:shd w:val="clear" w:color="auto" w:fill="auto"/>
          </w:tcPr>
          <w:p w14:paraId="5051C049" w14:textId="54F55515"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 xml:space="preserve">In addition to the child-specific correction, the LDOE required all LEAs identified with noncompliance to examine their policies, practices and procedures, conduct a root cause analysis, and submit a Plan of Action, to the LDOE Child Find manager. The plan included the students whose evaluation exceeded the 60-day timeline, the number of days, the reason the timeline was not met, how it could have been prevented, how the noncompliance was corrected and the personnel responsible. The Child Find manager was in continuous communication with each LEA collecting and tracking all details and documentation. </w:t>
      </w:r>
      <w:r w:rsidRPr="00781112">
        <w:rPr>
          <w:rFonts w:cs="Arial"/>
          <w:color w:val="000000" w:themeColor="text1"/>
          <w:szCs w:val="16"/>
        </w:rPr>
        <w:br/>
      </w:r>
      <w:r w:rsidRPr="00781112">
        <w:rPr>
          <w:rFonts w:cs="Arial"/>
          <w:color w:val="000000" w:themeColor="text1"/>
          <w:szCs w:val="16"/>
        </w:rPr>
        <w:br/>
        <w:t>In any instance whereby an LEA was found to be non-compliant, the LDOE required each LEA to revise its current policies, practices, and procedures that contributed to and resulted in non-compliance. Within the 30-day timeline, LEAs' updated procedures were submitted to the Child Find manager via the FTP to substantiate the required changes. LDOE staff reviewed each LEA's Plan of Action to determine if the LEA had revised its policies, practices, and procedures to ensure compliance and/or correct implementation of timely evaluations. Because students’ special education history is comprehensive in eSER, after the LEA reported the correction, Louisiana used the data reporting system to verify that each evaluation was completed, although late, and reviewed subsequent updated data to verify that all LEAs were correctly implementing the regulatory requirements and achieved 100% compliance using updated, subsequent data from eSER.</w:t>
      </w:r>
      <w:r w:rsidRPr="00781112">
        <w:rPr>
          <w:rFonts w:cs="Arial"/>
          <w:color w:val="000000" w:themeColor="text1"/>
          <w:szCs w:val="16"/>
        </w:rPr>
        <w:br/>
      </w:r>
      <w:r w:rsidRPr="00781112">
        <w:rPr>
          <w:rFonts w:cs="Arial"/>
          <w:color w:val="000000" w:themeColor="text1"/>
          <w:szCs w:val="16"/>
        </w:rPr>
        <w:br/>
        <w:t>The Child Find manager and IDEA program office ran subsequent Indicator 11/Child Find Performance reports and reviewed monitoring results to ensure all LEAs complied with evaluation timelines and regulatory requirements. Child Find collection data was reviewed from the IDEA compliance protocol for each LEA monitored by identifying whether evaluation timelines were met. LEAs were required to correct the noncompliance immediately once the monitoring report was received; however, the data served as a resource to the Child Find manager as it relates to systemic compliance and recommendations for professional development relative to Child Find.</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LDOE verified that each individual student-specific file and a subsequent file review based on updated data indicated 100% compliance within one year from written notification of non-compliance, consistent with OSEP QA 23-01; all LEAs were provided a close-out letter. </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The State verified that each individual student case with noncompliance was reflected in the Child Find collection data and correctly implemented 34 CFR 300.301 based on the state review of collection data, and that each child received a completed evaluation, although late, for any child whose initial evaluation was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 xml:space="preserve">The SPP Indicator 11 report was generated to identify LEAs who did not meet 100% compliance. This data was also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examine their policies, practices, and procedures to ensure these were not the root cause of noncompliance and instructions to generate monthly reports to ensure the LEA was maintaining 100% compliance while correcting the instances of noncompliance identified within the notification. </w:t>
      </w:r>
      <w:r w:rsidRPr="00781112">
        <w:rPr>
          <w:rFonts w:cs="Arial"/>
          <w:color w:val="000000" w:themeColor="text1"/>
          <w:szCs w:val="16"/>
        </w:rPr>
        <w:br/>
      </w:r>
      <w:r w:rsidRPr="00781112">
        <w:rPr>
          <w:rFonts w:cs="Arial"/>
          <w:color w:val="000000" w:themeColor="text1"/>
          <w:szCs w:val="16"/>
        </w:rPr>
        <w:br/>
        <w:t xml:space="preserve">The State through a desk audit of previously corrected non-compliance confirmed using the date of completion that the students received their required evaluation even though it was late, consistent with OSEP QA 23-01, and all individual noncompliance was corrected for FFY 2021 within one year. </w:t>
      </w:r>
    </w:p>
    <w:p w14:paraId="08634A47" w14:textId="0468EE5A"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13EA08E3" w14:textId="60D8D7D4" w:rsidR="009A755E" w:rsidRPr="00781112" w:rsidRDefault="009A755E" w:rsidP="004369B2">
      <w:pPr>
        <w:rPr>
          <w:color w:val="000000" w:themeColor="text1"/>
        </w:rPr>
      </w:pPr>
      <w:r w:rsidRPr="00781112">
        <w:rPr>
          <w:b/>
          <w:color w:val="000000" w:themeColor="text1"/>
        </w:rPr>
        <w:t>Findings of Noncompliance Verified as Corrected</w:t>
      </w:r>
    </w:p>
    <w:p w14:paraId="1463A5DD" w14:textId="5274A019"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0FCB1F5A" w14:textId="4276DF9C" w:rsidR="00596F83" w:rsidRPr="00781112" w:rsidRDefault="00596F83" w:rsidP="00596F83">
      <w:pPr>
        <w:rPr>
          <w:rFonts w:cs="Arial"/>
          <w:color w:val="000000" w:themeColor="text1"/>
          <w:szCs w:val="16"/>
        </w:rPr>
      </w:pPr>
      <w:r w:rsidRPr="00781112">
        <w:rPr>
          <w:rFonts w:cs="Arial"/>
          <w:color w:val="000000" w:themeColor="text1"/>
          <w:szCs w:val="16"/>
        </w:rPr>
        <w:t xml:space="preserve">In addition to the child-specific correction, the LDOE required all LEAs identified with noncompliance to examine their policies, practices and procedures, conduct a root cause analysis, and submit a Plan of Action, to the LDOE Child Find manager. The plan included the students whose evaluation exceeded the 60-day timeline, the number of days, the reason the timeline was not met, how it could have been prevented, how the noncompliance was corrected and the personnel responsible. The Child Find manager was in continuous communication with each LEA collecting and tracking all details and documentation. </w:t>
      </w:r>
      <w:r w:rsidRPr="00781112">
        <w:rPr>
          <w:rFonts w:cs="Arial"/>
          <w:color w:val="000000" w:themeColor="text1"/>
          <w:szCs w:val="16"/>
        </w:rPr>
        <w:br/>
      </w:r>
      <w:r w:rsidRPr="00781112">
        <w:rPr>
          <w:rFonts w:cs="Arial"/>
          <w:color w:val="000000" w:themeColor="text1"/>
          <w:szCs w:val="16"/>
        </w:rPr>
        <w:br/>
        <w:t>In any instance whereby an LEA was found to be non-compliant, the LDOE required each LEA to revise its current policies, practices, and procedures that contributed to and resulted in non-compliance. Within the 30-day timeline, LEAs' updated procedures were submitted to the Child Find manager via the FTP to substantiate the required changes. LDOE staff reviewed each LEA's Plan of Action to determine if the LEA had revised its policies, practices, and procedures to ensure compliance and/or correct implementation of timely evaluations. Because students’ special education history is comprehensive in eSER, after the LEA reported the correction, Louisiana used the data reporting system to verify that each evaluation was completed, although late, and reviewed subsequent updated data to verify that all LEAs were correctly implementing the regulatory requirements and achieved 100% compliance using updated, subsequent data from eSER.</w:t>
      </w:r>
      <w:r w:rsidRPr="00781112">
        <w:rPr>
          <w:rFonts w:cs="Arial"/>
          <w:color w:val="000000" w:themeColor="text1"/>
          <w:szCs w:val="16"/>
        </w:rPr>
        <w:br/>
      </w:r>
      <w:r w:rsidRPr="00781112">
        <w:rPr>
          <w:rFonts w:cs="Arial"/>
          <w:color w:val="000000" w:themeColor="text1"/>
          <w:szCs w:val="16"/>
        </w:rPr>
        <w:br/>
        <w:t>The Child Find manager and IDEA program office ran subsequent Indicator 11/Child Find Performance reports and reviewed monitoring results to ensure all LEAs complied with evaluation timelines and regulatory requirements. Child Find collection data was reviewed from the IDEA compliance protocol for each LEA monitored by identifying whether evaluation timelines were met. LEAs were required to correct the noncompliance immediately once the monitoring report was received; however, the data served as a resource to the Child Find manager as it relates to systemic compliance and recommendations for professional development relative to Child Find.</w:t>
      </w:r>
      <w:r w:rsidRPr="00781112">
        <w:rPr>
          <w:rFonts w:cs="Arial"/>
          <w:color w:val="000000" w:themeColor="text1"/>
          <w:szCs w:val="16"/>
        </w:rPr>
        <w:br/>
      </w:r>
      <w:r w:rsidRPr="00781112">
        <w:rPr>
          <w:rFonts w:cs="Arial"/>
          <w:color w:val="000000" w:themeColor="text1"/>
          <w:szCs w:val="16"/>
        </w:rPr>
        <w:br/>
        <w:t xml:space="preserve">LDOE verified that each individual student-specific file and a subsequent file review based on updated data indicated 100% compliance within one year from written notification of non-compliance, consistent with OSEP QA 23-01; all LEAs were provided a close-out letter. </w:t>
      </w:r>
    </w:p>
    <w:p w14:paraId="35436354" w14:textId="5F2ED11F"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19A77FA" w14:textId="4B745BDF" w:rsidR="00326C0B" w:rsidRPr="00781112" w:rsidRDefault="002B7490" w:rsidP="009A755E">
      <w:pPr>
        <w:rPr>
          <w:rFonts w:cs="Arial"/>
          <w:color w:val="000000" w:themeColor="text1"/>
          <w:szCs w:val="16"/>
        </w:rPr>
      </w:pPr>
      <w:r w:rsidRPr="00781112">
        <w:rPr>
          <w:rFonts w:cs="Arial"/>
          <w:color w:val="000000" w:themeColor="text1"/>
          <w:szCs w:val="16"/>
        </w:rPr>
        <w:t>The State verified that each individual student case with noncompliance was reflected in the Child Find collection data and correctly implemented 34 CFR 300.301 based on the state review of collection data, and that each child received a completed evaluation, although late, for any child whose initial evaluation was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 xml:space="preserve">The SPP Indicator 11 report was generated to identify LEAs who did not meet 100% compliance. This data was also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examine their policies, practices, and procedures to ensure these were not the root cause of noncompliance and instructions to generate monthly reports to ensure the LEA was maintaining 100% compliance while correcting the instances of noncompliance identified within the notification. </w:t>
      </w:r>
      <w:r w:rsidRPr="00781112">
        <w:rPr>
          <w:rFonts w:cs="Arial"/>
          <w:color w:val="000000" w:themeColor="text1"/>
          <w:szCs w:val="16"/>
        </w:rPr>
        <w:br/>
      </w:r>
      <w:r w:rsidRPr="00781112">
        <w:rPr>
          <w:rFonts w:cs="Arial"/>
          <w:color w:val="000000" w:themeColor="text1"/>
          <w:szCs w:val="16"/>
        </w:rPr>
        <w:br/>
        <w:t xml:space="preserve">The State through a desk audit of previously corrected non-compliance confirmed using the date of completion that the students received their required evaluation even though it was late, consistent with OSEP QA 23-01, and all individual noncompliance was corrected for FFY 2020 within one year. </w:t>
      </w:r>
    </w:p>
    <w:p w14:paraId="21738CEB" w14:textId="23A1C83D"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2998A510" w14:textId="31DE89D1" w:rsidR="009A755E" w:rsidRPr="00781112" w:rsidRDefault="009A755E" w:rsidP="004369B2">
      <w:pPr>
        <w:rPr>
          <w:color w:val="000000" w:themeColor="text1"/>
        </w:rPr>
      </w:pPr>
      <w:r w:rsidRPr="00781112">
        <w:rPr>
          <w:b/>
          <w:color w:val="000000" w:themeColor="text1"/>
        </w:rPr>
        <w:t>Findings of Noncompliance Verified as Corrected</w:t>
      </w:r>
    </w:p>
    <w:p w14:paraId="60010DC5" w14:textId="22197DA3"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304A849" w14:textId="3F42B0C6" w:rsidR="00596F83" w:rsidRPr="00781112" w:rsidRDefault="00596F83" w:rsidP="00596F83">
      <w:pPr>
        <w:rPr>
          <w:rFonts w:cs="Arial"/>
          <w:color w:val="000000" w:themeColor="text1"/>
          <w:szCs w:val="16"/>
        </w:rPr>
      </w:pPr>
      <w:r w:rsidRPr="00781112">
        <w:rPr>
          <w:rFonts w:cs="Arial"/>
          <w:color w:val="000000" w:themeColor="text1"/>
          <w:szCs w:val="16"/>
        </w:rPr>
        <w:t xml:space="preserve">In addition to the child-specific correction, the LDOE required all LEAs identified with noncompliance to examine their policies, practices and procedures, conduct a root cause analysis, and submit a Plan of Action, to the LDOE Child Find manager. The plan included the students whose evaluation exceeded the 60-day timeline, the number of days, the reason the timeline was not met, how it could have been prevented, how the noncompliance was corrected and the personnel responsible. The Child Find manager was in continuous communication with each LEA collecting and tracking all details and documentation. </w:t>
      </w:r>
      <w:r w:rsidRPr="00781112">
        <w:rPr>
          <w:rFonts w:cs="Arial"/>
          <w:color w:val="000000" w:themeColor="text1"/>
          <w:szCs w:val="16"/>
        </w:rPr>
        <w:br/>
      </w:r>
      <w:r w:rsidRPr="00781112">
        <w:rPr>
          <w:rFonts w:cs="Arial"/>
          <w:color w:val="000000" w:themeColor="text1"/>
          <w:szCs w:val="16"/>
        </w:rPr>
        <w:br/>
        <w:t>In any instance whereby an LEA was found to be non-compliant, the LDOE required each LEA to revise its current policies, practices, and procedures that contributed to and resulted in non-compliance. Within the 30-day timeline, LEAs' updated procedures were submitted to the Child Find manager via the FTP to substantiate the required changes. LDOE staff reviewed each LEA's Plan of Action to determine if the LEA had revised its policies, practices, and procedures to ensure compliance and/or correct implementation of timely evaluations. Because students’ special education history is comprehensive in eSER, after the LEA reported the correction, Louisiana used the data reporting system to verify that each evaluation was completed, although late, and reviewed subsequent updated data to verify that all LEAs were correctly implementing the regulatory requirements and achieved 100% compliance using updated, subsequent data from eSER.</w:t>
      </w:r>
      <w:r w:rsidRPr="00781112">
        <w:rPr>
          <w:rFonts w:cs="Arial"/>
          <w:color w:val="000000" w:themeColor="text1"/>
          <w:szCs w:val="16"/>
        </w:rPr>
        <w:br/>
      </w:r>
      <w:r w:rsidRPr="00781112">
        <w:rPr>
          <w:rFonts w:cs="Arial"/>
          <w:color w:val="000000" w:themeColor="text1"/>
          <w:szCs w:val="16"/>
        </w:rPr>
        <w:br/>
        <w:t xml:space="preserve">The Child Find manager and IDEA program office ran subsequent Indicator 11/Child Find Performance reports and reviewed monitoring results to ensure all LEAs complied with evaluation timelines and regulatory requirements. Child Find collection data was reviewed from the IDEA compliance </w:t>
      </w:r>
      <w:r w:rsidRPr="00781112">
        <w:rPr>
          <w:rFonts w:cs="Arial"/>
          <w:color w:val="000000" w:themeColor="text1"/>
          <w:szCs w:val="16"/>
        </w:rPr>
        <w:lastRenderedPageBreak/>
        <w:t>protocol for each LEA monitored by identifying whether evaluation timelines were met. LEAs were required to correct the noncompliance immediately once the monitoring report was received; however, the data served as a resource to the Child Find manager as it relates to systemic compliance and recommendations for professional development relative to Child Find.</w:t>
      </w:r>
      <w:r w:rsidRPr="00781112">
        <w:rPr>
          <w:rFonts w:cs="Arial"/>
          <w:color w:val="000000" w:themeColor="text1"/>
          <w:szCs w:val="16"/>
        </w:rPr>
        <w:br/>
      </w:r>
      <w:r w:rsidRPr="00781112">
        <w:rPr>
          <w:rFonts w:cs="Arial"/>
          <w:color w:val="000000" w:themeColor="text1"/>
          <w:szCs w:val="16"/>
        </w:rPr>
        <w:br/>
        <w:t xml:space="preserve">LDOE verified that each individual student-specific file and a subsequent file review based on updated data indicated 100% compliance within one year from written notification of non-compliance, consistent with OSEP QA 23-01; all LEAs were provided a close-out letter. </w:t>
      </w:r>
    </w:p>
    <w:p w14:paraId="52984069" w14:textId="46F594DB"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162874C" w14:textId="178AD3EE" w:rsidR="00326C0B" w:rsidRPr="00781112" w:rsidRDefault="002B7490" w:rsidP="009A755E">
      <w:pPr>
        <w:rPr>
          <w:rFonts w:cs="Arial"/>
          <w:color w:val="000000" w:themeColor="text1"/>
          <w:szCs w:val="16"/>
        </w:rPr>
      </w:pPr>
      <w:r w:rsidRPr="00781112">
        <w:rPr>
          <w:rFonts w:cs="Arial"/>
          <w:color w:val="000000" w:themeColor="text1"/>
          <w:szCs w:val="16"/>
        </w:rPr>
        <w:t>The State verified that each individual student case with noncompliance was reflected in the Child Find collection data and correctly implemented 34 CFR 300.301 based on the state review of collection data, and that each child received a completed evaluation, although late, for any child whose initial evaluation was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 xml:space="preserve">The SPP Indicator 11 report was generated to identify LEAs who did not meet 100% compliance. This data was also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examine their policies, practices, and procedures to ensure these were not the root cause of noncompliance and instructions to generate monthly reports to ensure the LEA was maintaining 100% compliance while correcting the instances of noncompliance identified within the notification. </w:t>
      </w:r>
      <w:r w:rsidRPr="00781112">
        <w:rPr>
          <w:rFonts w:cs="Arial"/>
          <w:color w:val="000000" w:themeColor="text1"/>
          <w:szCs w:val="16"/>
        </w:rPr>
        <w:br/>
      </w:r>
      <w:r w:rsidRPr="00781112">
        <w:rPr>
          <w:rFonts w:cs="Arial"/>
          <w:color w:val="000000" w:themeColor="text1"/>
          <w:szCs w:val="16"/>
        </w:rPr>
        <w:br/>
        <w:t>The State required that each LEA submit evidence of all initial evaluations conducted and completed within their jurisdiction. The State reviewed the Child Find collection data related to this indicator to confirm that each student for whom an LEA did not complete their initial evaluation in FFY 2019 within a 60-day timeline had a subsequent eligibility determination made.</w:t>
      </w:r>
      <w:r w:rsidRPr="00781112">
        <w:rPr>
          <w:rFonts w:cs="Arial"/>
          <w:color w:val="000000" w:themeColor="text1"/>
          <w:szCs w:val="16"/>
        </w:rPr>
        <w:br/>
      </w:r>
      <w:r w:rsidRPr="00781112">
        <w:rPr>
          <w:rFonts w:cs="Arial"/>
          <w:color w:val="000000" w:themeColor="text1"/>
          <w:szCs w:val="16"/>
        </w:rPr>
        <w:br/>
        <w:t xml:space="preserve">The State through a desk audit of previously corrected noncompliance confirmed using the date of completion that the students received their required evaluation even though it was late, consistent with OSEP QA 23-01, and all individual noncompliance was corrected for FFY 2019 within one year. </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In addition, the State must demonstrate, in the FFY 2023 SPP/APR, that the remaining 68 uncorrected findings of noncompliance identified in FFY 2021, 1,584 uncorrected findings of noncompliance identified in FFY 2020, and 247 uncorrected findings of noncompliance identified in FFY 2019 were corrected.  When reporting on the correction of noncompliance, the State must report, in the FFY 2023 SPP/APR, that it has verified that each LEA with findings of noncompliance identified in FFY 2022 and each LEA with remaining noncompliance identified in FFYs 2021, 2020, and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314020BE" w14:textId="77777777" w:rsidR="009F69E7" w:rsidRPr="00781112" w:rsidRDefault="009F69E7" w:rsidP="004E2151">
      <w:pPr>
        <w:rPr>
          <w:rFonts w:cs="Arial"/>
          <w:color w:val="000000" w:themeColor="text1"/>
          <w:szCs w:val="16"/>
        </w:rPr>
      </w:pPr>
    </w:p>
    <w:p w14:paraId="35EEEBCC" w14:textId="4F2647C3" w:rsidR="004E2151" w:rsidRPr="00781112" w:rsidRDefault="007639D7" w:rsidP="004369B2">
      <w:pPr>
        <w:rPr>
          <w:b/>
          <w:color w:val="000000" w:themeColor="text1"/>
        </w:rPr>
      </w:pPr>
      <w:r>
        <w:rPr>
          <w:b/>
          <w:color w:val="000000" w:themeColor="text1"/>
        </w:rPr>
        <w:t>Response to actions required in FFY 2022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Louisiana has provided a more detailed, clarifying explanation addressing uncorrected noncompliance for FFY 2022, FFY 2021, FFY 2020 and FFY 2019 in the respective areas within Indicator 11.</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71"/>
      <w:bookmarkEnd w:id="72"/>
      <w:bookmarkEnd w:id="73"/>
    </w:p>
    <w:p w14:paraId="435B75C0" w14:textId="5FEEFEAC" w:rsidR="00652135" w:rsidRPr="002C274F" w:rsidRDefault="00652135" w:rsidP="002C274F">
      <w:pPr>
        <w:rPr>
          <w:b/>
          <w:bCs/>
          <w:sz w:val="20"/>
          <w:szCs w:val="20"/>
        </w:rPr>
      </w:pPr>
      <w:r w:rsidRPr="002C274F">
        <w:rPr>
          <w:b/>
          <w:bCs/>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4" w:name="_Toc384383358"/>
      <w:bookmarkStart w:id="75"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6" w:name="_Hlk150864384"/>
      <w:r w:rsidR="005F55E8" w:rsidRPr="005F55E8">
        <w:rPr>
          <w:rFonts w:cs="Arial"/>
          <w:color w:val="000000" w:themeColor="text1"/>
          <w:szCs w:val="16"/>
        </w:rPr>
        <w:t>child-specific and regulatory/systemic</w:t>
      </w:r>
      <w:r w:rsidR="005F55E8">
        <w:rPr>
          <w:sz w:val="20"/>
          <w:szCs w:val="14"/>
        </w:rPr>
        <w:t xml:space="preserve"> </w:t>
      </w:r>
      <w:bookmarkEnd w:id="7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179FD8E1"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A39D7E8"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82D7424" w14:textId="77777777" w:rsidR="00655489" w:rsidRPr="00781112" w:rsidRDefault="00655489" w:rsidP="00286BDF">
      <w:pPr>
        <w:rPr>
          <w:rFonts w:cs="Arial"/>
          <w:color w:val="000000" w:themeColor="text1"/>
          <w:szCs w:val="16"/>
        </w:rPr>
      </w:pPr>
    </w:p>
    <w:p w14:paraId="79824C1D" w14:textId="3C301685" w:rsidR="00FE7D29" w:rsidRPr="00781112" w:rsidRDefault="00056350" w:rsidP="00123D76">
      <w:pPr>
        <w:pStyle w:val="Heading2"/>
      </w:pPr>
      <w:bookmarkStart w:id="77" w:name="_Toc384383359"/>
      <w:bookmarkStart w:id="78" w:name="_Toc392159327"/>
      <w:bookmarkEnd w:id="74"/>
      <w:bookmarkEnd w:id="75"/>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64.60%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7"/>
          <w:bookmarkEnd w:id="78"/>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97.20%</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96.99%</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82.78%</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83.15%</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98.82%</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397"/>
        <w:gridCol w:w="2570"/>
        <w:gridCol w:w="2570"/>
      </w:tblGrid>
      <w:tr w:rsidR="007B2985" w:rsidRPr="00781112" w14:paraId="41D3AE7A" w14:textId="578794F0" w:rsidTr="00FE4611">
        <w:trPr>
          <w:trHeight w:val="328"/>
        </w:trPr>
        <w:tc>
          <w:tcPr>
            <w:tcW w:w="406" w:type="pct"/>
            <w:tcBorders>
              <w:bottom w:val="single" w:sz="4" w:space="0" w:color="auto"/>
            </w:tcBorders>
            <w:shd w:val="clear" w:color="auto" w:fill="auto"/>
          </w:tcPr>
          <w:p w14:paraId="7786D02D" w14:textId="77777777" w:rsidR="007B2985" w:rsidRPr="00781112" w:rsidRDefault="007B2985" w:rsidP="00AF574F">
            <w:pPr>
              <w:jc w:val="center"/>
              <w:rPr>
                <w:b/>
                <w:color w:val="000000" w:themeColor="text1"/>
              </w:rPr>
            </w:pPr>
            <w:r w:rsidRPr="00781112">
              <w:rPr>
                <w:b/>
                <w:color w:val="000000" w:themeColor="text1"/>
              </w:rPr>
              <w:t>FFY</w:t>
            </w:r>
          </w:p>
        </w:tc>
        <w:tc>
          <w:tcPr>
            <w:tcW w:w="1461" w:type="pct"/>
            <w:shd w:val="clear" w:color="auto" w:fill="auto"/>
          </w:tcPr>
          <w:p w14:paraId="09ED5838" w14:textId="77777777" w:rsidR="007B2985" w:rsidRPr="00781112" w:rsidRDefault="007B2985" w:rsidP="00AF574F">
            <w:pPr>
              <w:jc w:val="center"/>
              <w:rPr>
                <w:b/>
                <w:color w:val="000000" w:themeColor="text1"/>
              </w:rPr>
            </w:pPr>
            <w:r w:rsidRPr="00781112">
              <w:rPr>
                <w:b/>
                <w:color w:val="000000" w:themeColor="text1"/>
              </w:rPr>
              <w:t>2023</w:t>
            </w:r>
          </w:p>
        </w:tc>
        <w:tc>
          <w:tcPr>
            <w:tcW w:w="1566" w:type="pct"/>
          </w:tcPr>
          <w:p w14:paraId="0769903C" w14:textId="05A227DB" w:rsidR="007B2985" w:rsidRPr="00781112" w:rsidRDefault="007B2985" w:rsidP="00AF574F">
            <w:pPr>
              <w:jc w:val="center"/>
              <w:rPr>
                <w:b/>
                <w:color w:val="000000" w:themeColor="text1"/>
              </w:rPr>
            </w:pPr>
            <w:r w:rsidRPr="00781112">
              <w:rPr>
                <w:rFonts w:cs="Arial"/>
                <w:b/>
                <w:color w:val="000000" w:themeColor="text1"/>
                <w:szCs w:val="16"/>
              </w:rPr>
              <w:t>2024</w:t>
            </w:r>
          </w:p>
        </w:tc>
        <w:tc>
          <w:tcPr>
            <w:tcW w:w="1566" w:type="pct"/>
          </w:tcPr>
          <w:p w14:paraId="77CF077D" w14:textId="38DFC132" w:rsidR="007B2985" w:rsidRPr="00781112" w:rsidRDefault="007B2985" w:rsidP="00AF574F">
            <w:pPr>
              <w:jc w:val="center"/>
              <w:rPr>
                <w:b/>
                <w:color w:val="000000" w:themeColor="text1"/>
              </w:rPr>
            </w:pPr>
            <w:r w:rsidRPr="00781112">
              <w:rPr>
                <w:rFonts w:cs="Arial"/>
                <w:b/>
                <w:color w:val="000000" w:themeColor="text1"/>
                <w:szCs w:val="16"/>
              </w:rPr>
              <w:t>2025</w:t>
            </w:r>
          </w:p>
        </w:tc>
      </w:tr>
      <w:tr w:rsidR="007B2985" w:rsidRPr="00781112" w14:paraId="2B267817" w14:textId="2A03C05D" w:rsidTr="00FE4611">
        <w:trPr>
          <w:trHeight w:val="335"/>
        </w:trPr>
        <w:tc>
          <w:tcPr>
            <w:tcW w:w="406" w:type="pct"/>
            <w:shd w:val="clear" w:color="auto" w:fill="auto"/>
            <w:vAlign w:val="center"/>
          </w:tcPr>
          <w:p w14:paraId="70D956A8" w14:textId="6CD3BD29" w:rsidR="007B2985" w:rsidRPr="00781112" w:rsidRDefault="007B2985"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CDE7127" w14:textId="59D1386F" w:rsidR="007B2985" w:rsidRPr="00781112" w:rsidRDefault="007B2985" w:rsidP="00AF574F">
            <w:pPr>
              <w:jc w:val="center"/>
              <w:rPr>
                <w:rFonts w:cs="Arial"/>
                <w:color w:val="000000" w:themeColor="text1"/>
                <w:szCs w:val="16"/>
              </w:rPr>
            </w:pPr>
            <w:r w:rsidRPr="00781112">
              <w:rPr>
                <w:rFonts w:cs="Arial"/>
                <w:color w:val="000000" w:themeColor="text1"/>
                <w:szCs w:val="16"/>
              </w:rPr>
              <w:t>100%</w:t>
            </w:r>
          </w:p>
        </w:tc>
        <w:tc>
          <w:tcPr>
            <w:tcW w:w="1566" w:type="pct"/>
          </w:tcPr>
          <w:p w14:paraId="6CF78C3F" w14:textId="1B45F3AE" w:rsidR="007B2985" w:rsidRPr="00781112" w:rsidRDefault="007B2985" w:rsidP="00AF574F">
            <w:pPr>
              <w:jc w:val="center"/>
              <w:rPr>
                <w:rFonts w:cs="Arial"/>
                <w:color w:val="000000" w:themeColor="text1"/>
                <w:szCs w:val="16"/>
              </w:rPr>
            </w:pPr>
            <w:r w:rsidRPr="00781112">
              <w:rPr>
                <w:color w:val="000000" w:themeColor="text1"/>
                <w:szCs w:val="16"/>
              </w:rPr>
              <w:t>100%</w:t>
            </w:r>
          </w:p>
        </w:tc>
        <w:tc>
          <w:tcPr>
            <w:tcW w:w="1566" w:type="pct"/>
          </w:tcPr>
          <w:p w14:paraId="6FCC2C45" w14:textId="5131688B" w:rsidR="007B2985" w:rsidRPr="00781112" w:rsidRDefault="007B2985"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4FE7C8" w:rsidR="00634AD8" w:rsidRPr="00781112" w:rsidRDefault="0047313F" w:rsidP="004369B2">
      <w:pPr>
        <w:rPr>
          <w:color w:val="000000" w:themeColor="text1"/>
        </w:rPr>
      </w:pPr>
      <w:r>
        <w:rPr>
          <w:b/>
          <w:color w:val="000000" w:themeColor="text1"/>
        </w:rPr>
        <w:lastRenderedPageBreak/>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1,402</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10</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1,265</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69</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50</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vAlign w:val="bottom"/>
          </w:tcPr>
          <w:p w14:paraId="58F547FF" w14:textId="167BDEC4"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vAlign w:val="bottom"/>
          </w:tcPr>
          <w:p w14:paraId="36BD2BCA" w14:textId="291DC964" w:rsidR="00B1652C" w:rsidRPr="006D0A52" w:rsidRDefault="00B1652C" w:rsidP="00B1652C">
            <w:pPr>
              <w:jc w:val="center"/>
              <w:rPr>
                <w:rFonts w:cs="Arial"/>
                <w:b/>
                <w:bCs/>
                <w:color w:val="000000" w:themeColor="text1"/>
                <w:szCs w:val="16"/>
              </w:rPr>
            </w:pPr>
            <w:r w:rsidRPr="006D0A52">
              <w:rPr>
                <w:b/>
                <w:bCs/>
              </w:rPr>
              <w:t>FFY 2023 Target</w:t>
            </w:r>
          </w:p>
        </w:tc>
        <w:tc>
          <w:tcPr>
            <w:tcW w:w="595" w:type="pct"/>
            <w:shd w:val="clear" w:color="auto" w:fill="auto"/>
            <w:vAlign w:val="bottom"/>
          </w:tcPr>
          <w:p w14:paraId="0030B6C4" w14:textId="76C3C00A" w:rsidR="00B1652C" w:rsidRPr="006D0A52" w:rsidRDefault="00B1652C" w:rsidP="00B1652C">
            <w:pPr>
              <w:jc w:val="center"/>
              <w:rPr>
                <w:rFonts w:cs="Arial"/>
                <w:b/>
                <w:bCs/>
                <w:color w:val="000000" w:themeColor="text1"/>
                <w:szCs w:val="16"/>
              </w:rPr>
            </w:pPr>
            <w:r w:rsidRPr="006D0A52">
              <w:rPr>
                <w:b/>
                <w:bCs/>
              </w:rPr>
              <w:t>FFY 2023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1,265</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1,273</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98.82%</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99.37%</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8</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Louisiana has identified 8 children who were served in Part C and referred to Part B for eligibility determination that are not included in the counts provided in sections b, c, d, e, or f. Below are the counts by range of day for evaluations that were completed after the third birthday. </w:t>
      </w:r>
      <w:r w:rsidRPr="00781112">
        <w:rPr>
          <w:bCs/>
          <w:color w:val="000000" w:themeColor="text1"/>
        </w:rPr>
        <w:br/>
      </w:r>
      <w:r w:rsidRPr="00781112">
        <w:rPr>
          <w:bCs/>
          <w:color w:val="000000" w:themeColor="text1"/>
        </w:rPr>
        <w:br/>
        <w:t xml:space="preserve">(1) 1-15 days </w:t>
      </w:r>
      <w:r w:rsidRPr="00781112">
        <w:rPr>
          <w:bCs/>
          <w:color w:val="000000" w:themeColor="text1"/>
        </w:rPr>
        <w:br/>
        <w:t>(0) 16-30 days</w:t>
      </w:r>
      <w:r w:rsidRPr="00781112">
        <w:rPr>
          <w:bCs/>
          <w:color w:val="000000" w:themeColor="text1"/>
        </w:rPr>
        <w:br/>
        <w:t>(0) 31-45 days</w:t>
      </w:r>
      <w:r w:rsidRPr="00781112">
        <w:rPr>
          <w:bCs/>
          <w:color w:val="000000" w:themeColor="text1"/>
        </w:rPr>
        <w:br/>
        <w:t>(0) 46-60 days</w:t>
      </w:r>
      <w:r w:rsidRPr="00781112">
        <w:rPr>
          <w:bCs/>
          <w:color w:val="000000" w:themeColor="text1"/>
        </w:rPr>
        <w:br/>
        <w:t>(7) 60+ days</w:t>
      </w:r>
      <w:r w:rsidRPr="00781112">
        <w:rPr>
          <w:bCs/>
          <w:color w:val="000000" w:themeColor="text1"/>
        </w:rPr>
        <w:br/>
      </w:r>
      <w:r w:rsidRPr="00781112">
        <w:rPr>
          <w:bCs/>
          <w:color w:val="000000" w:themeColor="text1"/>
        </w:rPr>
        <w:br/>
        <w:t xml:space="preserve">The list provided by Early Steps under the Department of Health is uploaded into eSER and filters childrens' demographic data into parishes based on the addresses provided. This list does not transition into the eSER system for the IEP; therefore data managers keypunch all demographic data. In 6 of the instances across 5 parishes, the date of birth was entered incorrectly. In 1 instance the parish was closed for several days because of an inclement weather event, and the final instance was due to the child’s death prior to the completion of the evaluation. </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9" w:name="_Hlk20318414"/>
      <w:bookmarkEnd w:id="79"/>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Louisiana's special education data collection and warehousing tool is an enhanced version of its previous Special Education Reporting System (SER) tool, hence the acronym eSER. Steps of the evaluation process are captured as data points and are entered by the evaluation coordinator at the LEA level into eSER under each student's state-generated ID number. This system houses each student’s demographic data, location of jurisdiction, parent/guardian contact information, services that are provided special education activity, the exit transition plan, incidents, referrals, evaluation processes and the IEP. As the data is entered, based on business rules in the system, timelines are generated in eSER documenting the evaluation start date, report dissemination date, the exceptionality code, the due date and the number of business days the evaluation is past due, if applicable. Monthly, Early Steps, a division of the Department of Health, provides a list of students who are within 90 days of their third birthday. A super user uploads this information into eSER and it is disseminated to the LEAs through eSER based on the students’ addresses. The LEAs use these lists to make contact with the parent/guardians in an attempt to generate a smooth transition of student services from Part C to Part B. </w:t>
      </w:r>
      <w:r w:rsidRPr="00781112">
        <w:rPr>
          <w:rFonts w:cs="Arial"/>
          <w:color w:val="000000" w:themeColor="text1"/>
          <w:szCs w:val="16"/>
        </w:rPr>
        <w:br/>
      </w:r>
      <w:r w:rsidRPr="00781112">
        <w:rPr>
          <w:rFonts w:cs="Arial"/>
          <w:color w:val="000000" w:themeColor="text1"/>
          <w:szCs w:val="16"/>
        </w:rPr>
        <w:br/>
        <w:t xml:space="preserve">Annually at the state level, the Indicator 12 Detailed Report is generated from data in eSER for the full academic school year (for FFY23 July 1, 2023 - June 30, 2024) by super users who are clear to have access to student personally identifiable information (PII), and this report is provided to the Part B Data Manager. The report includes the LEA number and name, the student ID, the sponsor code and name, the transition meeting notification received date, the transition meeting date, the student’s age, the team meeting date, the service start date, the report dissemination date, the exceptionality code and name, days past compliance, implementation date, a flag indicating whether or not the IEP was completed by the 3rd birthday, and a flag indicating if services started within timeline. A version of this report can also be generated at the LEA level and is used to manage compliance locally. Additionally, the C to B Summary Report is available at the State and LEA level for managing compliance. It provides a quarterly report of compliance percentages. </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4EAB411C"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7852744" w14:textId="77777777" w:rsidR="00614992" w:rsidRDefault="00614992" w:rsidP="004369B2">
      <w:pPr>
        <w:rPr>
          <w:b/>
          <w:color w:val="000000" w:themeColor="text1"/>
        </w:rPr>
      </w:pPr>
    </w:p>
    <w:p w14:paraId="155373B8" w14:textId="1AEDA438" w:rsidR="009A755E" w:rsidRPr="00781112" w:rsidRDefault="00450F98" w:rsidP="004369B2">
      <w:pPr>
        <w:rPr>
          <w:color w:val="000000" w:themeColor="text1"/>
        </w:rPr>
      </w:pPr>
      <w:r>
        <w:rPr>
          <w:b/>
          <w:color w:val="000000" w:themeColor="text1"/>
        </w:rPr>
        <w:t>FFY 2022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In addition to the child-specific correction and after receipt of notification disseminated via the LDOE data systems' secure FTP, each LEA was required to submit an official Plan of Action to the 619 Coordinator. The plan included the students whose evaluation and IEP were not complete by the third birthday, the number of days, the reason the timeline was not met, how it could have been prevented, how the noncompliance was corrected and the personnel responsible. The 619 Coordinator was in constant communication gathering further details and documentation from each LEA. </w:t>
      </w:r>
      <w:r w:rsidRPr="00781112">
        <w:rPr>
          <w:rFonts w:cs="Arial"/>
          <w:color w:val="000000" w:themeColor="text1"/>
          <w:szCs w:val="16"/>
        </w:rPr>
        <w:br/>
      </w:r>
      <w:r w:rsidRPr="00781112">
        <w:rPr>
          <w:rFonts w:cs="Arial"/>
          <w:color w:val="000000" w:themeColor="text1"/>
          <w:szCs w:val="16"/>
        </w:rPr>
        <w:br/>
        <w:t xml:space="preserve">In any instance whereby an LEA was found to be non-compliant, the LDOE required each LEA to revise its current policies, practices, and procedures that contributed to and resulted in non-compliance. Within the 30-day timeline, each LEA's updated procedures were submitted to the 619 Coordinator via the FTP to substantiate the required changes. LDOE staff reviewed each LEA's Plan of Action to determine if the LEA had revised its policies, practices, and procedures to ensure compliance and/or correct implementation of eligibility and IEP development. Because students’ special education history is comprehensive in eSER, after each LEA reported the correction, Louisiana uses the data reporting system to verify the completion of evaluations, IEPs and current services that were not completed within the timeline to verify that each individual student with non-compliance was corrected, although late, and reviewed subsequent updated data to verify that all LEAs were correctly implementing regulatory requirements and achieved 100% compliance. </w:t>
      </w:r>
      <w:r w:rsidRPr="00781112">
        <w:rPr>
          <w:rFonts w:cs="Arial"/>
          <w:color w:val="000000" w:themeColor="text1"/>
          <w:szCs w:val="16"/>
        </w:rPr>
        <w:br/>
      </w:r>
      <w:r w:rsidRPr="00781112">
        <w:rPr>
          <w:rFonts w:cs="Arial"/>
          <w:color w:val="000000" w:themeColor="text1"/>
          <w:szCs w:val="16"/>
        </w:rPr>
        <w:br/>
        <w:t xml:space="preserve">The 619 Coordinator in conjunction with the IDEA program office ran subsequent C to B and Indicator 12 Detail reports to ensure all LEAs complied with evaluation timelines, IEP timelines and regulatory requirements. </w:t>
      </w:r>
      <w:r w:rsidRPr="00781112">
        <w:rPr>
          <w:rFonts w:cs="Arial"/>
          <w:color w:val="000000" w:themeColor="text1"/>
          <w:szCs w:val="16"/>
        </w:rPr>
        <w:br/>
      </w:r>
      <w:r w:rsidRPr="00781112">
        <w:rPr>
          <w:rFonts w:cs="Arial"/>
          <w:color w:val="000000" w:themeColor="text1"/>
          <w:szCs w:val="16"/>
        </w:rPr>
        <w:br/>
        <w:t>LDOE verified that each individual student-specific file and a subsequent file review based on updated data indicated 100% compliance within one year from the written notification of noncompliance, consistent with OSEP QA 23-01; all LEAs were provided a close-out letter.</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The State verified that each individual student case with non-compliance was reflected in the C to B data and that the LEA correctly implemented the regulatory requirement based on the state review of collection data as reflected in an updated, subsequent C to B and Indicator 12 Detail Report, and that each child received a completed evaluation, IEP and open services, although late, for any child whose initial evaluation and IEP were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The C to B report was generated to identify child-specific instances in LEAs who did not meet 100% compliance and the Indicator 12 Detail report was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examining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sidRPr="00781112">
        <w:rPr>
          <w:rFonts w:cs="Arial"/>
          <w:color w:val="000000" w:themeColor="text1"/>
          <w:szCs w:val="16"/>
        </w:rPr>
        <w:br/>
      </w:r>
      <w:r w:rsidRPr="00781112">
        <w:rPr>
          <w:rFonts w:cs="Arial"/>
          <w:color w:val="000000" w:themeColor="text1"/>
          <w:szCs w:val="16"/>
        </w:rPr>
        <w:br/>
        <w:t>The State required that each LEA submit evidence of all evaluations conducted, eligibility determination, and IEPs completed within their jurisdiction. The State reviewed the C to B collection data related to this indicator to confirm that each student for whom an LEA did not complete their evaluation and IEP within the timeline had a subsequent eligibility determination made and IEP developed.</w:t>
      </w:r>
      <w:r w:rsidRPr="00781112">
        <w:rPr>
          <w:rFonts w:cs="Arial"/>
          <w:color w:val="000000" w:themeColor="text1"/>
          <w:szCs w:val="16"/>
        </w:rPr>
        <w:br/>
      </w:r>
      <w:r w:rsidRPr="00781112">
        <w:rPr>
          <w:rFonts w:cs="Arial"/>
          <w:color w:val="000000" w:themeColor="text1"/>
          <w:szCs w:val="16"/>
        </w:rPr>
        <w:br/>
        <w:t>The State through a desk audit of previously corrected noncompliance confirmed using the date of completion that the students received their required evaluation and IEP, even though it was late, consistent with OSEP QA 23-01, and all individual noncompliance was corrected within one year.</w:t>
      </w:r>
    </w:p>
    <w:p w14:paraId="1A909BBB" w14:textId="77777777" w:rsidR="00455889" w:rsidRPr="00781112" w:rsidRDefault="00455889" w:rsidP="004369B2">
      <w:pPr>
        <w:rPr>
          <w:color w:val="000000" w:themeColor="text1"/>
        </w:rPr>
      </w:pPr>
    </w:p>
    <w:p w14:paraId="1C75EC2F" w14:textId="06D7FE3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2740D3A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360" w:type="pct"/>
            <w:shd w:val="clear" w:color="auto" w:fill="auto"/>
          </w:tcPr>
          <w:p w14:paraId="69625405" w14:textId="789965CC" w:rsidR="009A755E" w:rsidRPr="00781112" w:rsidRDefault="002B7490">
            <w:pPr>
              <w:jc w:val="center"/>
              <w:rPr>
                <w:rFonts w:cs="Arial"/>
                <w:noProof/>
                <w:color w:val="000000" w:themeColor="text1"/>
                <w:szCs w:val="16"/>
              </w:rPr>
            </w:pPr>
            <w:r w:rsidRPr="00781112">
              <w:rPr>
                <w:rFonts w:cs="Arial"/>
                <w:color w:val="000000" w:themeColor="text1"/>
                <w:szCs w:val="16"/>
              </w:rPr>
              <w:t>188</w:t>
            </w:r>
          </w:p>
        </w:tc>
        <w:tc>
          <w:tcPr>
            <w:tcW w:w="1355" w:type="pct"/>
            <w:shd w:val="clear" w:color="auto" w:fill="auto"/>
          </w:tcPr>
          <w:p w14:paraId="7C3E37A7" w14:textId="61202FB3" w:rsidR="009A755E" w:rsidRPr="00781112" w:rsidRDefault="002B7490">
            <w:pPr>
              <w:jc w:val="center"/>
              <w:rPr>
                <w:rFonts w:cs="Arial"/>
                <w:noProof/>
                <w:color w:val="000000" w:themeColor="text1"/>
                <w:szCs w:val="16"/>
              </w:rPr>
            </w:pPr>
            <w:r w:rsidRPr="00781112">
              <w:rPr>
                <w:rFonts w:cs="Arial"/>
                <w:color w:val="000000" w:themeColor="text1"/>
                <w:szCs w:val="16"/>
              </w:rPr>
              <w:t>188</w:t>
            </w:r>
          </w:p>
        </w:tc>
        <w:tc>
          <w:tcPr>
            <w:tcW w:w="1269" w:type="pct"/>
            <w:shd w:val="clear" w:color="auto" w:fill="auto"/>
          </w:tcPr>
          <w:p w14:paraId="79E9FAD3" w14:textId="3428603A"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7F75F2C7" w14:textId="77777777" w:rsidTr="00AB0D6A">
        <w:tc>
          <w:tcPr>
            <w:tcW w:w="1016" w:type="pct"/>
            <w:shd w:val="clear" w:color="auto" w:fill="auto"/>
          </w:tcPr>
          <w:p w14:paraId="147AA631" w14:textId="76843337" w:rsidR="009A755E" w:rsidRPr="00781112" w:rsidRDefault="00A5601C" w:rsidP="00A018D4">
            <w:pPr>
              <w:jc w:val="center"/>
              <w:rPr>
                <w:rFonts w:cs="Arial"/>
                <w:color w:val="000000" w:themeColor="text1"/>
                <w:szCs w:val="16"/>
              </w:rPr>
            </w:pPr>
            <w:r w:rsidRPr="00781112">
              <w:rPr>
                <w:rFonts w:cs="Arial"/>
                <w:color w:val="000000" w:themeColor="text1"/>
                <w:szCs w:val="16"/>
              </w:rPr>
              <w:t>FFY 2020</w:t>
            </w:r>
          </w:p>
        </w:tc>
        <w:tc>
          <w:tcPr>
            <w:tcW w:w="1360" w:type="pct"/>
            <w:shd w:val="clear" w:color="auto" w:fill="auto"/>
          </w:tcPr>
          <w:p w14:paraId="404653A8" w14:textId="163A8B38" w:rsidR="009A755E" w:rsidRPr="00781112" w:rsidRDefault="002B7490">
            <w:pPr>
              <w:jc w:val="center"/>
              <w:rPr>
                <w:rFonts w:cs="Arial"/>
                <w:noProof/>
                <w:color w:val="000000" w:themeColor="text1"/>
                <w:szCs w:val="16"/>
              </w:rPr>
            </w:pPr>
            <w:r w:rsidRPr="00781112">
              <w:rPr>
                <w:rFonts w:cs="Arial"/>
                <w:color w:val="000000" w:themeColor="text1"/>
                <w:szCs w:val="16"/>
              </w:rPr>
              <w:t>22</w:t>
            </w:r>
          </w:p>
        </w:tc>
        <w:tc>
          <w:tcPr>
            <w:tcW w:w="1355" w:type="pct"/>
            <w:shd w:val="clear" w:color="auto" w:fill="auto"/>
          </w:tcPr>
          <w:p w14:paraId="6504342A" w14:textId="13575C8A" w:rsidR="009A755E" w:rsidRPr="00781112" w:rsidRDefault="002B7490">
            <w:pPr>
              <w:jc w:val="center"/>
              <w:rPr>
                <w:rFonts w:cs="Arial"/>
                <w:noProof/>
                <w:color w:val="000000" w:themeColor="text1"/>
                <w:szCs w:val="16"/>
              </w:rPr>
            </w:pPr>
            <w:r w:rsidRPr="00781112">
              <w:rPr>
                <w:rFonts w:cs="Arial"/>
                <w:color w:val="000000" w:themeColor="text1"/>
                <w:szCs w:val="16"/>
              </w:rPr>
              <w:t>22</w:t>
            </w:r>
          </w:p>
        </w:tc>
        <w:tc>
          <w:tcPr>
            <w:tcW w:w="1269" w:type="pct"/>
            <w:shd w:val="clear" w:color="auto" w:fill="auto"/>
          </w:tcPr>
          <w:p w14:paraId="6D520AD1" w14:textId="4947031C"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2D4810B4" w14:textId="77777777" w:rsidTr="00AB0D6A">
        <w:tc>
          <w:tcPr>
            <w:tcW w:w="1016" w:type="pct"/>
            <w:shd w:val="clear" w:color="auto" w:fill="auto"/>
          </w:tcPr>
          <w:p w14:paraId="6AEFAA10" w14:textId="16E2E3E6" w:rsidR="009A755E" w:rsidRPr="00781112" w:rsidRDefault="00A5601C" w:rsidP="00A018D4">
            <w:pPr>
              <w:jc w:val="center"/>
              <w:rPr>
                <w:rFonts w:cs="Arial"/>
                <w:color w:val="000000" w:themeColor="text1"/>
                <w:szCs w:val="16"/>
              </w:rPr>
            </w:pPr>
            <w:r w:rsidRPr="00781112">
              <w:rPr>
                <w:rFonts w:cs="Arial"/>
                <w:color w:val="000000" w:themeColor="text1"/>
                <w:szCs w:val="16"/>
              </w:rPr>
              <w:t>FFY 2019</w:t>
            </w:r>
          </w:p>
        </w:tc>
        <w:tc>
          <w:tcPr>
            <w:tcW w:w="1360" w:type="pct"/>
            <w:shd w:val="clear" w:color="auto" w:fill="auto"/>
          </w:tcPr>
          <w:p w14:paraId="075C05B4" w14:textId="1672B0AC" w:rsidR="009A755E" w:rsidRPr="00781112" w:rsidRDefault="002B7490">
            <w:pPr>
              <w:jc w:val="center"/>
              <w:rPr>
                <w:rFonts w:cs="Arial"/>
                <w:noProof/>
                <w:color w:val="000000" w:themeColor="text1"/>
                <w:szCs w:val="16"/>
              </w:rPr>
            </w:pPr>
            <w:r w:rsidRPr="00781112">
              <w:rPr>
                <w:rFonts w:cs="Arial"/>
                <w:color w:val="000000" w:themeColor="text1"/>
                <w:szCs w:val="16"/>
              </w:rPr>
              <w:t>33</w:t>
            </w:r>
          </w:p>
        </w:tc>
        <w:tc>
          <w:tcPr>
            <w:tcW w:w="1355" w:type="pct"/>
            <w:shd w:val="clear" w:color="auto" w:fill="auto"/>
          </w:tcPr>
          <w:p w14:paraId="70536E6E" w14:textId="5BE8198D" w:rsidR="009A755E" w:rsidRPr="00781112" w:rsidRDefault="002B7490">
            <w:pPr>
              <w:jc w:val="center"/>
              <w:rPr>
                <w:rFonts w:cs="Arial"/>
                <w:noProof/>
                <w:color w:val="000000" w:themeColor="text1"/>
                <w:szCs w:val="16"/>
              </w:rPr>
            </w:pPr>
            <w:r w:rsidRPr="00781112">
              <w:rPr>
                <w:rFonts w:cs="Arial"/>
                <w:color w:val="000000" w:themeColor="text1"/>
                <w:szCs w:val="16"/>
              </w:rPr>
              <w:t>33</w:t>
            </w:r>
          </w:p>
        </w:tc>
        <w:tc>
          <w:tcPr>
            <w:tcW w:w="1269" w:type="pct"/>
            <w:shd w:val="clear" w:color="auto" w:fill="auto"/>
          </w:tcPr>
          <w:p w14:paraId="4BC059F6" w14:textId="5DCA531E"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r w:rsidRPr="00781112">
              <w:rPr>
                <w:rFonts w:cs="Arial"/>
                <w:color w:val="000000" w:themeColor="text1"/>
                <w:szCs w:val="16"/>
              </w:rPr>
              <w:t>FFY 2018</w:t>
            </w: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r w:rsidRPr="00781112">
              <w:rPr>
                <w:rFonts w:cs="Arial"/>
                <w:color w:val="000000" w:themeColor="text1"/>
                <w:szCs w:val="16"/>
              </w:rPr>
              <w:t>13</w:t>
            </w: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r w:rsidRPr="00781112">
              <w:rPr>
                <w:rFonts w:cs="Arial"/>
                <w:color w:val="000000" w:themeColor="text1"/>
                <w:szCs w:val="16"/>
              </w:rPr>
              <w:t>13</w:t>
            </w: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r w:rsidRPr="00781112">
              <w:rPr>
                <w:rFonts w:cs="Arial"/>
                <w:color w:val="000000" w:themeColor="text1"/>
                <w:szCs w:val="16"/>
              </w:rPr>
              <w:t>0</w:t>
            </w: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4143DCC4" w14:textId="38B3123A"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40B5972B" w14:textId="35E39518" w:rsidR="009A755E" w:rsidRPr="00781112" w:rsidRDefault="009A755E" w:rsidP="004369B2">
      <w:pPr>
        <w:rPr>
          <w:color w:val="000000" w:themeColor="text1"/>
        </w:rPr>
      </w:pPr>
      <w:r w:rsidRPr="00781112">
        <w:rPr>
          <w:b/>
          <w:color w:val="000000" w:themeColor="text1"/>
        </w:rPr>
        <w:t>Findings of Noncompliance Verified as Corrected</w:t>
      </w:r>
    </w:p>
    <w:p w14:paraId="117514EE" w14:textId="5B6D492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01FFA1B" w14:textId="76DB8279" w:rsidR="00326C0B" w:rsidRPr="00781112" w:rsidRDefault="002B7490" w:rsidP="009A755E">
      <w:pPr>
        <w:rPr>
          <w:rFonts w:cs="Arial"/>
          <w:color w:val="000000" w:themeColor="text1"/>
          <w:szCs w:val="16"/>
        </w:rPr>
      </w:pPr>
      <w:r w:rsidRPr="00781112">
        <w:rPr>
          <w:rFonts w:cs="Arial"/>
          <w:color w:val="000000" w:themeColor="text1"/>
          <w:szCs w:val="16"/>
        </w:rPr>
        <w:t xml:space="preserve">In addition to the child-specific correction and after receipt of notification disseminated via the LDOE data systems' secure FTP, each LEA was required to submit an official Plan of Action to the 619 Coordinator. The plan included the students whose evaluation and IEP were not complete by the third birthday, the number of days, the reason the timeline was not met, how it could have been prevented, how the noncompliance was corrected and the personnel responsible. The 619 Coordinator was in constant communication gathering further details and documentation from each LEA. </w:t>
      </w:r>
      <w:r w:rsidRPr="00781112">
        <w:rPr>
          <w:rFonts w:cs="Arial"/>
          <w:color w:val="000000" w:themeColor="text1"/>
          <w:szCs w:val="16"/>
        </w:rPr>
        <w:br/>
      </w:r>
      <w:r w:rsidRPr="00781112">
        <w:rPr>
          <w:rFonts w:cs="Arial"/>
          <w:color w:val="000000" w:themeColor="text1"/>
          <w:szCs w:val="16"/>
        </w:rPr>
        <w:br/>
        <w:t xml:space="preserve">In any instance whereby an LEA was found to be non-compliant, the LDOE required each LEA to revise its current policies, practices, and procedures that contributed to and resulted in non-compliance. Within the 30-day timeline, each LEA's updated procedures were submitted to the 619 Coordinator via the FTP to substantiate the required changes. LDOE staff reviewed each LEA's Plan of Action to determine if the LEA had revised its policies, practices, and procedures to ensure compliance and/or correct implementation of eligibility and IEP development. Because students’ special education </w:t>
      </w:r>
      <w:r w:rsidRPr="00781112">
        <w:rPr>
          <w:rFonts w:cs="Arial"/>
          <w:color w:val="000000" w:themeColor="text1"/>
          <w:szCs w:val="16"/>
        </w:rPr>
        <w:lastRenderedPageBreak/>
        <w:t xml:space="preserve">history is comprehensive in eSER, after each LEA reported the correction, Louisiana uses the data reporting system to verify the completion of evaluations, IEPs and current services that were not completed within the timeline to verify that each individual student with non-compliance was corrected, although late, and reviewed subsequent updated data to verify that all LEAs were correctly implementing regulatory requirements and achieved 100% compliance. </w:t>
      </w:r>
      <w:r w:rsidRPr="00781112">
        <w:rPr>
          <w:rFonts w:cs="Arial"/>
          <w:color w:val="000000" w:themeColor="text1"/>
          <w:szCs w:val="16"/>
        </w:rPr>
        <w:br/>
      </w:r>
      <w:r w:rsidRPr="00781112">
        <w:rPr>
          <w:rFonts w:cs="Arial"/>
          <w:color w:val="000000" w:themeColor="text1"/>
          <w:szCs w:val="16"/>
        </w:rPr>
        <w:br/>
        <w:t xml:space="preserve">The 619 Coordinator in conjunction with the IDEA program office ran subsequent C to B and Indicator 12 Detail reports to ensure all LEAs complied with evaluation timelines, IEP timelines and regulatory requirements. </w:t>
      </w:r>
      <w:r w:rsidRPr="00781112">
        <w:rPr>
          <w:rFonts w:cs="Arial"/>
          <w:color w:val="000000" w:themeColor="text1"/>
          <w:szCs w:val="16"/>
        </w:rPr>
        <w:br/>
      </w:r>
      <w:r w:rsidRPr="00781112">
        <w:rPr>
          <w:rFonts w:cs="Arial"/>
          <w:color w:val="000000" w:themeColor="text1"/>
          <w:szCs w:val="16"/>
        </w:rPr>
        <w:br/>
        <w:t>LDOE verified that each individual student-specific file and a subsequent file review based on updated data indicated 100% compliance within one year from the written notification of noncompliance, consistent with OSEP QA 23-01; all LEAs were provided a close-out letter.</w:t>
      </w:r>
    </w:p>
    <w:p w14:paraId="6B03DC75" w14:textId="276B365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7BA6C56" w14:textId="41FA16F5" w:rsidR="00326C0B" w:rsidRPr="00781112" w:rsidRDefault="002B7490" w:rsidP="009A755E">
      <w:pPr>
        <w:rPr>
          <w:rFonts w:cs="Arial"/>
          <w:color w:val="000000" w:themeColor="text1"/>
          <w:szCs w:val="16"/>
        </w:rPr>
      </w:pPr>
      <w:r w:rsidRPr="00781112">
        <w:rPr>
          <w:rFonts w:cs="Arial"/>
          <w:color w:val="000000" w:themeColor="text1"/>
          <w:szCs w:val="16"/>
        </w:rPr>
        <w:t>The State verified that each individual student case with noncompliance was reflected in the C to B data and that the LEA correctly implemented the regulatory requirement based on the state review of collection data as reflected in an updated, subsequent C to B and Indicator 12 Detail Report, and that each child received a completed evaluation, IEP and open services, although late, for any child whose initial evaluation and IEP were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The C to B report was generated to identify child-specific instances in LEAs who did not meet 100% compliance and the Indicator 12 Detail report was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examining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sidRPr="00781112">
        <w:rPr>
          <w:rFonts w:cs="Arial"/>
          <w:color w:val="000000" w:themeColor="text1"/>
          <w:szCs w:val="16"/>
        </w:rPr>
        <w:br/>
      </w:r>
      <w:r w:rsidRPr="00781112">
        <w:rPr>
          <w:rFonts w:cs="Arial"/>
          <w:color w:val="000000" w:themeColor="text1"/>
          <w:szCs w:val="16"/>
        </w:rPr>
        <w:br/>
        <w:t>The State required that each LEA submit evidence of all evaluations conducted, eligibility determination, and IEPs completed within their jurisdiction. The State reviewed the C to B collection data related to this indicator to confirm that each student for whom an LEA did not complete their evaluation and IEP within the timeline had a subsequent eligibility determination made and IEP developed.</w:t>
      </w:r>
      <w:r w:rsidRPr="00781112">
        <w:rPr>
          <w:rFonts w:cs="Arial"/>
          <w:color w:val="000000" w:themeColor="text1"/>
          <w:szCs w:val="16"/>
        </w:rPr>
        <w:br/>
      </w:r>
      <w:r w:rsidRPr="00781112">
        <w:rPr>
          <w:rFonts w:cs="Arial"/>
          <w:color w:val="000000" w:themeColor="text1"/>
          <w:szCs w:val="16"/>
        </w:rPr>
        <w:br/>
        <w:t>The State through a desk audit of previously corrected noncompliance confirmed using the date of completion that the students received their required evaluation and IEP, even though it was late, consistent with OSEP QA 23-01, and all individual noncompliance was corrected within one year.</w:t>
      </w:r>
    </w:p>
    <w:p w14:paraId="2A379166" w14:textId="7C0D36C4"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5CB8FAB4" w14:textId="18A3533F" w:rsidR="009A755E" w:rsidRPr="00781112" w:rsidRDefault="009A755E" w:rsidP="004369B2">
      <w:pPr>
        <w:rPr>
          <w:color w:val="000000" w:themeColor="text1"/>
        </w:rPr>
      </w:pPr>
      <w:r w:rsidRPr="00781112">
        <w:rPr>
          <w:b/>
          <w:color w:val="000000" w:themeColor="text1"/>
        </w:rPr>
        <w:t>Findings of Noncompliance Verified as Corrected</w:t>
      </w:r>
    </w:p>
    <w:p w14:paraId="3F76B052" w14:textId="57101FE3"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8C6D22B" w14:textId="3B86B762" w:rsidR="00A5601C" w:rsidRPr="00781112" w:rsidRDefault="00A5601C" w:rsidP="00A5601C">
      <w:pPr>
        <w:rPr>
          <w:rFonts w:cs="Arial"/>
          <w:color w:val="000000" w:themeColor="text1"/>
          <w:szCs w:val="16"/>
        </w:rPr>
      </w:pPr>
      <w:r w:rsidRPr="00781112">
        <w:rPr>
          <w:rFonts w:cs="Arial"/>
          <w:color w:val="000000" w:themeColor="text1"/>
          <w:szCs w:val="16"/>
        </w:rPr>
        <w:t xml:space="preserve">In addition to the child-specific correction and after receipt of notification disseminated via the LDOE data systems' secure FTP, each LEA was required to submit an official Plan of Action to the 619 Coordinator. The plan included the students whose evaluation and IEP were not complete by the third birthday, the number of days, the reason the timeline was not met, how it could have been prevented, how the noncompliance was corrected and the personnel responsible. The 619 Coordinator was in constant communication gathering further details and documentation from each LEA. </w:t>
      </w:r>
      <w:r w:rsidRPr="00781112">
        <w:rPr>
          <w:rFonts w:cs="Arial"/>
          <w:color w:val="000000" w:themeColor="text1"/>
          <w:szCs w:val="16"/>
        </w:rPr>
        <w:br/>
      </w:r>
      <w:r w:rsidRPr="00781112">
        <w:rPr>
          <w:rFonts w:cs="Arial"/>
          <w:color w:val="000000" w:themeColor="text1"/>
          <w:szCs w:val="16"/>
        </w:rPr>
        <w:br/>
        <w:t xml:space="preserve">In any instance whereby an LEA was found to be non-compliant, the LDOE required each LEA to revise its current policies, practices, and procedures that contributed to and resulted in non-compliance. Within the 30-day timeline, each LEA's updated procedures were submitted to the 619 Coordinator via the FTP to substantiate the required changes. LDOE staff reviewed each LEA's Plan of Action to determine if the LEA had revised its policies, practices, and procedures to ensure compliance and/or correct implementation of eligibility and IEP development. Because students’ special education history is comprehensive in eSER, after each LEA reported the correction, Louisiana uses the data reporting system to verify the completion of evaluations, IEPs and current services that were not completed within the timeline to verify that each individual student with non-compliance was corrected, although late, and reviewed subsequent updated data to verify that all LEAs were correctly implementing regulatory requirements and achieved 100% compliance. </w:t>
      </w:r>
      <w:r w:rsidRPr="00781112">
        <w:rPr>
          <w:rFonts w:cs="Arial"/>
          <w:color w:val="000000" w:themeColor="text1"/>
          <w:szCs w:val="16"/>
        </w:rPr>
        <w:br/>
      </w:r>
      <w:r w:rsidRPr="00781112">
        <w:rPr>
          <w:rFonts w:cs="Arial"/>
          <w:color w:val="000000" w:themeColor="text1"/>
          <w:szCs w:val="16"/>
        </w:rPr>
        <w:br/>
        <w:t xml:space="preserve">The 619 Coordinator in conjunction with the IDEA program office ran subsequent C to B and Indicator 12 Detail reports to ensure all LEAs complied with evaluation timelines, IEP timelines and regulatory requirements. </w:t>
      </w:r>
      <w:r w:rsidRPr="00781112">
        <w:rPr>
          <w:rFonts w:cs="Arial"/>
          <w:color w:val="000000" w:themeColor="text1"/>
          <w:szCs w:val="16"/>
        </w:rPr>
        <w:br/>
      </w:r>
      <w:r w:rsidRPr="00781112">
        <w:rPr>
          <w:rFonts w:cs="Arial"/>
          <w:color w:val="000000" w:themeColor="text1"/>
          <w:szCs w:val="16"/>
        </w:rPr>
        <w:br/>
        <w:t>LDOE verified that each individual student-specific file and a subsequent file review based on updated data indicated 100% compliance within one year from the written notification of noncompliance, consistent with OSEP QA 23-01; all LEAs were provided a close-out letter.</w:t>
      </w:r>
    </w:p>
    <w:p w14:paraId="2053EBC4" w14:textId="20A42C78"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E078638" w14:textId="26FE634E" w:rsidR="00A5601C" w:rsidRPr="00781112" w:rsidRDefault="00A5601C" w:rsidP="00A5601C">
      <w:pPr>
        <w:rPr>
          <w:rFonts w:cs="Arial"/>
          <w:color w:val="000000" w:themeColor="text1"/>
          <w:szCs w:val="16"/>
        </w:rPr>
      </w:pPr>
      <w:r w:rsidRPr="00781112">
        <w:rPr>
          <w:rFonts w:cs="Arial"/>
          <w:color w:val="000000" w:themeColor="text1"/>
          <w:szCs w:val="16"/>
        </w:rPr>
        <w:t>The State verified that each individual student case with noncompliance was reflected in the C to B data and that the LEA correctly implemented the regulatory requirement based on the state review of collection data as reflected in an updated, subsequent C to B and Indicator 12 Detail Report, and that each child received a completed evaluation, IEP and open services, although late, for any child whose initial evaluation and IEP were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The C to B report was generated to identify child-specific instances in LEAs who did not meet 100% compliance and the Indicator 12 Detail report was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examining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sidRPr="00781112">
        <w:rPr>
          <w:rFonts w:cs="Arial"/>
          <w:color w:val="000000" w:themeColor="text1"/>
          <w:szCs w:val="16"/>
        </w:rPr>
        <w:br/>
      </w:r>
      <w:r w:rsidRPr="00781112">
        <w:rPr>
          <w:rFonts w:cs="Arial"/>
          <w:color w:val="000000" w:themeColor="text1"/>
          <w:szCs w:val="16"/>
        </w:rPr>
        <w:br/>
        <w:t>The State required that each LEA submit evidence of all evaluations conducted, eligibility determination, and IEPs completed within their jurisdiction. The State reviewed the C to B collection data related to this indicator to confirm that each student for whom an LEA did not complete their evaluation and IEP within the timeline had a subsequent eligibility determination made and IEP developed.</w:t>
      </w:r>
      <w:r w:rsidRPr="00781112">
        <w:rPr>
          <w:rFonts w:cs="Arial"/>
          <w:color w:val="000000" w:themeColor="text1"/>
          <w:szCs w:val="16"/>
        </w:rPr>
        <w:br/>
      </w:r>
      <w:r w:rsidRPr="00781112">
        <w:rPr>
          <w:rFonts w:cs="Arial"/>
          <w:color w:val="000000" w:themeColor="text1"/>
          <w:szCs w:val="16"/>
        </w:rPr>
        <w:br/>
        <w:t>The State through a desk audit of previously corrected noncompliance confirmed using the date of completion that the students received their required evaluation and IEP, even though it was late, consistent with OSEP QA 23-01, and all individual noncompliance was corrected within one year.</w:t>
      </w:r>
    </w:p>
    <w:p w14:paraId="39A1DA78" w14:textId="6ABEB879"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74DB85F1" w14:textId="60A45A0D" w:rsidR="009A755E" w:rsidRPr="00781112" w:rsidRDefault="009A755E" w:rsidP="004369B2">
      <w:pPr>
        <w:rPr>
          <w:color w:val="000000" w:themeColor="text1"/>
        </w:rPr>
      </w:pPr>
      <w:r w:rsidRPr="00781112">
        <w:rPr>
          <w:b/>
          <w:color w:val="000000" w:themeColor="text1"/>
        </w:rPr>
        <w:t>Findings of Noncompliance Verified as Corrected</w:t>
      </w:r>
    </w:p>
    <w:p w14:paraId="24AE68D6" w14:textId="554ACBBD"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7BFFAF9" w14:textId="0AF64204" w:rsidR="00A5601C" w:rsidRPr="00781112" w:rsidRDefault="00A5601C" w:rsidP="00A5601C">
      <w:pPr>
        <w:rPr>
          <w:rFonts w:cs="Arial"/>
          <w:color w:val="000000" w:themeColor="text1"/>
          <w:szCs w:val="16"/>
        </w:rPr>
      </w:pPr>
      <w:r w:rsidRPr="00781112">
        <w:rPr>
          <w:rFonts w:cs="Arial"/>
          <w:color w:val="000000" w:themeColor="text1"/>
          <w:szCs w:val="16"/>
        </w:rPr>
        <w:lastRenderedPageBreak/>
        <w:t xml:space="preserve">In addition to the child-specific correction and after receipt of notification disseminated via the LDOE data systems' secure FTP, each LEA was required to submit an official Plan of Action to the 619 Coordinator. The plan included the students whose evaluation and IEP were not complete by the third birthday, the number of days, the reason the timeline was not met, how it could have been prevented, how the noncompliance was corrected and the personnel responsible. The 619 Coordinator was in constant communication gathering further details and documentation from each LEA. </w:t>
      </w:r>
      <w:r w:rsidRPr="00781112">
        <w:rPr>
          <w:rFonts w:cs="Arial"/>
          <w:color w:val="000000" w:themeColor="text1"/>
          <w:szCs w:val="16"/>
        </w:rPr>
        <w:br/>
      </w:r>
      <w:r w:rsidRPr="00781112">
        <w:rPr>
          <w:rFonts w:cs="Arial"/>
          <w:color w:val="000000" w:themeColor="text1"/>
          <w:szCs w:val="16"/>
        </w:rPr>
        <w:br/>
        <w:t xml:space="preserve">In any instance whereby an LEA was found to be non-compliant, the LDOE required each LEA to revise its current policies, practices, and procedures that contributed to and resulted in non-compliance. Within the 30-day timeline, each LEA's updated procedures were submitted to the 619 Coordinator via the FTP to substantiate the required changes. LDOE staff reviewed each LEA's Plan of Action to determine if the LEA had revised its policies, practices, and procedures to ensure compliance and/or correct implementation of eligibility and IEP development. Because students’ special education history is comprehensive in eSER, after each LEA reported the correction, Louisiana uses the data reporting system to verify the completion of evaluations, IEPs and current services that were not completed within the timeline to verify that each individual student with non-compliance was corrected, although late, and reviewed subsequent updated data to verify that all LEAs were correctly implementing regulatory requirements and achieved 100% compliance. </w:t>
      </w:r>
      <w:r w:rsidRPr="00781112">
        <w:rPr>
          <w:rFonts w:cs="Arial"/>
          <w:color w:val="000000" w:themeColor="text1"/>
          <w:szCs w:val="16"/>
        </w:rPr>
        <w:br/>
      </w:r>
      <w:r w:rsidRPr="00781112">
        <w:rPr>
          <w:rFonts w:cs="Arial"/>
          <w:color w:val="000000" w:themeColor="text1"/>
          <w:szCs w:val="16"/>
        </w:rPr>
        <w:br/>
        <w:t xml:space="preserve">The 619 Coordinator in conjunction with the IDEA program office ran subsequent C to B and Indicator 12 Detail reports to ensure all LEAs complied with evaluation timelines, IEP timelines and regulatory requirements. </w:t>
      </w:r>
      <w:r w:rsidRPr="00781112">
        <w:rPr>
          <w:rFonts w:cs="Arial"/>
          <w:color w:val="000000" w:themeColor="text1"/>
          <w:szCs w:val="16"/>
        </w:rPr>
        <w:br/>
      </w:r>
      <w:r w:rsidRPr="00781112">
        <w:rPr>
          <w:rFonts w:cs="Arial"/>
          <w:color w:val="000000" w:themeColor="text1"/>
          <w:szCs w:val="16"/>
        </w:rPr>
        <w:br/>
        <w:t>LDOE verified that each individual student-specific file and a subsequent file review based on updated data indicated 100% compliance within one year from the written notification of noncompliance, consistent with OSEP QA 23-01; all LEAs were provided a close-out letter.</w:t>
      </w:r>
    </w:p>
    <w:p w14:paraId="7AFE2083" w14:textId="3176EAD3"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19F8744" w14:textId="4014D8BF" w:rsidR="00A5601C" w:rsidRPr="00781112" w:rsidRDefault="00A5601C" w:rsidP="00A5601C">
      <w:pPr>
        <w:rPr>
          <w:rFonts w:cs="Arial"/>
          <w:color w:val="000000" w:themeColor="text1"/>
          <w:szCs w:val="16"/>
        </w:rPr>
      </w:pPr>
      <w:r w:rsidRPr="00781112">
        <w:rPr>
          <w:rFonts w:cs="Arial"/>
          <w:color w:val="000000" w:themeColor="text1"/>
          <w:szCs w:val="16"/>
        </w:rPr>
        <w:t>The State verified that each individual student case with noncompliance was reflected in the C to B data and that the LEA correctly implemented the regulatory requirement based on the state review of collection data as reflected in an updated, subsequent C to B and Indicator 12 Detail Report, and that each child received a completed evaluation, IEP and open services, although late, for any child whose initial evaluation and IEP were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The C to B report was generated to identify child-specific instances in LEAs who did not meet 100% compliance and the Indicator 12 Detail report was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examining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sidRPr="00781112">
        <w:rPr>
          <w:rFonts w:cs="Arial"/>
          <w:color w:val="000000" w:themeColor="text1"/>
          <w:szCs w:val="16"/>
        </w:rPr>
        <w:br/>
      </w:r>
      <w:r w:rsidRPr="00781112">
        <w:rPr>
          <w:rFonts w:cs="Arial"/>
          <w:color w:val="000000" w:themeColor="text1"/>
          <w:szCs w:val="16"/>
        </w:rPr>
        <w:br/>
        <w:t>The State required that each LEA submit evidence of all evaluations conducted, eligibility determination, and IEPs completed within their jurisdiction. The State reviewed the C to B collection data related to this indicator to confirm that each student for whom an LEA did not complete their evaluation and IEP within the timeline had a subsequent eligibility determination made and IEP developed.</w:t>
      </w:r>
      <w:r w:rsidRPr="00781112">
        <w:rPr>
          <w:rFonts w:cs="Arial"/>
          <w:color w:val="000000" w:themeColor="text1"/>
          <w:szCs w:val="16"/>
        </w:rPr>
        <w:br/>
      </w:r>
      <w:r w:rsidRPr="00781112">
        <w:rPr>
          <w:rFonts w:cs="Arial"/>
          <w:color w:val="000000" w:themeColor="text1"/>
          <w:szCs w:val="16"/>
        </w:rPr>
        <w:br/>
        <w:t>The State through a desk audit of previously corrected noncompliance confirmed using the date of completion that the students received their required evaluation and IEP, even though it was late, consistent with OSEP QA 23-01, and all individual noncompliance was corrected within one year.</w:t>
      </w:r>
    </w:p>
    <w:p w14:paraId="366E6F24" w14:textId="6F51D51C" w:rsidR="00427654" w:rsidRPr="00781112" w:rsidRDefault="00427654" w:rsidP="00427654">
      <w:pPr>
        <w:rPr>
          <w:rFonts w:cs="Arial"/>
          <w:b/>
          <w:bCs/>
          <w:color w:val="000000" w:themeColor="text1"/>
          <w:szCs w:val="16"/>
        </w:rPr>
      </w:pPr>
      <w:r w:rsidRPr="00781112">
        <w:rPr>
          <w:rFonts w:cs="Arial"/>
          <w:b/>
          <w:bCs/>
          <w:color w:val="000000" w:themeColor="text1"/>
          <w:szCs w:val="16"/>
        </w:rPr>
        <w:t>FFY 2018</w:t>
      </w:r>
    </w:p>
    <w:p w14:paraId="45AA8C86" w14:textId="77777777" w:rsidR="00427654" w:rsidRPr="00781112" w:rsidRDefault="00427654" w:rsidP="00427654">
      <w:pPr>
        <w:rPr>
          <w:color w:val="000000" w:themeColor="text1"/>
        </w:rPr>
      </w:pPr>
      <w:r w:rsidRPr="00781112">
        <w:rPr>
          <w:b/>
          <w:color w:val="000000" w:themeColor="text1"/>
        </w:rPr>
        <w:t>Findings of Noncompliance Verified as Corrected</w:t>
      </w:r>
    </w:p>
    <w:p w14:paraId="3ADDBF5B" w14:textId="77777777" w:rsidR="00427654" w:rsidRPr="00781112" w:rsidRDefault="00427654" w:rsidP="00427654">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802D541" w14:textId="77849BBD" w:rsidR="00427654" w:rsidRPr="00781112" w:rsidRDefault="00427654" w:rsidP="00427654">
      <w:pPr>
        <w:rPr>
          <w:rFonts w:cs="Arial"/>
          <w:color w:val="000000" w:themeColor="text1"/>
          <w:szCs w:val="16"/>
        </w:rPr>
      </w:pPr>
      <w:r w:rsidRPr="00781112">
        <w:rPr>
          <w:rFonts w:cs="Arial"/>
          <w:color w:val="000000" w:themeColor="text1"/>
          <w:szCs w:val="16"/>
        </w:rPr>
        <w:t xml:space="preserve">In addition to the child-specific correction and after receipt of notification disseminated via the LDOE data systems' secure FTP, each LEA was required to submit an official Plan of Action to the 619 Coordinator. The plan included the students whose evaluation and IEP were not complete by the third birthday, the number of days, the reason the timeline was not met, how it could have been prevented, how the noncompliance was corrected and the personnel responsible. The 619 Coordinator was in constant communication gathering further details and documentation from each LEA. </w:t>
      </w:r>
      <w:r w:rsidRPr="00781112">
        <w:rPr>
          <w:rFonts w:cs="Arial"/>
          <w:color w:val="000000" w:themeColor="text1"/>
          <w:szCs w:val="16"/>
        </w:rPr>
        <w:br/>
      </w:r>
      <w:r w:rsidRPr="00781112">
        <w:rPr>
          <w:rFonts w:cs="Arial"/>
          <w:color w:val="000000" w:themeColor="text1"/>
          <w:szCs w:val="16"/>
        </w:rPr>
        <w:br/>
        <w:t xml:space="preserve">In any instance whereby an LEA was found to be non-compliant, the LDOE required each LEA to revise its current policies, practices, and procedures that contributed to and resulted in non-compliance. Within the 30-day timeline, each LEA's updated procedures were submitted to the 619 Coordinator via the FTP to substantiate the required changes. LDOE staff reviewed each LEA's Plan of Action to determine if the LEA had revised its policies, practices, and procedures to ensure compliance and/or correct implementation of eligibility and IEP development. Because students’ special education history is comprehensive in eSER, after each LEA reported the correction, Louisiana uses the data reporting system to verify the completion of evaluations, IEPs and current services that were not completed within the timeline to verify that each individual student with non-compliance was corrected, although late, and reviewed subsequent updated data to verify that all LEAs were correctly implementing regulatory requirements and achieved 100% compliance. </w:t>
      </w:r>
      <w:r w:rsidRPr="00781112">
        <w:rPr>
          <w:rFonts w:cs="Arial"/>
          <w:color w:val="000000" w:themeColor="text1"/>
          <w:szCs w:val="16"/>
        </w:rPr>
        <w:br/>
      </w:r>
      <w:r w:rsidRPr="00781112">
        <w:rPr>
          <w:rFonts w:cs="Arial"/>
          <w:color w:val="000000" w:themeColor="text1"/>
          <w:szCs w:val="16"/>
        </w:rPr>
        <w:br/>
        <w:t xml:space="preserve">The 619 Coordinator in conjunction with the IDEA program office ran subsequent C to B and Indicator 12 Detail reports to ensure all LEAs complied with evaluation timelines, IEP timelines and regulatory requirements. </w:t>
      </w:r>
      <w:r w:rsidRPr="00781112">
        <w:rPr>
          <w:rFonts w:cs="Arial"/>
          <w:color w:val="000000" w:themeColor="text1"/>
          <w:szCs w:val="16"/>
        </w:rPr>
        <w:br/>
      </w:r>
      <w:r w:rsidRPr="00781112">
        <w:rPr>
          <w:rFonts w:cs="Arial"/>
          <w:color w:val="000000" w:themeColor="text1"/>
          <w:szCs w:val="16"/>
        </w:rPr>
        <w:br/>
        <w:t>LDOE verified that each individual student-specific file and a subsequent file review based on updated data indicated 100% compliance within one year from the written notification of noncompliance, consistent with OSEP QA 23-01; all LEAs were provided a close-out letter.</w:t>
      </w:r>
    </w:p>
    <w:p w14:paraId="4FBC1E97" w14:textId="77777777" w:rsidR="00427654" w:rsidRPr="00781112" w:rsidRDefault="00427654" w:rsidP="00427654">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7EEE69FB" w14:textId="4769668E" w:rsidR="00427654" w:rsidRPr="00781112" w:rsidRDefault="00427654" w:rsidP="00427654">
      <w:pPr>
        <w:rPr>
          <w:rFonts w:cs="Arial"/>
          <w:color w:val="000000" w:themeColor="text1"/>
          <w:szCs w:val="16"/>
        </w:rPr>
      </w:pPr>
      <w:r w:rsidRPr="00781112">
        <w:rPr>
          <w:rFonts w:cs="Arial"/>
          <w:color w:val="000000" w:themeColor="text1"/>
          <w:szCs w:val="16"/>
        </w:rPr>
        <w:t>The State verified that each individual student case with noncompliance was reflected in the C to B data and that the LEA correctly implemented the regulatory requirement based on the state review of collection data as reflected in an updated, subsequent C to B and Indicator 12 Detail Report, and that each child received a completed evaluation, IEP and open services, although late, for any child whose initial evaluation and IEP were not timely, unless the child is no longer within the jurisdiction or program.</w:t>
      </w:r>
      <w:r w:rsidRPr="00781112">
        <w:rPr>
          <w:rFonts w:cs="Arial"/>
          <w:color w:val="000000" w:themeColor="text1"/>
          <w:szCs w:val="16"/>
        </w:rPr>
        <w:br/>
      </w:r>
      <w:r w:rsidRPr="00781112">
        <w:rPr>
          <w:rFonts w:cs="Arial"/>
          <w:color w:val="000000" w:themeColor="text1"/>
          <w:szCs w:val="16"/>
        </w:rPr>
        <w:br/>
        <w:t>The C to B report was generated to identify child-specific instances in LEAs who did not meet 100% compliance and the Indicator 12 Detail report was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examining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sidRPr="00781112">
        <w:rPr>
          <w:rFonts w:cs="Arial"/>
          <w:color w:val="000000" w:themeColor="text1"/>
          <w:szCs w:val="16"/>
        </w:rPr>
        <w:br/>
      </w:r>
      <w:r w:rsidRPr="00781112">
        <w:rPr>
          <w:rFonts w:cs="Arial"/>
          <w:color w:val="000000" w:themeColor="text1"/>
          <w:szCs w:val="16"/>
        </w:rPr>
        <w:br/>
        <w:t xml:space="preserve">The State required that each LEA submit evidence of all evaluations conducted, eligibility determination, and IEPs completed within their jurisdiction. The State reviewed the C to B collection data related to this indicator to confirm that each student for whom an LEA did not complete their evaluation and IEP </w:t>
      </w:r>
      <w:r w:rsidRPr="00781112">
        <w:rPr>
          <w:rFonts w:cs="Arial"/>
          <w:color w:val="000000" w:themeColor="text1"/>
          <w:szCs w:val="16"/>
        </w:rPr>
        <w:lastRenderedPageBreak/>
        <w:t>within the timeline had a subsequent eligibility determination made and IEP developed.</w:t>
      </w:r>
      <w:r w:rsidRPr="00781112">
        <w:rPr>
          <w:rFonts w:cs="Arial"/>
          <w:color w:val="000000" w:themeColor="text1"/>
          <w:szCs w:val="16"/>
        </w:rPr>
        <w:br/>
      </w:r>
      <w:r w:rsidRPr="00781112">
        <w:rPr>
          <w:rFonts w:cs="Arial"/>
          <w:color w:val="000000" w:themeColor="text1"/>
          <w:szCs w:val="16"/>
        </w:rPr>
        <w:br/>
        <w:t>The State through a desk audit of previously corrected noncompliance confirmed using the date of completion that the students received their required evaluation and IEP, even though it was late, consistent with OSEP QA 23-01, and all individual noncompliance was corrected within one year.</w:t>
      </w:r>
    </w:p>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 xml:space="preserve">In the FFY 2023 SPP/APR, the State must include the range of days beyond the timeline when the evaluation was completed and any reasons for the delays for children who were not evaluated within 60 days (or the State established timeline) of receiving parental consent for the evaluation, as required by the Measurement Table. </w:t>
      </w:r>
      <w:r w:rsidRPr="00781112">
        <w:rPr>
          <w:rFonts w:cs="Arial"/>
          <w:color w:val="000000" w:themeColor="text1"/>
          <w:szCs w:val="16"/>
        </w:rPr>
        <w:br/>
      </w:r>
      <w:r w:rsidRPr="00781112">
        <w:rPr>
          <w:rFonts w:cs="Arial"/>
          <w:color w:val="000000" w:themeColor="text1"/>
          <w:szCs w:val="16"/>
        </w:rPr>
        <w:br/>
        <w:t>Because the State reported less than 100% compliance for FFY 2022, the State must report on the status of correction of noncompliance identified in FFY 2022 for this indicator. In addition, the State must demonstrate, in the FFY 2023 SPP/APR, that the remaining 188 uncorrected findings of noncompliance identified in FFY 2021, 22 uncorrected findings of noncompliance identified in FFY 2020, 33 uncorrected findings of noncompliance identified in FFY 2019, and 13 uncorrected findings of noncompliance identified in FFY 2018 were corrected.  When reporting on the correction of noncompliance, the State must report, in the FFY 2023 SPP/APR, that it has verified that each LEA with findings of noncompliance identified in FFY 2022 and each LEA with remaining noncompliance identified in FFYs 2021, 2020, 2019, and 2018: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r w:rsidRPr="00781112">
        <w:rPr>
          <w:rFonts w:cs="Arial"/>
          <w:color w:val="000000" w:themeColor="text1"/>
          <w:szCs w:val="16"/>
        </w:rPr>
        <w:br/>
      </w:r>
      <w:r w:rsidRPr="00781112">
        <w:rPr>
          <w:rFonts w:cs="Arial"/>
          <w:color w:val="000000" w:themeColor="text1"/>
          <w:szCs w:val="16"/>
        </w:rPr>
        <w:br/>
        <w:t>The State did not, as required by the OSEP Response to the State's FFY 2021 SPP/APR, publicly post the "Louisiana FFY 2021 Indicator 12 Reason for Non-Compliance and Range of Days". In its FFY 2023 SPP/APR, the State must provide the link to the required information.</w:t>
      </w:r>
      <w:r w:rsidRPr="00781112">
        <w:rPr>
          <w:rFonts w:cs="Arial"/>
          <w:color w:val="000000" w:themeColor="text1"/>
          <w:szCs w:val="16"/>
        </w:rPr>
        <w:br/>
      </w:r>
      <w:r w:rsidRPr="00781112">
        <w:rPr>
          <w:rFonts w:cs="Arial"/>
          <w:color w:val="000000" w:themeColor="text1"/>
          <w:szCs w:val="16"/>
        </w:rPr>
        <w:br/>
        <w:t>The State submitted verification that the Indicator 12 attachment complies with Section 508 of the Rehabilitation Act of 1973, as amended (Section 508). However, the Indicator 12 attachment included in the State's FFY 2022 SPP/APR submission is not in compliance with Section 508 and will not be posted on the U.S. Department of Education's IDEA website. Therefore, the State must make the attachment available to the public as soon as practicable, but no later than 120 days after the date of the determination letter.</w:t>
      </w:r>
    </w:p>
    <w:p w14:paraId="3F84A4E0" w14:textId="7D05A787" w:rsidR="004E2151" w:rsidRPr="00781112" w:rsidRDefault="007639D7" w:rsidP="004369B2">
      <w:pPr>
        <w:rPr>
          <w:b/>
          <w:color w:val="000000" w:themeColor="text1"/>
        </w:rPr>
      </w:pPr>
      <w:r>
        <w:rPr>
          <w:b/>
          <w:color w:val="000000" w:themeColor="text1"/>
        </w:rPr>
        <w:t>Response to actions required in FFY 2022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 xml:space="preserve">Within the FFY 2023 SPP/APR, the State provided a more concise, detailed explanation of correction of noncompliance and details surrounding the steps taken to address the correction of noncompliance identified in FFYs 2021, 2020, 2019, and 2018. The status for each of the instances of noncompliance cited in paragraph 2 has been addressed within the appropriate section of the SPP/APR. </w:t>
      </w:r>
      <w:r w:rsidRPr="00781112">
        <w:rPr>
          <w:rFonts w:cs="Arial"/>
          <w:color w:val="000000" w:themeColor="text1"/>
          <w:szCs w:val="16"/>
        </w:rPr>
        <w:br/>
      </w:r>
      <w:r w:rsidRPr="00781112">
        <w:rPr>
          <w:rFonts w:cs="Arial"/>
          <w:color w:val="000000" w:themeColor="text1"/>
          <w:szCs w:val="16"/>
        </w:rPr>
        <w:br/>
        <w:t>The Indicator 12 Range of Days attachment for FFY 2022 was made available within 120 days to the public via the state's website at https://doe.louisiana.gov/data-and-reports/special-education-reporting under the State Performance Plan/Annual Performance Report tab.</w:t>
      </w:r>
      <w:r w:rsidRPr="00781112">
        <w:rPr>
          <w:rFonts w:cs="Arial"/>
          <w:color w:val="000000" w:themeColor="text1"/>
          <w:szCs w:val="16"/>
        </w:rPr>
        <w:br/>
        <w:t>The indicator 12 Range of Days attachment for FFY 2021 was made available to the public via the state's website at https://doe.louisiana.gov/data-and-reports/special-education-reporting under the State Performance Plan/Annual Performance Report tab.</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2B7490" w:rsidP="00212954">
      <w:pPr>
        <w:rPr>
          <w:rFonts w:cs="Arial"/>
          <w:color w:val="000000" w:themeColor="text1"/>
          <w:szCs w:val="16"/>
        </w:rPr>
      </w:pPr>
      <w:r w:rsidRPr="00781112">
        <w:rPr>
          <w:rFonts w:cs="Arial"/>
          <w:color w:val="000000" w:themeColor="text1"/>
          <w:szCs w:val="16"/>
        </w:rPr>
        <w:t>OSEP notes that the State submitted verification that the attachment complies with Section 508 of the Rehabilitation Act of 1973, as amended (Section 508). However, one or more of the attachments included in the State's FFY 2023 SPP/APR submission are not in compliance with Section 508.</w:t>
      </w: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r w:rsidRPr="00781112">
        <w:rPr>
          <w:rFonts w:cs="Arial"/>
          <w:color w:val="000000" w:themeColor="text1"/>
          <w:szCs w:val="16"/>
        </w:rPr>
        <w:br/>
      </w:r>
      <w:r w:rsidRPr="00781112">
        <w:rPr>
          <w:rFonts w:cs="Arial"/>
          <w:color w:val="000000" w:themeColor="text1"/>
          <w:szCs w:val="16"/>
        </w:rPr>
        <w:br/>
        <w:t>OSEP notes that one or more of the Indicator 12 attachments included in the State's FFY 2023 SPP/APR submission are not in compliance with Section 508 of the Rehabilitation Act of 1973, as amended (Section 508), and will not be posted on the U.S. Department of Education's IDEA website. Therefore, the State must make the attachments available to the public as soon as practicable, but no later than 120 days after the date of the determination letter.</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C76A029" w:rsidR="00D04044" w:rsidRPr="002C274F" w:rsidRDefault="00D04044" w:rsidP="002C274F">
      <w:pPr>
        <w:rPr>
          <w:b/>
          <w:bCs/>
          <w:sz w:val="20"/>
          <w:szCs w:val="20"/>
        </w:rPr>
      </w:pPr>
      <w:bookmarkStart w:id="80" w:name="_Toc384383363"/>
      <w:bookmarkStart w:id="81" w:name="_Toc392159331"/>
      <w:r w:rsidRPr="002C274F">
        <w:rPr>
          <w:b/>
          <w:bCs/>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53B9EFCD"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487AF808"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2" w:name="_Hlk150864402"/>
      <w:r w:rsidR="00F047EF" w:rsidRPr="00F047EF">
        <w:rPr>
          <w:rFonts w:cs="Arial"/>
          <w:color w:val="000000" w:themeColor="text1"/>
          <w:szCs w:val="16"/>
        </w:rPr>
        <w:t>child-specific and regulatory/systemic</w:t>
      </w:r>
      <w:r w:rsidR="00F047EF">
        <w:rPr>
          <w:sz w:val="20"/>
        </w:rPr>
        <w:t xml:space="preserve"> </w:t>
      </w:r>
      <w:bookmarkEnd w:id="82"/>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3EBEE46A"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63DB23E"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ACF8252" w14:textId="77777777" w:rsidR="00655489" w:rsidRPr="00781112" w:rsidRDefault="00655489" w:rsidP="00286BDF">
      <w:pPr>
        <w:rPr>
          <w:rFonts w:cs="Arial"/>
          <w:color w:val="000000" w:themeColor="text1"/>
          <w:szCs w:val="16"/>
        </w:rPr>
      </w:pPr>
    </w:p>
    <w:p w14:paraId="43E6D66A" w14:textId="21025B37" w:rsidR="00D04044" w:rsidRPr="00781112" w:rsidRDefault="00056350" w:rsidP="00123D76">
      <w:pPr>
        <w:pStyle w:val="Heading2"/>
      </w:pPr>
      <w:bookmarkStart w:id="83" w:name="_Toc384383364"/>
      <w:bookmarkStart w:id="84" w:name="_Toc392159332"/>
      <w:bookmarkEnd w:id="80"/>
      <w:bookmarkEnd w:id="81"/>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2009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53.00%</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98.38%</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78.55%</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2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2"/>
        <w:gridCol w:w="1678"/>
        <w:gridCol w:w="1678"/>
      </w:tblGrid>
      <w:tr w:rsidR="00FE4611" w:rsidRPr="00781112" w14:paraId="75609119" w14:textId="4FD44BFE" w:rsidTr="00FE4611">
        <w:trPr>
          <w:trHeight w:val="281"/>
        </w:trPr>
        <w:tc>
          <w:tcPr>
            <w:tcW w:w="622" w:type="pct"/>
            <w:tcBorders>
              <w:bottom w:val="single" w:sz="4" w:space="0" w:color="auto"/>
            </w:tcBorders>
            <w:shd w:val="clear" w:color="auto" w:fill="auto"/>
          </w:tcPr>
          <w:p w14:paraId="270D1909" w14:textId="77777777" w:rsidR="00FE4611" w:rsidRPr="00781112" w:rsidRDefault="00FE4611" w:rsidP="00AF574F">
            <w:pPr>
              <w:jc w:val="center"/>
              <w:rPr>
                <w:b/>
                <w:color w:val="000000" w:themeColor="text1"/>
              </w:rPr>
            </w:pPr>
            <w:r w:rsidRPr="00781112">
              <w:rPr>
                <w:b/>
                <w:color w:val="000000" w:themeColor="text1"/>
              </w:rPr>
              <w:t>FFY</w:t>
            </w:r>
          </w:p>
        </w:tc>
        <w:tc>
          <w:tcPr>
            <w:tcW w:w="1462" w:type="pct"/>
            <w:shd w:val="clear" w:color="auto" w:fill="auto"/>
            <w:vAlign w:val="center"/>
          </w:tcPr>
          <w:p w14:paraId="3C863620" w14:textId="77777777" w:rsidR="00FE4611" w:rsidRPr="00781112" w:rsidRDefault="00FE4611" w:rsidP="00AF574F">
            <w:pPr>
              <w:jc w:val="center"/>
              <w:rPr>
                <w:b/>
                <w:color w:val="000000" w:themeColor="text1"/>
              </w:rPr>
            </w:pPr>
            <w:r w:rsidRPr="00781112">
              <w:rPr>
                <w:b/>
                <w:color w:val="000000" w:themeColor="text1"/>
              </w:rPr>
              <w:t>2023</w:t>
            </w:r>
          </w:p>
        </w:tc>
        <w:tc>
          <w:tcPr>
            <w:tcW w:w="1458" w:type="pct"/>
          </w:tcPr>
          <w:p w14:paraId="1E742631" w14:textId="024F7853" w:rsidR="00FE4611" w:rsidRPr="00781112" w:rsidRDefault="00FE4611" w:rsidP="00AF574F">
            <w:pPr>
              <w:jc w:val="center"/>
              <w:rPr>
                <w:b/>
                <w:color w:val="000000" w:themeColor="text1"/>
              </w:rPr>
            </w:pPr>
            <w:r w:rsidRPr="00781112">
              <w:rPr>
                <w:rFonts w:cs="Arial"/>
                <w:b/>
                <w:color w:val="000000" w:themeColor="text1"/>
                <w:szCs w:val="16"/>
              </w:rPr>
              <w:t>2024</w:t>
            </w:r>
          </w:p>
        </w:tc>
        <w:tc>
          <w:tcPr>
            <w:tcW w:w="1458" w:type="pct"/>
          </w:tcPr>
          <w:p w14:paraId="68E9F440" w14:textId="3DC7BEDA" w:rsidR="00FE4611" w:rsidRPr="00781112" w:rsidRDefault="00FE4611" w:rsidP="00AF574F">
            <w:pPr>
              <w:jc w:val="center"/>
              <w:rPr>
                <w:b/>
                <w:color w:val="000000" w:themeColor="text1"/>
              </w:rPr>
            </w:pPr>
            <w:r w:rsidRPr="00781112">
              <w:rPr>
                <w:rFonts w:cs="Arial"/>
                <w:b/>
                <w:color w:val="000000" w:themeColor="text1"/>
                <w:szCs w:val="16"/>
              </w:rPr>
              <w:t>2025</w:t>
            </w:r>
          </w:p>
        </w:tc>
      </w:tr>
      <w:tr w:rsidR="00FE4611" w:rsidRPr="00781112" w14:paraId="129EADEA" w14:textId="243BFF73" w:rsidTr="00FE4611">
        <w:trPr>
          <w:trHeight w:val="287"/>
        </w:trPr>
        <w:tc>
          <w:tcPr>
            <w:tcW w:w="622" w:type="pct"/>
            <w:shd w:val="clear" w:color="auto" w:fill="auto"/>
            <w:vAlign w:val="center"/>
          </w:tcPr>
          <w:p w14:paraId="14AB537C" w14:textId="075F2E43" w:rsidR="00FE4611" w:rsidRPr="00781112" w:rsidRDefault="00FE4611" w:rsidP="00BA3DBE">
            <w:pPr>
              <w:jc w:val="center"/>
              <w:rPr>
                <w:rFonts w:cs="Arial"/>
                <w:color w:val="000000" w:themeColor="text1"/>
                <w:szCs w:val="16"/>
              </w:rPr>
            </w:pPr>
            <w:r w:rsidRPr="00781112">
              <w:rPr>
                <w:rFonts w:cs="Arial"/>
                <w:color w:val="000000" w:themeColor="text1"/>
                <w:szCs w:val="16"/>
              </w:rPr>
              <w:t>Target</w:t>
            </w:r>
          </w:p>
        </w:tc>
        <w:tc>
          <w:tcPr>
            <w:tcW w:w="1462" w:type="pct"/>
            <w:shd w:val="clear" w:color="auto" w:fill="auto"/>
            <w:vAlign w:val="center"/>
          </w:tcPr>
          <w:p w14:paraId="0BAE8900" w14:textId="37E5F8C0" w:rsidR="00FE4611" w:rsidRPr="00781112" w:rsidRDefault="00FE4611" w:rsidP="00AF574F">
            <w:pPr>
              <w:jc w:val="center"/>
              <w:rPr>
                <w:rFonts w:cs="Arial"/>
                <w:color w:val="000000" w:themeColor="text1"/>
                <w:szCs w:val="16"/>
              </w:rPr>
            </w:pPr>
            <w:r w:rsidRPr="00781112">
              <w:rPr>
                <w:rFonts w:cs="Arial"/>
                <w:color w:val="000000" w:themeColor="text1"/>
                <w:szCs w:val="16"/>
              </w:rPr>
              <w:t>100%</w:t>
            </w:r>
          </w:p>
        </w:tc>
        <w:tc>
          <w:tcPr>
            <w:tcW w:w="1458" w:type="pct"/>
          </w:tcPr>
          <w:p w14:paraId="2CC39FD1" w14:textId="0A351FA5" w:rsidR="00FE4611" w:rsidRPr="00781112" w:rsidRDefault="00FE4611" w:rsidP="00AF574F">
            <w:pPr>
              <w:jc w:val="center"/>
              <w:rPr>
                <w:rFonts w:cs="Arial"/>
                <w:color w:val="000000" w:themeColor="text1"/>
                <w:szCs w:val="16"/>
              </w:rPr>
            </w:pPr>
            <w:r w:rsidRPr="00781112">
              <w:rPr>
                <w:color w:val="000000" w:themeColor="text1"/>
                <w:szCs w:val="16"/>
              </w:rPr>
              <w:t>100%</w:t>
            </w:r>
          </w:p>
        </w:tc>
        <w:tc>
          <w:tcPr>
            <w:tcW w:w="1458" w:type="pct"/>
          </w:tcPr>
          <w:p w14:paraId="67D6E1E0" w14:textId="00533F6B" w:rsidR="00FE4611" w:rsidRPr="00781112" w:rsidRDefault="00FE4611"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3"/>
    <w:bookmarkEnd w:id="84"/>
    <w:p w14:paraId="596F7C13" w14:textId="3C4D7B4B"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037FBC59" w:rsidR="00B1652C" w:rsidRPr="006D0A52" w:rsidRDefault="00B1652C" w:rsidP="00B1652C">
            <w:pPr>
              <w:jc w:val="center"/>
              <w:rPr>
                <w:rFonts w:cs="Arial"/>
                <w:b/>
                <w:bCs/>
                <w:color w:val="000000" w:themeColor="text1"/>
                <w:szCs w:val="16"/>
              </w:rPr>
            </w:pPr>
            <w:r w:rsidRPr="006D0A52">
              <w:rPr>
                <w:b/>
                <w:bCs/>
              </w:rPr>
              <w:t>FFY 2022 Data</w:t>
            </w:r>
          </w:p>
        </w:tc>
        <w:tc>
          <w:tcPr>
            <w:tcW w:w="958" w:type="pct"/>
            <w:shd w:val="clear" w:color="auto" w:fill="auto"/>
            <w:vAlign w:val="bottom"/>
          </w:tcPr>
          <w:p w14:paraId="0E375E75" w14:textId="56695C7A" w:rsidR="00B1652C" w:rsidRPr="006D0A52" w:rsidRDefault="00B1652C" w:rsidP="00B1652C">
            <w:pPr>
              <w:jc w:val="center"/>
              <w:rPr>
                <w:rFonts w:cs="Arial"/>
                <w:b/>
                <w:bCs/>
                <w:color w:val="000000" w:themeColor="text1"/>
                <w:szCs w:val="16"/>
              </w:rPr>
            </w:pPr>
            <w:r w:rsidRPr="006D0A52">
              <w:rPr>
                <w:b/>
                <w:bCs/>
              </w:rPr>
              <w:t>FFY 2023 Target</w:t>
            </w:r>
          </w:p>
        </w:tc>
        <w:tc>
          <w:tcPr>
            <w:tcW w:w="571" w:type="pct"/>
            <w:shd w:val="clear" w:color="auto" w:fill="auto"/>
            <w:vAlign w:val="bottom"/>
          </w:tcPr>
          <w:p w14:paraId="58CCB0C1" w14:textId="230D8C5D" w:rsidR="00B1652C" w:rsidRPr="006D0A52" w:rsidRDefault="00B1652C" w:rsidP="00B1652C">
            <w:pPr>
              <w:jc w:val="center"/>
              <w:rPr>
                <w:rFonts w:cs="Arial"/>
                <w:b/>
                <w:bCs/>
                <w:color w:val="000000" w:themeColor="text1"/>
                <w:szCs w:val="16"/>
              </w:rPr>
            </w:pPr>
            <w:r w:rsidRPr="006D0A52">
              <w:rPr>
                <w:b/>
                <w:bCs/>
              </w:rPr>
              <w:t>FFY 2023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263</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331</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78.55%</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79.46%</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Transition planning is the process that helps students with an IEP, prepare for success in postsecondary education and employment. In Louisiana, effective methods are in place to analyze and report on transition outcomes. The state monitors the effectiveness of transition planning through various processes, including self-monitoring, desk audits, on-site visits, and random selection of transition plans. The focus of this monitoring is on the general supervision of IDEA Part B ensuring an effective transition process.</w:t>
      </w:r>
      <w:r w:rsidRPr="00781112">
        <w:rPr>
          <w:rFonts w:cs="Arial"/>
          <w:color w:val="000000" w:themeColor="text1"/>
          <w:szCs w:val="16"/>
        </w:rPr>
        <w:br/>
      </w:r>
      <w:r w:rsidRPr="00781112">
        <w:rPr>
          <w:rFonts w:cs="Arial"/>
          <w:color w:val="000000" w:themeColor="text1"/>
          <w:szCs w:val="16"/>
        </w:rPr>
        <w:br/>
        <w:t xml:space="preserve">The State reviews student records from the special education reporting system (SER) and records collected from the LEA to determine the percent of youth aged 16 and older with an IEP that includes the following: appropriate measurable postsecondary goals that are updated annually following an age-appropriate transition assessment; transition services, including courses of study, that will enable students to meet their postsecondary goals; and annual IEP goals related to the student’s transition service needs. Additionally, the state checks if students were invited to the IEP team meeting where their transition services were discussed and verifies that if appropriate, a representative of any participating agency was invited to the IEP team meeting with the prior consent of the parent or the student who had reached the age of majority. </w:t>
      </w:r>
      <w:r w:rsidRPr="00781112">
        <w:rPr>
          <w:rFonts w:cs="Arial"/>
          <w:color w:val="000000" w:themeColor="text1"/>
          <w:szCs w:val="16"/>
        </w:rPr>
        <w:br/>
      </w:r>
      <w:r w:rsidRPr="00781112">
        <w:rPr>
          <w:rFonts w:cs="Arial"/>
          <w:color w:val="000000" w:themeColor="text1"/>
          <w:szCs w:val="16"/>
        </w:rPr>
        <w:br/>
        <w:t>The state also requires selected LEAs (through risk-based monitoring) to complete a self-monitoring tool to determine whether student transition records comply with established state-mandated criteria. LEAs use the state-mandated process to identify which records to review by following a state-developed protocol to assess whether the selected transition plan in the student's current IEP meets all the required components, such as measurable postsecondary goals that encompass education and training, employment, and, if necessary, independent living; annual IEP goals that will help students achieve their postsecondary and employment.</w:t>
      </w:r>
      <w:r w:rsidRPr="00781112">
        <w:rPr>
          <w:rFonts w:cs="Arial"/>
          <w:color w:val="000000" w:themeColor="text1"/>
          <w:szCs w:val="16"/>
        </w:rPr>
        <w:br/>
      </w:r>
      <w:r w:rsidRPr="00781112">
        <w:rPr>
          <w:rFonts w:cs="Arial"/>
          <w:color w:val="000000" w:themeColor="text1"/>
          <w:szCs w:val="16"/>
        </w:rPr>
        <w:br/>
        <w:t xml:space="preserve">During FFY 2023, LDOE staff reviewed 331 records of youth aged 16 and older for compliance. Out of these 331 records, 68 instances of noncompliance were identified. Noncompliance occurs when an IEP record reveals a violation of one of the nine required transition components. </w:t>
      </w:r>
      <w:r w:rsidRPr="00781112">
        <w:rPr>
          <w:rFonts w:cs="Arial"/>
          <w:color w:val="000000" w:themeColor="text1"/>
          <w:szCs w:val="16"/>
        </w:rPr>
        <w:br/>
      </w:r>
      <w:r w:rsidRPr="00781112">
        <w:rPr>
          <w:rFonts w:cs="Arial"/>
          <w:color w:val="000000" w:themeColor="text1"/>
          <w:szCs w:val="16"/>
        </w:rPr>
        <w:br/>
        <w:t xml:space="preserve">For example, when an LDOE monitor marks a record as noncompliant regarding transition services, the LEA receives a monitoring report detailing each specific area of noncompliance, LEAs are required to correct each finding within 30 business days. During this FFY 2023 reporting period, there were 68 individual noncompliant transition IEP files among the 331 IEPs reviewed. </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735DB55A" w14:textId="18C77FF1" w:rsidR="00644AC8" w:rsidRPr="00781112" w:rsidRDefault="00644AC8" w:rsidP="005F442C">
      <w:pPr>
        <w:rPr>
          <w:rFonts w:cs="Arial"/>
          <w:b/>
          <w:color w:val="000000" w:themeColor="text1"/>
          <w:szCs w:val="16"/>
        </w:rPr>
      </w:pPr>
      <w:bookmarkStart w:id="85"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FFY2023, Louisiana reported that 331 records were reviewed which is a notable decrease from the 620 records that were reviewed in the previous year. During the period after the COVID shutdown, many sites were on hybrid schedules and visits were limited to staff and students. During this period, monitoring was drastically impacted. Because of this, Louisiana increased the number of reviews in FFY2022 to recoup the loss of the previous year and to ensure that all sites would be monitored within the six-year cycle.</w:t>
      </w:r>
    </w:p>
    <w:p w14:paraId="1F3D4141" w14:textId="77777777" w:rsidR="00AF12E4" w:rsidRPr="00781112" w:rsidRDefault="00AF12E4" w:rsidP="004369B2">
      <w:pPr>
        <w:rPr>
          <w:color w:val="000000" w:themeColor="text1"/>
        </w:rPr>
      </w:pPr>
    </w:p>
    <w:p w14:paraId="37C34CDA" w14:textId="59CE8FA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133</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133</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646A82B0" w:rsidR="009A755E" w:rsidRPr="00781112" w:rsidRDefault="00450F98" w:rsidP="004369B2">
      <w:pPr>
        <w:rPr>
          <w:color w:val="000000" w:themeColor="text1"/>
        </w:rPr>
      </w:pPr>
      <w:r>
        <w:rPr>
          <w:b/>
          <w:color w:val="000000" w:themeColor="text1"/>
        </w:rPr>
        <w:t>FFY 2022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Louisiana verified that all LEAs identified as having non-compliance were effectively implementing all transition regulatory requirements. In a subsequent review of updated data through a desk audit from LDOE's enhanced special education reporting system (eSER) database, Louisiana reviewed each LEA for compliance at periodic intervals throughout the year following the identification of non-compliance. Louisiana has confirmed that all LEAs with reported non-compliance for this indicator have achieved 100% compliance based on an additional desk audit using that updated transition data within one year as documented on a timeline tracker. Specifically, all non-compliance with Indicator 13 for FFY 2022 was resolved within one year of notification and all LEAs achieved 100% compliance using updated data through subsequent monitoring.</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 xml:space="preserve">For each case of individual non-compliance identified, records flagged for non-compliance were reviewed through monitoring after the LEA was required to make updates ensuring each of the 133 students received all appropriate transition services and components within one year of findings. The transition indicator manager required each LEA to submit a corrected, updated transition plan through subsequent monitoring and accessing each IEP in </w:t>
      </w:r>
      <w:r w:rsidRPr="00781112">
        <w:rPr>
          <w:rFonts w:cs="Arial"/>
          <w:color w:val="000000" w:themeColor="text1"/>
          <w:szCs w:val="16"/>
        </w:rPr>
        <w:lastRenderedPageBreak/>
        <w:t>the electronic special education reporting system (eSER) for each of the 133 students. Louisiana verified that all LEAs corrected all individual student files of non-compliance in accordance with QA 23-01, unless the child was no longer within the jurisdiction of the LEA.</w:t>
      </w:r>
    </w:p>
    <w:p w14:paraId="09CD9C74" w14:textId="77777777" w:rsidR="00A947D9" w:rsidRPr="00781112" w:rsidRDefault="00A947D9" w:rsidP="004369B2">
      <w:pPr>
        <w:rPr>
          <w:color w:val="000000" w:themeColor="text1"/>
        </w:rPr>
      </w:pPr>
    </w:p>
    <w:p w14:paraId="59FD8363" w14:textId="4523AC5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04966736"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FDC964C" w14:textId="7C7EE16F" w:rsidR="009F69E7" w:rsidRPr="00781112" w:rsidRDefault="009F69E7" w:rsidP="004E2151">
      <w:pPr>
        <w:rPr>
          <w:rFonts w:cs="Arial"/>
          <w:color w:val="000000" w:themeColor="text1"/>
          <w:szCs w:val="16"/>
        </w:rPr>
      </w:pPr>
    </w:p>
    <w:p w14:paraId="769948F5" w14:textId="1902368C" w:rsidR="004E2151" w:rsidRPr="00781112" w:rsidRDefault="007639D7" w:rsidP="004369B2">
      <w:pPr>
        <w:rPr>
          <w:b/>
          <w:color w:val="000000" w:themeColor="text1"/>
        </w:rPr>
      </w:pPr>
      <w:r>
        <w:rPr>
          <w:b/>
          <w:color w:val="000000" w:themeColor="text1"/>
        </w:rPr>
        <w:t>Response to actions required in FFY 2022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Louisiana conducted a verification to ensure that LEAs identified as having noncompliance were correctly implementing the regulatory requirements, and this is more concisely described in the FFY 2023 SPP/APR. Louisiana has verified that all LEAs with noncompliance in FFY 2023 reflected in the data reported for this indicator are correctly implementing the specific regulatory requirements (i.e., achieved 100% compliance) based on a review of updated data and that each individual student-specific incident is corrected. All noncompliance with Indicator 13, including cases of individual noncompliance for each student record identified for FFY 2022 was corrected within one year of notification consistent with QA 23-01.</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5"/>
    </w:p>
    <w:p w14:paraId="22761492" w14:textId="27E64366" w:rsidR="005C50DB" w:rsidRPr="002C274F" w:rsidRDefault="005C50DB" w:rsidP="002C274F">
      <w:pPr>
        <w:rPr>
          <w:b/>
          <w:bCs/>
          <w:sz w:val="20"/>
          <w:szCs w:val="20"/>
        </w:rPr>
      </w:pPr>
      <w:bookmarkStart w:id="86" w:name="_Toc392159336"/>
      <w:r w:rsidRPr="002C274F">
        <w:rPr>
          <w:b/>
          <w:bCs/>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4E986C4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2024 on students who left school during 2022-2023, timing the data collection so that at least one year has passed since the students left school. Include students who dropped out during 2022-2023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D5054B8"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7"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7"/>
    <w:p w14:paraId="3FE9961A" w14:textId="1EDBA086" w:rsidR="000301BA" w:rsidRPr="00781112" w:rsidRDefault="00172058" w:rsidP="00123D76">
      <w:pPr>
        <w:pStyle w:val="Heading2"/>
      </w:pPr>
      <w:r w:rsidRPr="00781112">
        <w:t>14 - Indicator Data</w:t>
      </w:r>
    </w:p>
    <w:bookmarkEnd w:id="86"/>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35.00%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36.00%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25.30%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39.68%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34.79%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32.30%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33.00%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32.49%</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74.50%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75.00%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55.30%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79.32%</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65.93%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66.05%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65.66%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63.38%</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96.00%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96.00%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90.50%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91.00%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89.78%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88.82%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87.86%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88.81%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100.00%</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2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3"/>
      </w:tblGrid>
      <w:tr w:rsidR="00233EFB" w:rsidRPr="00781112" w14:paraId="0D5EED67" w14:textId="79D43F28" w:rsidTr="00FE4611">
        <w:trPr>
          <w:trHeight w:val="388"/>
        </w:trPr>
        <w:tc>
          <w:tcPr>
            <w:tcW w:w="708" w:type="pct"/>
            <w:tcBorders>
              <w:bottom w:val="single" w:sz="4" w:space="0" w:color="auto"/>
            </w:tcBorders>
            <w:shd w:val="clear" w:color="auto" w:fill="auto"/>
          </w:tcPr>
          <w:p w14:paraId="3A39086B" w14:textId="77777777" w:rsidR="00233EFB" w:rsidRPr="00781112" w:rsidRDefault="00233EFB" w:rsidP="00AF574F">
            <w:pPr>
              <w:jc w:val="center"/>
              <w:rPr>
                <w:b/>
                <w:color w:val="000000" w:themeColor="text1"/>
              </w:rPr>
            </w:pPr>
            <w:r w:rsidRPr="00781112">
              <w:rPr>
                <w:b/>
                <w:color w:val="000000" w:themeColor="text1"/>
              </w:rPr>
              <w:t>FFY</w:t>
            </w:r>
          </w:p>
        </w:tc>
        <w:tc>
          <w:tcPr>
            <w:tcW w:w="1431" w:type="pct"/>
            <w:shd w:val="clear" w:color="auto" w:fill="auto"/>
          </w:tcPr>
          <w:p w14:paraId="3904D56E" w14:textId="5A40B787" w:rsidR="00233EFB" w:rsidRPr="00781112" w:rsidRDefault="00233EFB" w:rsidP="00AF574F">
            <w:pPr>
              <w:jc w:val="center"/>
              <w:rPr>
                <w:b/>
                <w:color w:val="000000" w:themeColor="text1"/>
              </w:rPr>
            </w:pPr>
            <w:r w:rsidRPr="00781112">
              <w:rPr>
                <w:b/>
                <w:color w:val="000000" w:themeColor="text1"/>
              </w:rPr>
              <w:t>2023</w:t>
            </w:r>
          </w:p>
        </w:tc>
        <w:tc>
          <w:tcPr>
            <w:tcW w:w="1431" w:type="pct"/>
          </w:tcPr>
          <w:p w14:paraId="5E87DEBC" w14:textId="3C58C740" w:rsidR="00233EFB" w:rsidRPr="00781112" w:rsidRDefault="00233EFB" w:rsidP="00AF574F">
            <w:pPr>
              <w:jc w:val="center"/>
              <w:rPr>
                <w:b/>
                <w:color w:val="000000" w:themeColor="text1"/>
              </w:rPr>
            </w:pPr>
            <w:r w:rsidRPr="00781112">
              <w:rPr>
                <w:rFonts w:cs="Arial"/>
                <w:b/>
                <w:color w:val="000000" w:themeColor="text1"/>
                <w:szCs w:val="16"/>
              </w:rPr>
              <w:t>2024</w:t>
            </w:r>
          </w:p>
        </w:tc>
        <w:tc>
          <w:tcPr>
            <w:tcW w:w="1430" w:type="pct"/>
          </w:tcPr>
          <w:p w14:paraId="1D78C038" w14:textId="34E0A4B6" w:rsidR="00233EFB" w:rsidRPr="00781112" w:rsidRDefault="00233EFB" w:rsidP="00AF574F">
            <w:pPr>
              <w:jc w:val="center"/>
              <w:rPr>
                <w:b/>
                <w:color w:val="000000" w:themeColor="text1"/>
              </w:rPr>
            </w:pPr>
            <w:r w:rsidRPr="00781112">
              <w:rPr>
                <w:rFonts w:cs="Arial"/>
                <w:b/>
                <w:color w:val="000000" w:themeColor="text1"/>
                <w:szCs w:val="16"/>
              </w:rPr>
              <w:t>2025</w:t>
            </w:r>
          </w:p>
        </w:tc>
      </w:tr>
      <w:tr w:rsidR="00233EFB" w:rsidRPr="00781112" w14:paraId="7E2B073B" w14:textId="0B5C632B" w:rsidTr="00FE4611">
        <w:trPr>
          <w:trHeight w:val="396"/>
        </w:trPr>
        <w:tc>
          <w:tcPr>
            <w:tcW w:w="708" w:type="pct"/>
            <w:shd w:val="clear" w:color="auto" w:fill="auto"/>
          </w:tcPr>
          <w:p w14:paraId="0DC64663" w14:textId="2175F0A9" w:rsidR="00233EFB" w:rsidRPr="00781112" w:rsidRDefault="00233EFB" w:rsidP="00BA3DBE">
            <w:pPr>
              <w:jc w:val="center"/>
              <w:rPr>
                <w:rFonts w:cs="Arial"/>
                <w:color w:val="000000" w:themeColor="text1"/>
                <w:szCs w:val="16"/>
              </w:rPr>
            </w:pPr>
            <w:r w:rsidRPr="00781112">
              <w:rPr>
                <w:rFonts w:cs="Arial"/>
                <w:color w:val="000000" w:themeColor="text1"/>
                <w:szCs w:val="16"/>
              </w:rPr>
              <w:t>Target A &gt;=</w:t>
            </w:r>
          </w:p>
        </w:tc>
        <w:tc>
          <w:tcPr>
            <w:tcW w:w="1431" w:type="pct"/>
            <w:shd w:val="clear" w:color="auto" w:fill="auto"/>
            <w:vAlign w:val="center"/>
          </w:tcPr>
          <w:p w14:paraId="0A86FFC3" w14:textId="4AE9585E" w:rsidR="00233EFB" w:rsidRPr="00781112" w:rsidRDefault="00233EFB" w:rsidP="00AF574F">
            <w:pPr>
              <w:jc w:val="center"/>
              <w:rPr>
                <w:rFonts w:cs="Arial"/>
                <w:color w:val="000000" w:themeColor="text1"/>
                <w:szCs w:val="16"/>
              </w:rPr>
            </w:pPr>
            <w:r w:rsidRPr="00781112">
              <w:rPr>
                <w:rFonts w:cs="Arial"/>
                <w:color w:val="000000" w:themeColor="text1"/>
                <w:szCs w:val="16"/>
              </w:rPr>
              <w:t>37.00%</w:t>
            </w:r>
          </w:p>
        </w:tc>
        <w:tc>
          <w:tcPr>
            <w:tcW w:w="1431" w:type="pct"/>
          </w:tcPr>
          <w:p w14:paraId="72551055" w14:textId="7A9EF926" w:rsidR="00233EFB" w:rsidRPr="00781112" w:rsidRDefault="00233EFB" w:rsidP="00AF574F">
            <w:pPr>
              <w:jc w:val="center"/>
              <w:rPr>
                <w:rFonts w:cs="Arial"/>
                <w:color w:val="000000" w:themeColor="text1"/>
                <w:szCs w:val="16"/>
              </w:rPr>
            </w:pPr>
            <w:r w:rsidRPr="00781112">
              <w:rPr>
                <w:color w:val="000000" w:themeColor="text1"/>
                <w:szCs w:val="16"/>
              </w:rPr>
              <w:t>38.00%</w:t>
            </w:r>
          </w:p>
        </w:tc>
        <w:tc>
          <w:tcPr>
            <w:tcW w:w="1430" w:type="pct"/>
          </w:tcPr>
          <w:p w14:paraId="4460710F" w14:textId="653162EA" w:rsidR="00233EFB" w:rsidRPr="00781112" w:rsidRDefault="00233EFB" w:rsidP="00AF574F">
            <w:pPr>
              <w:jc w:val="center"/>
              <w:rPr>
                <w:rFonts w:cs="Arial"/>
                <w:color w:val="000000" w:themeColor="text1"/>
                <w:szCs w:val="16"/>
              </w:rPr>
            </w:pPr>
            <w:r w:rsidRPr="00781112">
              <w:rPr>
                <w:color w:val="000000" w:themeColor="text1"/>
                <w:szCs w:val="16"/>
              </w:rPr>
              <w:t>39.00%</w:t>
            </w:r>
          </w:p>
        </w:tc>
      </w:tr>
      <w:tr w:rsidR="00233EFB" w:rsidRPr="00781112" w14:paraId="0314BAE3" w14:textId="455C9C0A" w:rsidTr="00FE4611">
        <w:trPr>
          <w:trHeight w:val="396"/>
        </w:trPr>
        <w:tc>
          <w:tcPr>
            <w:tcW w:w="708" w:type="pct"/>
            <w:shd w:val="clear" w:color="auto" w:fill="auto"/>
          </w:tcPr>
          <w:p w14:paraId="53C1536D" w14:textId="615A342B" w:rsidR="00233EFB" w:rsidRPr="00781112" w:rsidRDefault="00233EFB" w:rsidP="00BA3DBE">
            <w:pPr>
              <w:jc w:val="center"/>
              <w:rPr>
                <w:rFonts w:cs="Arial"/>
                <w:color w:val="000000" w:themeColor="text1"/>
                <w:szCs w:val="16"/>
              </w:rPr>
            </w:pPr>
            <w:r w:rsidRPr="00781112">
              <w:rPr>
                <w:rFonts w:cs="Arial"/>
                <w:color w:val="000000" w:themeColor="text1"/>
                <w:szCs w:val="16"/>
              </w:rPr>
              <w:t>Target B &gt;=</w:t>
            </w:r>
          </w:p>
        </w:tc>
        <w:tc>
          <w:tcPr>
            <w:tcW w:w="1431" w:type="pct"/>
            <w:shd w:val="clear" w:color="auto" w:fill="auto"/>
            <w:vAlign w:val="center"/>
          </w:tcPr>
          <w:p w14:paraId="3AAA5324" w14:textId="5539646A" w:rsidR="00233EFB" w:rsidRPr="00781112" w:rsidRDefault="00233EFB" w:rsidP="00AF574F">
            <w:pPr>
              <w:jc w:val="center"/>
              <w:rPr>
                <w:rFonts w:cs="Arial"/>
                <w:color w:val="000000" w:themeColor="text1"/>
                <w:szCs w:val="16"/>
              </w:rPr>
            </w:pPr>
            <w:r w:rsidRPr="00781112">
              <w:rPr>
                <w:rFonts w:cs="Arial"/>
                <w:color w:val="000000" w:themeColor="text1"/>
                <w:szCs w:val="16"/>
              </w:rPr>
              <w:t>75.50%</w:t>
            </w:r>
          </w:p>
        </w:tc>
        <w:tc>
          <w:tcPr>
            <w:tcW w:w="1431" w:type="pct"/>
          </w:tcPr>
          <w:p w14:paraId="0CDB15F6" w14:textId="4F01BE13" w:rsidR="00233EFB" w:rsidRPr="00781112" w:rsidRDefault="00233EFB" w:rsidP="00AF574F">
            <w:pPr>
              <w:jc w:val="center"/>
              <w:rPr>
                <w:rFonts w:cs="Arial"/>
                <w:color w:val="000000" w:themeColor="text1"/>
                <w:szCs w:val="16"/>
              </w:rPr>
            </w:pPr>
            <w:r w:rsidRPr="00781112">
              <w:rPr>
                <w:color w:val="000000" w:themeColor="text1"/>
                <w:szCs w:val="16"/>
              </w:rPr>
              <w:t>76.00%</w:t>
            </w:r>
          </w:p>
        </w:tc>
        <w:tc>
          <w:tcPr>
            <w:tcW w:w="1430" w:type="pct"/>
          </w:tcPr>
          <w:p w14:paraId="4BE6282D" w14:textId="241D14B5" w:rsidR="00233EFB" w:rsidRPr="00781112" w:rsidRDefault="00233EFB" w:rsidP="00AF574F">
            <w:pPr>
              <w:jc w:val="center"/>
              <w:rPr>
                <w:rFonts w:cs="Arial"/>
                <w:color w:val="000000" w:themeColor="text1"/>
                <w:szCs w:val="16"/>
              </w:rPr>
            </w:pPr>
            <w:r w:rsidRPr="00781112">
              <w:rPr>
                <w:color w:val="000000" w:themeColor="text1"/>
                <w:szCs w:val="16"/>
              </w:rPr>
              <w:t>76.50%</w:t>
            </w:r>
          </w:p>
        </w:tc>
      </w:tr>
      <w:tr w:rsidR="00233EFB" w:rsidRPr="00781112" w14:paraId="571B685C" w14:textId="45446171" w:rsidTr="00FE4611">
        <w:trPr>
          <w:trHeight w:val="396"/>
        </w:trPr>
        <w:tc>
          <w:tcPr>
            <w:tcW w:w="708" w:type="pct"/>
            <w:shd w:val="clear" w:color="auto" w:fill="auto"/>
          </w:tcPr>
          <w:p w14:paraId="4D525255" w14:textId="5D1105EA" w:rsidR="00233EFB" w:rsidRPr="00781112" w:rsidRDefault="00233EFB" w:rsidP="00BA3DBE">
            <w:pPr>
              <w:jc w:val="center"/>
              <w:rPr>
                <w:rFonts w:cs="Arial"/>
                <w:color w:val="000000" w:themeColor="text1"/>
                <w:szCs w:val="16"/>
              </w:rPr>
            </w:pPr>
            <w:r w:rsidRPr="00781112">
              <w:rPr>
                <w:rFonts w:cs="Arial"/>
                <w:color w:val="000000" w:themeColor="text1"/>
                <w:szCs w:val="16"/>
              </w:rPr>
              <w:t>Target C &gt;=</w:t>
            </w:r>
          </w:p>
        </w:tc>
        <w:tc>
          <w:tcPr>
            <w:tcW w:w="1431" w:type="pct"/>
            <w:shd w:val="clear" w:color="auto" w:fill="auto"/>
            <w:vAlign w:val="center"/>
          </w:tcPr>
          <w:p w14:paraId="6A2D65BD" w14:textId="1F6D3E1F" w:rsidR="00233EFB" w:rsidRPr="00781112" w:rsidRDefault="00233EFB" w:rsidP="00AF574F">
            <w:pPr>
              <w:jc w:val="center"/>
              <w:rPr>
                <w:rFonts w:cs="Arial"/>
                <w:color w:val="000000" w:themeColor="text1"/>
                <w:szCs w:val="16"/>
              </w:rPr>
            </w:pPr>
            <w:r w:rsidRPr="00781112">
              <w:rPr>
                <w:rFonts w:cs="Arial"/>
                <w:color w:val="000000" w:themeColor="text1"/>
                <w:szCs w:val="16"/>
              </w:rPr>
              <w:t>91.50%</w:t>
            </w:r>
          </w:p>
        </w:tc>
        <w:tc>
          <w:tcPr>
            <w:tcW w:w="1431" w:type="pct"/>
          </w:tcPr>
          <w:p w14:paraId="6B5B030A" w14:textId="41C6CE98" w:rsidR="00233EFB" w:rsidRPr="00781112" w:rsidRDefault="00233EFB" w:rsidP="00AF574F">
            <w:pPr>
              <w:jc w:val="center"/>
              <w:rPr>
                <w:rFonts w:cs="Arial"/>
                <w:color w:val="000000" w:themeColor="text1"/>
                <w:szCs w:val="16"/>
              </w:rPr>
            </w:pPr>
            <w:r w:rsidRPr="00781112">
              <w:rPr>
                <w:color w:val="000000" w:themeColor="text1"/>
                <w:szCs w:val="16"/>
              </w:rPr>
              <w:t>92.00%</w:t>
            </w:r>
          </w:p>
        </w:tc>
        <w:tc>
          <w:tcPr>
            <w:tcW w:w="1430" w:type="pct"/>
          </w:tcPr>
          <w:p w14:paraId="1D90926B" w14:textId="034D06FC" w:rsidR="00233EFB" w:rsidRPr="00781112" w:rsidRDefault="00233EFB" w:rsidP="00AF574F">
            <w:pPr>
              <w:jc w:val="center"/>
              <w:rPr>
                <w:rFonts w:cs="Arial"/>
                <w:color w:val="000000" w:themeColor="text1"/>
                <w:szCs w:val="16"/>
              </w:rPr>
            </w:pPr>
            <w:r w:rsidRPr="00781112">
              <w:rPr>
                <w:color w:val="000000" w:themeColor="text1"/>
                <w:szCs w:val="16"/>
              </w:rPr>
              <w:t>92.50%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0D80EDD0" w14:textId="285AFA3B" w:rsidR="000A2C83" w:rsidRPr="00781112" w:rsidRDefault="002B7490" w:rsidP="000A2C83">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262FFC50" w14:textId="3E779EE8" w:rsidR="000A2C83" w:rsidRPr="00781112" w:rsidRDefault="000A2C83" w:rsidP="000A2C83">
      <w:pPr>
        <w:rPr>
          <w:rFonts w:cs="Arial"/>
          <w:color w:val="000000" w:themeColor="text1"/>
          <w:szCs w:val="16"/>
        </w:rPr>
      </w:pPr>
    </w:p>
    <w:p w14:paraId="4522ADD4" w14:textId="77777777" w:rsidR="00E448E9" w:rsidRPr="00781112" w:rsidRDefault="00E448E9" w:rsidP="004369B2">
      <w:pPr>
        <w:rPr>
          <w:color w:val="000000" w:themeColor="text1"/>
        </w:rPr>
      </w:pPr>
      <w:bookmarkStart w:id="88" w:name="_Toc392159337"/>
    </w:p>
    <w:bookmarkEnd w:id="88"/>
    <w:p w14:paraId="4202DC3A" w14:textId="074C22DE" w:rsidR="00A03EFA"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5,386</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3,384</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62.83%</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1,103</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1,031</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1,250</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0</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0EE25427"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5152926B" w14:textId="1BC303CF" w:rsidR="00B1652C" w:rsidRPr="006D0A52" w:rsidRDefault="00B1652C" w:rsidP="00B1652C">
            <w:pPr>
              <w:jc w:val="center"/>
              <w:rPr>
                <w:rFonts w:cs="Arial"/>
                <w:b/>
                <w:bCs/>
                <w:color w:val="000000" w:themeColor="text1"/>
                <w:szCs w:val="16"/>
              </w:rPr>
            </w:pPr>
            <w:r w:rsidRPr="006D0A52">
              <w:rPr>
                <w:b/>
                <w:bCs/>
              </w:rPr>
              <w:t>FFY 2023 Target</w:t>
            </w:r>
          </w:p>
        </w:tc>
        <w:tc>
          <w:tcPr>
            <w:tcW w:w="625" w:type="pct"/>
            <w:shd w:val="clear" w:color="auto" w:fill="auto"/>
            <w:vAlign w:val="bottom"/>
          </w:tcPr>
          <w:p w14:paraId="520BBB1B" w14:textId="2375D30C" w:rsidR="00B1652C" w:rsidRPr="006D0A52" w:rsidRDefault="00B1652C" w:rsidP="00B1652C">
            <w:pPr>
              <w:jc w:val="center"/>
              <w:rPr>
                <w:rFonts w:cs="Arial"/>
                <w:b/>
                <w:bCs/>
                <w:color w:val="000000" w:themeColor="text1"/>
                <w:szCs w:val="16"/>
              </w:rPr>
            </w:pPr>
            <w:r w:rsidRPr="006D0A52">
              <w:rPr>
                <w:b/>
                <w:bCs/>
              </w:rPr>
              <w:t>FFY 2023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1,103</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3,384</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32.49%</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37.00%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32.59%</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2,134</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3,384</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63.38%</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75.50%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63.06%</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3,384</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3,384</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91.50%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2: Report in alignment with the term “competitive integrated employment” and its definition, in section 7(5) of the Rehabilitation Act, as amended by Workforce Innovation and Opportunity Act (WIOA), and 34 CFR §361.5(c)(9).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2022</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2023</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52.27%</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62.83%</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 xml:space="preserve">Louisiana’s methodology in determining the response data representative to the demographics of youth who are no longer in school and had IEPs in effect at the time they left school, Louisiana chose to analyze primary disability and race/ethnicity as the demographics using a +/- 3 percentage point discrepancy in the proportion of responders compared to the target group. The analysis of demographics of race/ethnicity and primary disability revealed they were within +/- 3.0 percentage point discrepancy in most demographic areas by primary disability and race/ethnicity. A few outliers exceeded +/- 3 percentage point discrepancy threshold when compared to all exiters in the census population.  </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Louisiana uses a census method to collect data; the State does not sample. School systems disseminated the survey to post-school youth, and results were captured in the State's Special Education Reporting (eSER) data system. In FFY 2023, LDOE collected data and reviewed response rates to determine whether the response group was representative of the demographics of youth who are no longer in secondary school and had IEPs in effect at the time they left school. Specifically, LDOE analyzed survey results by race/ethnicity and primary disability comparing survey responses to 2023-2024 Exit Data. LDOE determined the response group was not representative of the demographics of youth who are no longer in secondary school and had IEPs in effect at the time they left school, specifically for students with hearing impairment and students with intellectual disabilities. </w:t>
      </w:r>
      <w:r w:rsidRPr="008D51F2">
        <w:br/>
      </w:r>
      <w:r w:rsidRPr="008D51F2">
        <w:br/>
        <w:t>Disability   Percentage of Exiters  Percentage of Survey Completers Percentage Point Difference</w:t>
      </w:r>
      <w:r w:rsidRPr="008D51F2">
        <w:br/>
        <w:t>Autism  7.8%  9.1%  2.1%</w:t>
      </w:r>
      <w:r w:rsidRPr="008D51F2">
        <w:br/>
        <w:t>Deaf-Blindness  0.0%  0.0%  0.0%</w:t>
      </w:r>
      <w:r w:rsidRPr="008D51F2">
        <w:br/>
        <w:t>Emotional Disability  3.7%  13.3%  2.9%</w:t>
      </w:r>
      <w:r w:rsidRPr="008D51F2">
        <w:br/>
        <w:t>Hearing Impairment  1.6%  21.7% -21.4%</w:t>
      </w:r>
      <w:r w:rsidRPr="008D51F2">
        <w:br/>
        <w:t>Intellectual Disability  14.0%  28.6%  7.6%</w:t>
      </w:r>
      <w:r w:rsidRPr="008D51F2">
        <w:br/>
      </w:r>
      <w:r w:rsidRPr="008D51F2">
        <w:lastRenderedPageBreak/>
        <w:t>Multiple Disabilities  1.2%  3.9%  1.2%</w:t>
      </w:r>
      <w:r w:rsidRPr="008D51F2">
        <w:br/>
        <w:t>Orthopedic Impairment  1.0%  5.4%  2.3%</w:t>
      </w:r>
      <w:r w:rsidRPr="008D51F2">
        <w:br/>
        <w:t>Other Health Impairment  20.2%  9.3%  2.1%</w:t>
      </w:r>
      <w:r w:rsidRPr="008D51F2">
        <w:br/>
        <w:t>Specific Learning Disability 47.4%  8.2%  3.0%</w:t>
      </w:r>
      <w:r w:rsidRPr="008D51F2">
        <w:br/>
        <w:t>Speech or Language Impairment 1.8%  0.0%  0.0%</w:t>
      </w:r>
      <w:r w:rsidRPr="008D51F2">
        <w:br/>
        <w:t>Traumatic Brain Injury  0.5%  0.0%  0.0%</w:t>
      </w:r>
      <w:r w:rsidRPr="008D51F2">
        <w:br/>
        <w:t>Visual Impairment  0.6%  0.4%  0.1%</w:t>
      </w:r>
      <w:r w:rsidRPr="008D51F2">
        <w:br/>
      </w:r>
      <w:r w:rsidRPr="008D51F2">
        <w:br/>
      </w:r>
      <w:r w:rsidRPr="008D51F2">
        <w:br/>
        <w:t>Race/Ethnicity  Percentage of Exiters  Percentage of Survey Completers  Percentage Point Difference</w:t>
      </w:r>
      <w:r w:rsidRPr="008D51F2">
        <w:br/>
        <w:t>American Indian/Alaskan Native  0.6%  0.2%  -0.4%</w:t>
      </w:r>
      <w:r w:rsidRPr="008D51F2">
        <w:br/>
        <w:t>Asian  0.4%  1.0%  0.6%</w:t>
      </w:r>
      <w:r w:rsidRPr="008D51F2">
        <w:br/>
        <w:t>Black or African American 51.2%  52.0%  0.7%</w:t>
      </w:r>
      <w:r w:rsidRPr="008D51F2">
        <w:br/>
        <w:t>Native Hawaiian/Pacific Islander  0.0%  0.1%  0.0%</w:t>
      </w:r>
      <w:r w:rsidRPr="008D51F2">
        <w:br/>
        <w:t>Hispanic/Latino  3.6%  2.3%  -1.3%</w:t>
      </w:r>
      <w:r w:rsidRPr="008D51F2">
        <w:br/>
        <w:t>White (not Hispanic)  42.4%  43.0%  0.6%</w:t>
      </w:r>
      <w:r w:rsidRPr="008D51F2">
        <w:br/>
        <w:t>Two or More Races  1.8%  1.6%  -0.2%</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The State will use several strategies to help ensure future response data are representative of the students. Specifically for students who are deaf or hard of hearing and for students with intellectual disabilities outreach will be tailored through advocacy organizations to assist with survey completion and communication. The State will also provide guidance to LEAs that leverages transition specialists and vocational rehabilitation counselors to also assist with this survey completion and communication.</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The State's Post School Transition survey is provided to school systems. School systems disseminate the survey to post-school youth using their preferred method, and results are collected in the State's eSER system. To increase the response rate year over year, the LDOE will also provide school systems with a QR code for the survey to disseminate to youth who are no longer in high school. Youth who are no longer in school can use the QR code to complete the survey on a mobile device. The eSER system is also being enhanced to collect more contact information, such as an email address, to better reach youth who are no longer in school.</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To ensure minimal nonresponse bias, Louisiana surveys all exiting students. The response rate was 62.83 percent with 3,384 respondents out of 5,386. Specifically, LDOE analyzed survey results by race / ethnicity and specific disabilities, comparing survey responses to the October 2022 public IDEA student count. LDOE determined the response group was representative of the demographics of youth who are no longer in secondary school and had IEPs in effect at the time they left school. he analysis of demographics of race/ethnicity and primary disability revealed they were within +/- 3.0 percentage point discrepancy in most demographic areas by primary disability and race/ethnicity. A few outliers exceeded +/- 3 percentage point discrepancy threshold when compared to all exiters in the census population. School systems employed a variety of efforts to reach students and families. School system staff reached out to community agencies for current contact information when needed; they describe using multiple attempts using all phone numbers on record to contact each family, calling at different days and different times.</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9" w:name="_Toc382082390"/>
      <w:bookmarkStart w:id="90"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 xml:space="preserve">Louisiana's Post School Transition survey is available on the State's website at https://doe.louisiana.gov/docs/default-source/academics/post-school-transition-survey.pdf?sfvrsn=17909b1f_0. </w:t>
      </w: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In the FFY 2023 SPP/APR, the State must report the metric used to determine representativeness, as required by the Measurement Table.</w:t>
      </w:r>
      <w:r w:rsidRPr="00781112">
        <w:rPr>
          <w:rFonts w:cs="Arial"/>
          <w:color w:val="000000" w:themeColor="text1"/>
          <w:szCs w:val="16"/>
        </w:rPr>
        <w:br/>
      </w:r>
      <w:r w:rsidRPr="00781112">
        <w:rPr>
          <w:rFonts w:cs="Arial"/>
          <w:color w:val="000000" w:themeColor="text1"/>
          <w:szCs w:val="16"/>
        </w:rPr>
        <w:br/>
        <w:t xml:space="preserve">In the FFY 2023 SPP/APR, the State must report whether the FFY 2023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r w:rsidRPr="00781112">
        <w:rPr>
          <w:rFonts w:cs="Arial"/>
          <w:color w:val="000000" w:themeColor="text1"/>
          <w:szCs w:val="16"/>
        </w:rPr>
        <w:br/>
      </w:r>
      <w:r w:rsidRPr="00781112">
        <w:rPr>
          <w:rFonts w:cs="Arial"/>
          <w:color w:val="000000" w:themeColor="text1"/>
          <w:szCs w:val="16"/>
        </w:rPr>
        <w:br/>
        <w:t>In the FFY 2023 SPP/APR, the State must analyze the response rate to identify potential nonresponse bias and the steps taken to reduce any identified bias and promote response from a broad cross section of youth who are no longer in secondary school and had IEPs in effect at the time they left school, as required by the Measurement Table.</w:t>
      </w:r>
    </w:p>
    <w:p w14:paraId="09927E6D" w14:textId="7A2E4BB2" w:rsidR="000A2C83" w:rsidRPr="00781112" w:rsidRDefault="007639D7" w:rsidP="004369B2">
      <w:pPr>
        <w:rPr>
          <w:b/>
          <w:color w:val="000000" w:themeColor="text1"/>
        </w:rPr>
      </w:pPr>
      <w:r>
        <w:rPr>
          <w:b/>
          <w:color w:val="000000" w:themeColor="text1"/>
        </w:rPr>
        <w:t>Response to actions required in FFY 2022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lastRenderedPageBreak/>
        <w:t>In the FFY 2023 SPP/APR, Louisiana reported the metric used to determine representativeness, reported that the data are not representative and added strategies.</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B7490" w:rsidP="001F692C">
      <w:pPr>
        <w:rPr>
          <w:rFonts w:cs="Arial"/>
          <w:color w:val="000000" w:themeColor="text1"/>
          <w:szCs w:val="16"/>
        </w:rPr>
      </w:pPr>
      <w:r w:rsidRPr="00781112">
        <w:rPr>
          <w:rFonts w:cs="Arial"/>
          <w:color w:val="000000" w:themeColor="text1"/>
          <w:szCs w:val="16"/>
        </w:rPr>
        <w:t xml:space="preserve">The State did not analyze the response rate to (1) identify potential nonresponse bias and (2) the steps taken to reduce any identified bias to promote response from a broad cross section of youth who are no longer in secondary school and had IEPs in effect at the time they left school, as required by the Measurement Table. </w:t>
      </w: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w:t>
      </w:r>
      <w:r w:rsidRPr="00781112">
        <w:rPr>
          <w:rFonts w:cs="Arial"/>
          <w:color w:val="000000" w:themeColor="text1"/>
          <w:szCs w:val="16"/>
        </w:rPr>
        <w:br/>
      </w:r>
      <w:r w:rsidRPr="00781112">
        <w:rPr>
          <w:rFonts w:cs="Arial"/>
          <w:color w:val="000000" w:themeColor="text1"/>
          <w:szCs w:val="16"/>
        </w:rPr>
        <w:br/>
        <w:t>In the FFY 2024 SPP/APR, the State must analyze the response rate to identify potential nonresponse bias and the steps taken to reduce any identified bias and promote response from a broad cross section of youth who are no longer in secondary school and had IEPs in effect at the time they left school, as required by the Measurement Table.</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9"/>
      <w:bookmarkEnd w:id="90"/>
    </w:p>
    <w:p w14:paraId="7EA31497" w14:textId="6754F874" w:rsidR="005B0B58" w:rsidRPr="002C274F" w:rsidRDefault="005B0B58" w:rsidP="002C274F">
      <w:pPr>
        <w:rPr>
          <w:b/>
          <w:bCs/>
          <w:sz w:val="20"/>
          <w:szCs w:val="20"/>
        </w:rPr>
      </w:pPr>
      <w:bookmarkStart w:id="91" w:name="_Toc381786822"/>
      <w:bookmarkStart w:id="92" w:name="_Toc382731911"/>
      <w:bookmarkStart w:id="93" w:name="_Toc382731912"/>
      <w:bookmarkStart w:id="94" w:name="_Toc392159340"/>
      <w:bookmarkEnd w:id="91"/>
      <w:bookmarkEnd w:id="92"/>
      <w:r w:rsidRPr="002C274F">
        <w:rPr>
          <w:b/>
          <w:bCs/>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3A1BE909"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3"/>
    <w:bookmarkEnd w:id="94"/>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18</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7</w:t>
            </w:r>
          </w:p>
        </w:tc>
      </w:tr>
    </w:tbl>
    <w:p w14:paraId="162CEFB3" w14:textId="55A4ED3A" w:rsidR="004A33CD" w:rsidRPr="00781112" w:rsidRDefault="00E31E29">
      <w:pPr>
        <w:rPr>
          <w:b/>
          <w:color w:val="000000" w:themeColor="text1"/>
        </w:rPr>
      </w:pPr>
      <w:bookmarkStart w:id="95" w:name="_Toc382731913"/>
      <w:bookmarkStart w:id="96"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60B2BAB4" w14:textId="6EAE1CD9" w:rsidR="000A2C83" w:rsidRPr="00781112" w:rsidRDefault="002B7490" w:rsidP="000A2C83">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br/>
        <w:t xml:space="preserve">The LDOE set targets based on feedback, historical data, and whether previous targets set were met. LDOE will continue to monitor data, targets, and </w:t>
      </w:r>
      <w:r w:rsidRPr="00781112">
        <w:rPr>
          <w:rFonts w:cs="Arial"/>
          <w:color w:val="000000" w:themeColor="text1"/>
          <w:szCs w:val="16"/>
        </w:rPr>
        <w:lastRenderedPageBreak/>
        <w:t xml:space="preserve">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43B1695A" w14:textId="2970A905" w:rsidR="000A2C83" w:rsidRPr="00781112" w:rsidRDefault="000A2C83" w:rsidP="000A2C83">
      <w:pPr>
        <w:rPr>
          <w:rFonts w:cs="Arial"/>
          <w:color w:val="000000" w:themeColor="text1"/>
          <w:szCs w:val="16"/>
        </w:rPr>
      </w:pPr>
    </w:p>
    <w:bookmarkEnd w:id="95"/>
    <w:bookmarkEnd w:id="96"/>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60.00%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28.57%</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35.29%</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58.82%</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40.91%</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64.71%</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2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tblGrid>
      <w:tr w:rsidR="00233EFB" w:rsidRPr="00781112" w14:paraId="5B5B06C7" w14:textId="5314EC59" w:rsidTr="00FE4611">
        <w:trPr>
          <w:trHeight w:val="431"/>
        </w:trPr>
        <w:tc>
          <w:tcPr>
            <w:tcW w:w="760" w:type="pct"/>
            <w:tcBorders>
              <w:bottom w:val="single" w:sz="4" w:space="0" w:color="auto"/>
            </w:tcBorders>
            <w:shd w:val="clear" w:color="auto" w:fill="auto"/>
          </w:tcPr>
          <w:p w14:paraId="31E34DD6" w14:textId="77777777" w:rsidR="00233EFB" w:rsidRPr="00781112" w:rsidRDefault="00233EFB" w:rsidP="00AF574F">
            <w:pPr>
              <w:jc w:val="center"/>
              <w:rPr>
                <w:b/>
                <w:color w:val="000000" w:themeColor="text1"/>
              </w:rPr>
            </w:pPr>
            <w:r w:rsidRPr="00781112">
              <w:rPr>
                <w:b/>
                <w:color w:val="000000" w:themeColor="text1"/>
              </w:rPr>
              <w:t>FFY</w:t>
            </w:r>
          </w:p>
        </w:tc>
        <w:tc>
          <w:tcPr>
            <w:tcW w:w="1668" w:type="pct"/>
            <w:shd w:val="clear" w:color="auto" w:fill="auto"/>
          </w:tcPr>
          <w:p w14:paraId="782DDA76" w14:textId="193A6DE4" w:rsidR="00233EFB" w:rsidRPr="00781112" w:rsidRDefault="00233EFB" w:rsidP="00AF574F">
            <w:pPr>
              <w:jc w:val="center"/>
              <w:rPr>
                <w:b/>
                <w:color w:val="000000" w:themeColor="text1"/>
              </w:rPr>
            </w:pPr>
            <w:r w:rsidRPr="00781112">
              <w:rPr>
                <w:b/>
                <w:color w:val="000000" w:themeColor="text1"/>
              </w:rPr>
              <w:t>2023</w:t>
            </w:r>
          </w:p>
        </w:tc>
        <w:tc>
          <w:tcPr>
            <w:tcW w:w="1286" w:type="pct"/>
          </w:tcPr>
          <w:p w14:paraId="64BBFFA7" w14:textId="5A89DD6A" w:rsidR="00233EFB" w:rsidRPr="00781112" w:rsidRDefault="00233EFB" w:rsidP="00AD75EE">
            <w:pPr>
              <w:spacing w:before="0" w:after="200" w:line="276" w:lineRule="auto"/>
              <w:jc w:val="center"/>
            </w:pPr>
            <w:r w:rsidRPr="00781112">
              <w:rPr>
                <w:rFonts w:cs="Arial"/>
                <w:b/>
                <w:color w:val="000000" w:themeColor="text1"/>
                <w:szCs w:val="16"/>
              </w:rPr>
              <w:t>2024</w:t>
            </w:r>
          </w:p>
        </w:tc>
        <w:tc>
          <w:tcPr>
            <w:tcW w:w="1286" w:type="pct"/>
          </w:tcPr>
          <w:p w14:paraId="1B4B8409" w14:textId="760000D9" w:rsidR="00233EFB" w:rsidRPr="00781112" w:rsidRDefault="00233EFB" w:rsidP="00AD75EE">
            <w:pPr>
              <w:spacing w:before="0" w:after="200" w:line="276" w:lineRule="auto"/>
              <w:jc w:val="center"/>
            </w:pPr>
            <w:r w:rsidRPr="00781112">
              <w:rPr>
                <w:rFonts w:cs="Arial"/>
                <w:b/>
                <w:color w:val="000000" w:themeColor="text1"/>
                <w:szCs w:val="16"/>
              </w:rPr>
              <w:t>2025</w:t>
            </w:r>
          </w:p>
        </w:tc>
      </w:tr>
      <w:tr w:rsidR="00233EFB" w:rsidRPr="00781112" w14:paraId="2E97FCFB" w14:textId="76FCB4DE" w:rsidTr="00FE4611">
        <w:trPr>
          <w:trHeight w:val="521"/>
        </w:trPr>
        <w:tc>
          <w:tcPr>
            <w:tcW w:w="760" w:type="pct"/>
            <w:shd w:val="clear" w:color="auto" w:fill="auto"/>
          </w:tcPr>
          <w:p w14:paraId="4E1FED50" w14:textId="35E6081C" w:rsidR="00233EFB" w:rsidRPr="00781112" w:rsidRDefault="00233EFB" w:rsidP="00BA3DBE">
            <w:pPr>
              <w:jc w:val="center"/>
              <w:rPr>
                <w:rFonts w:cs="Arial"/>
                <w:color w:val="000000" w:themeColor="text1"/>
                <w:szCs w:val="16"/>
              </w:rPr>
            </w:pPr>
            <w:r w:rsidRPr="00781112">
              <w:rPr>
                <w:rFonts w:cs="Arial"/>
                <w:color w:val="000000" w:themeColor="text1"/>
                <w:szCs w:val="16"/>
              </w:rPr>
              <w:t>Target &gt;=</w:t>
            </w:r>
          </w:p>
        </w:tc>
        <w:tc>
          <w:tcPr>
            <w:tcW w:w="1668" w:type="pct"/>
            <w:shd w:val="clear" w:color="auto" w:fill="auto"/>
            <w:vAlign w:val="center"/>
          </w:tcPr>
          <w:p w14:paraId="39DFFAEB" w14:textId="54D1D7D6" w:rsidR="00233EFB" w:rsidRPr="00781112" w:rsidRDefault="00233EFB" w:rsidP="008D24E3">
            <w:pPr>
              <w:jc w:val="center"/>
              <w:rPr>
                <w:rFonts w:cs="Arial"/>
                <w:color w:val="000000" w:themeColor="text1"/>
                <w:szCs w:val="16"/>
              </w:rPr>
            </w:pPr>
            <w:r w:rsidRPr="00781112">
              <w:rPr>
                <w:rFonts w:cs="Arial"/>
                <w:color w:val="000000" w:themeColor="text1"/>
                <w:szCs w:val="16"/>
              </w:rPr>
              <w:t>75.00%</w:t>
            </w:r>
          </w:p>
        </w:tc>
        <w:tc>
          <w:tcPr>
            <w:tcW w:w="1286" w:type="pct"/>
          </w:tcPr>
          <w:p w14:paraId="57B3A075" w14:textId="21F2B25E" w:rsidR="00233EFB" w:rsidRPr="00781112" w:rsidRDefault="00233EFB" w:rsidP="008D24E3">
            <w:pPr>
              <w:spacing w:before="0" w:after="200" w:line="276" w:lineRule="auto"/>
              <w:jc w:val="center"/>
            </w:pPr>
            <w:r w:rsidRPr="00781112">
              <w:rPr>
                <w:color w:val="000000" w:themeColor="text1"/>
                <w:szCs w:val="16"/>
              </w:rPr>
              <w:t>75.00%</w:t>
            </w:r>
          </w:p>
        </w:tc>
        <w:tc>
          <w:tcPr>
            <w:tcW w:w="1286" w:type="pct"/>
          </w:tcPr>
          <w:p w14:paraId="211F936E" w14:textId="58F0DC2F" w:rsidR="00233EFB" w:rsidRPr="00781112" w:rsidRDefault="00233EFB" w:rsidP="008D24E3">
            <w:pPr>
              <w:spacing w:before="0" w:after="200" w:line="276" w:lineRule="auto"/>
              <w:jc w:val="center"/>
            </w:pPr>
            <w:r w:rsidRPr="00781112">
              <w:rPr>
                <w:color w:val="000000" w:themeColor="text1"/>
                <w:szCs w:val="16"/>
              </w:rPr>
              <w:t>75.00%</w:t>
            </w:r>
          </w:p>
        </w:tc>
      </w:tr>
    </w:tbl>
    <w:p w14:paraId="25B7ED55" w14:textId="77777777" w:rsidR="00CE0C68" w:rsidRPr="00781112" w:rsidRDefault="00CE0C68" w:rsidP="004369B2">
      <w:pPr>
        <w:rPr>
          <w:color w:val="000000" w:themeColor="text1"/>
        </w:rPr>
      </w:pPr>
    </w:p>
    <w:p w14:paraId="639445A0" w14:textId="283AE359" w:rsidR="00634AD8" w:rsidRPr="00781112" w:rsidRDefault="0047313F">
      <w:pPr>
        <w:rPr>
          <w:b/>
          <w:color w:val="000000" w:themeColor="text1"/>
        </w:rPr>
      </w:pPr>
      <w:r>
        <w:rPr>
          <w:b/>
          <w:color w:val="000000" w:themeColor="text1"/>
        </w:rPr>
        <w:t>FFY 2023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76309496" w:rsidR="00B21923" w:rsidRPr="006D0A52" w:rsidRDefault="00B21923" w:rsidP="00B21923">
            <w:pPr>
              <w:jc w:val="center"/>
              <w:rPr>
                <w:rFonts w:cs="Arial"/>
                <w:b/>
                <w:bCs/>
                <w:color w:val="000000" w:themeColor="text1"/>
                <w:szCs w:val="16"/>
              </w:rPr>
            </w:pPr>
            <w:r w:rsidRPr="006D0A52">
              <w:rPr>
                <w:b/>
                <w:bCs/>
              </w:rPr>
              <w:t>FFY 2022 Data</w:t>
            </w:r>
          </w:p>
        </w:tc>
        <w:tc>
          <w:tcPr>
            <w:tcW w:w="884" w:type="pct"/>
            <w:shd w:val="clear" w:color="auto" w:fill="auto"/>
            <w:vAlign w:val="bottom"/>
          </w:tcPr>
          <w:p w14:paraId="5285C3DA" w14:textId="40C134BB" w:rsidR="00B21923" w:rsidRPr="006D0A52" w:rsidRDefault="00B21923" w:rsidP="00B21923">
            <w:pPr>
              <w:jc w:val="center"/>
              <w:rPr>
                <w:rFonts w:cs="Arial"/>
                <w:b/>
                <w:bCs/>
                <w:color w:val="000000" w:themeColor="text1"/>
                <w:szCs w:val="16"/>
              </w:rPr>
            </w:pPr>
            <w:r w:rsidRPr="006D0A52">
              <w:rPr>
                <w:b/>
                <w:bCs/>
              </w:rPr>
              <w:t>FFY 2023 Target</w:t>
            </w:r>
          </w:p>
        </w:tc>
        <w:tc>
          <w:tcPr>
            <w:tcW w:w="692" w:type="pct"/>
            <w:shd w:val="clear" w:color="auto" w:fill="auto"/>
            <w:vAlign w:val="bottom"/>
          </w:tcPr>
          <w:p w14:paraId="767EE33A" w14:textId="4F10B5AF" w:rsidR="00B21923" w:rsidRPr="006D0A52" w:rsidRDefault="00B21923" w:rsidP="00B21923">
            <w:pPr>
              <w:jc w:val="center"/>
              <w:rPr>
                <w:rFonts w:cs="Arial"/>
                <w:b/>
                <w:bCs/>
                <w:color w:val="000000" w:themeColor="text1"/>
                <w:szCs w:val="16"/>
              </w:rPr>
            </w:pPr>
            <w:r w:rsidRPr="006D0A52">
              <w:rPr>
                <w:b/>
                <w:bCs/>
              </w:rPr>
              <w:t>FFY 2023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7</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18</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64.71%</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38.89%</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7FB0CE9" w14:textId="4D22C9D8" w:rsidR="008E31C4" w:rsidRPr="00781112" w:rsidRDefault="00293C7E" w:rsidP="008E31C4">
      <w:pPr>
        <w:rPr>
          <w:rFonts w:cs="Arial"/>
          <w:b/>
          <w:i/>
          <w:color w:val="000000" w:themeColor="text1"/>
          <w:szCs w:val="16"/>
        </w:rPr>
      </w:pPr>
      <w:r w:rsidRPr="00781112">
        <w:rPr>
          <w:rFonts w:cs="Arial"/>
          <w:b/>
          <w:color w:val="000000" w:themeColor="text1"/>
          <w:szCs w:val="16"/>
        </w:rPr>
        <w:t>Provide reasons for slippage, if applicable</w:t>
      </w:r>
    </w:p>
    <w:p w14:paraId="6F380FC4" w14:textId="5A67135B" w:rsidR="00293C7E" w:rsidRPr="00781112" w:rsidRDefault="002B7490" w:rsidP="008E31C4">
      <w:pPr>
        <w:rPr>
          <w:rFonts w:cs="Arial"/>
          <w:color w:val="000000" w:themeColor="text1"/>
          <w:szCs w:val="16"/>
        </w:rPr>
      </w:pPr>
      <w:r w:rsidRPr="00781112">
        <w:rPr>
          <w:rFonts w:cs="Arial"/>
          <w:color w:val="000000" w:themeColor="text1"/>
          <w:szCs w:val="16"/>
        </w:rPr>
        <w:t xml:space="preserve">Indicator 15 data varies drastically each year in terms of the number of resolution sessions. In FFY 2022 the LDOE reported 34 resolution sessions whereas for FFY 2023 there were only 18. After reviewing the data, while 7 of the resolution sessions resulted in settlement agreements through resolution meetings, others were withdrawn or dismissed by the parent, including those resolved without a hearing. </w:t>
      </w:r>
    </w:p>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lastRenderedPageBreak/>
        <w:t>15 - OSEP Response</w:t>
      </w:r>
    </w:p>
    <w:p w14:paraId="639FEA08" w14:textId="30C19155" w:rsidR="00293C7E" w:rsidRPr="00781112" w:rsidRDefault="00293C7E" w:rsidP="001F692C">
      <w:pPr>
        <w:rPr>
          <w:rFonts w:cs="Arial"/>
          <w:color w:val="000000" w:themeColor="text1"/>
          <w:szCs w:val="16"/>
        </w:rPr>
      </w:pP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446D5125" w:rsidR="00BF232E" w:rsidRPr="002C274F" w:rsidRDefault="00BF232E" w:rsidP="002C274F">
      <w:pPr>
        <w:rPr>
          <w:b/>
          <w:bCs/>
          <w:sz w:val="20"/>
          <w:szCs w:val="20"/>
        </w:rPr>
      </w:pPr>
      <w:bookmarkStart w:id="97" w:name="_Toc382731916"/>
      <w:bookmarkStart w:id="98" w:name="_Toc392159344"/>
      <w:r w:rsidRPr="002C274F">
        <w:rPr>
          <w:b/>
          <w:bCs/>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749CC86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7"/>
    <w:bookmarkEnd w:id="98"/>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20</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7B6B5101" w14:textId="2C5569CC" w:rsidR="000A2C83" w:rsidRPr="00781112" w:rsidRDefault="002B7490" w:rsidP="000A2C83">
      <w:pPr>
        <w:rPr>
          <w:rFonts w:cs="Arial"/>
          <w:color w:val="000000" w:themeColor="text1"/>
          <w:szCs w:val="16"/>
        </w:rPr>
      </w:pPr>
      <w:r w:rsidRPr="00781112">
        <w:rPr>
          <w:rFonts w:cs="Arial"/>
          <w:color w:val="000000" w:themeColor="text1"/>
          <w:szCs w:val="16"/>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rFonts w:cs="Arial"/>
          <w:color w:val="000000" w:themeColor="text1"/>
          <w:szCs w:val="16"/>
        </w:rPr>
        <w:br/>
      </w:r>
      <w:r w:rsidRPr="00781112">
        <w:rPr>
          <w:rFonts w:cs="Arial"/>
          <w:color w:val="000000" w:themeColor="text1"/>
          <w:szCs w:val="16"/>
        </w:rPr>
        <w:br/>
        <w:t xml:space="preserve">Internal Review </w:t>
      </w:r>
      <w:r w:rsidRPr="00781112">
        <w:rPr>
          <w:rFonts w:cs="Arial"/>
          <w:color w:val="000000" w:themeColor="text1"/>
          <w:szCs w:val="16"/>
        </w:rPr>
        <w:br/>
        <w:t xml:space="preserve">The LDOE's Division for Diverse Learners reviewed historical data and LDOE policies, procedures, and practices; and collaborated with internal teams to develop targets that were rigorous and attainable. </w:t>
      </w:r>
      <w:r w:rsidRPr="00781112">
        <w:rPr>
          <w:rFonts w:cs="Arial"/>
          <w:color w:val="000000" w:themeColor="text1"/>
          <w:szCs w:val="16"/>
        </w:rPr>
        <w:br/>
      </w:r>
      <w:r w:rsidRPr="00781112">
        <w:rPr>
          <w:rFonts w:cs="Arial"/>
          <w:color w:val="000000" w:themeColor="text1"/>
          <w:szCs w:val="16"/>
        </w:rPr>
        <w:br/>
        <w:t>External Stakeholder Feedback</w:t>
      </w:r>
      <w:r w:rsidRPr="00781112">
        <w:rPr>
          <w:rFonts w:cs="Arial"/>
          <w:color w:val="000000" w:themeColor="text1"/>
          <w:szCs w:val="16"/>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rFonts w:cs="Arial"/>
          <w:color w:val="000000" w:themeColor="text1"/>
          <w:szCs w:val="16"/>
        </w:rPr>
        <w:br/>
      </w:r>
      <w:r w:rsidRPr="00781112">
        <w:rPr>
          <w:rFonts w:cs="Arial"/>
          <w:color w:val="000000" w:themeColor="text1"/>
          <w:szCs w:val="16"/>
        </w:rPr>
        <w:br/>
        <w:t>SEAP Integration</w:t>
      </w:r>
      <w:r w:rsidRPr="00781112">
        <w:rPr>
          <w:rFonts w:cs="Arial"/>
          <w:color w:val="000000" w:themeColor="text1"/>
          <w:szCs w:val="16"/>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rFonts w:cs="Arial"/>
          <w:color w:val="000000" w:themeColor="text1"/>
          <w:szCs w:val="16"/>
        </w:rPr>
        <w:br/>
      </w:r>
      <w:r w:rsidRPr="00781112">
        <w:rPr>
          <w:rFonts w:cs="Arial"/>
          <w:color w:val="000000" w:themeColor="text1"/>
          <w:szCs w:val="16"/>
        </w:rPr>
        <w:lastRenderedPageBreak/>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rFonts w:cs="Arial"/>
          <w:color w:val="000000" w:themeColor="text1"/>
          <w:szCs w:val="16"/>
        </w:rPr>
        <w:br/>
      </w:r>
      <w:r w:rsidRPr="00781112">
        <w:rPr>
          <w:rFonts w:cs="Arial"/>
          <w:color w:val="000000" w:themeColor="text1"/>
          <w:szCs w:val="16"/>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rFonts w:cs="Arial"/>
          <w:color w:val="000000" w:themeColor="text1"/>
          <w:szCs w:val="16"/>
        </w:rPr>
        <w:br/>
      </w:r>
      <w:r w:rsidRPr="00781112">
        <w:rPr>
          <w:rFonts w:cs="Arial"/>
          <w:color w:val="000000" w:themeColor="text1"/>
          <w:szCs w:val="16"/>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rFonts w:cs="Arial"/>
          <w:color w:val="000000" w:themeColor="text1"/>
          <w:szCs w:val="16"/>
        </w:rPr>
        <w:br/>
      </w:r>
      <w:r w:rsidRPr="00781112">
        <w:rPr>
          <w:rFonts w:cs="Arial"/>
          <w:color w:val="000000" w:themeColor="text1"/>
          <w:szCs w:val="16"/>
        </w:rPr>
        <w:br/>
        <w:t>Special Education Advisory Panel (SEAP)</w:t>
      </w:r>
      <w:r w:rsidRPr="00781112">
        <w:rPr>
          <w:rFonts w:cs="Arial"/>
          <w:color w:val="000000" w:themeColor="text1"/>
          <w:szCs w:val="16"/>
        </w:rPr>
        <w:br/>
        <w:t>Superintendent’s Teacher Advisory Council (which includes special educators)</w:t>
      </w:r>
      <w:r w:rsidRPr="00781112">
        <w:rPr>
          <w:rFonts w:cs="Arial"/>
          <w:color w:val="000000" w:themeColor="text1"/>
          <w:szCs w:val="16"/>
        </w:rPr>
        <w:br/>
        <w:t>Early Literacy Commission</w:t>
      </w:r>
      <w:r w:rsidRPr="00781112">
        <w:rPr>
          <w:rFonts w:cs="Arial"/>
          <w:color w:val="000000" w:themeColor="text1"/>
          <w:szCs w:val="16"/>
        </w:rPr>
        <w:br/>
        <w:t>Teacher Leader Advisors</w:t>
      </w:r>
      <w:r w:rsidRPr="00781112">
        <w:rPr>
          <w:rFonts w:cs="Arial"/>
          <w:color w:val="000000" w:themeColor="text1"/>
          <w:szCs w:val="16"/>
        </w:rPr>
        <w:br/>
        <w:t>Families Helping Families</w:t>
      </w:r>
      <w:r w:rsidRPr="00781112">
        <w:rPr>
          <w:rFonts w:cs="Arial"/>
          <w:color w:val="000000" w:themeColor="text1"/>
          <w:szCs w:val="16"/>
        </w:rPr>
        <w:br/>
        <w:t>Exceptional Lives Louisiana</w:t>
      </w:r>
      <w:r w:rsidRPr="00781112">
        <w:rPr>
          <w:rFonts w:cs="Arial"/>
          <w:color w:val="000000" w:themeColor="text1"/>
          <w:szCs w:val="16"/>
        </w:rPr>
        <w:br/>
        <w:t>Louisiana Developmental Disabilities Council</w:t>
      </w:r>
      <w:r w:rsidRPr="00781112">
        <w:rPr>
          <w:rFonts w:cs="Arial"/>
          <w:color w:val="000000" w:themeColor="text1"/>
          <w:szCs w:val="16"/>
        </w:rPr>
        <w:br/>
        <w:t>Governor’s Office of Disability Affairs</w:t>
      </w:r>
      <w:r w:rsidRPr="00781112">
        <w:rPr>
          <w:rFonts w:cs="Arial"/>
          <w:color w:val="000000" w:themeColor="text1"/>
          <w:szCs w:val="16"/>
        </w:rPr>
        <w:br/>
        <w:t>Louisiana Association of Special Education Supervisors</w:t>
      </w:r>
      <w:r w:rsidRPr="00781112">
        <w:rPr>
          <w:rFonts w:cs="Arial"/>
          <w:color w:val="000000" w:themeColor="text1"/>
          <w:szCs w:val="16"/>
        </w:rPr>
        <w:br/>
        <w:t>Monitoring Stakeholder Group</w:t>
      </w:r>
      <w:r w:rsidRPr="00781112">
        <w:rPr>
          <w:rFonts w:cs="Arial"/>
          <w:color w:val="000000" w:themeColor="text1"/>
          <w:szCs w:val="16"/>
        </w:rPr>
        <w:br/>
      </w:r>
      <w:r w:rsidRPr="00781112">
        <w:rPr>
          <w:rFonts w:cs="Arial"/>
          <w:color w:val="000000" w:themeColor="text1"/>
          <w:szCs w:val="16"/>
        </w:rPr>
        <w:br/>
        <w:t>Parents and parent-advocates are also often consulted by the State Superintendent, State Director and executive staff to provide input on key improvements.</w:t>
      </w:r>
      <w:r w:rsidRPr="00781112">
        <w:rPr>
          <w:rFonts w:cs="Arial"/>
          <w:color w:val="000000" w:themeColor="text1"/>
          <w:szCs w:val="16"/>
        </w:rPr>
        <w:br/>
      </w:r>
      <w:r w:rsidRPr="00781112">
        <w:rPr>
          <w:rFonts w:cs="Arial"/>
          <w:color w:val="000000" w:themeColor="text1"/>
          <w:szCs w:val="16"/>
        </w:rPr>
        <w:br/>
        <w:t>Surveys are also used to solicit improvement ideas from parents, administrators and educators including direction on state priorities and IDEA state set aside funding priorities.</w:t>
      </w:r>
    </w:p>
    <w:p w14:paraId="5F0F979C" w14:textId="2A86F023" w:rsidR="000A2C83" w:rsidRPr="00781112" w:rsidRDefault="000A2C83" w:rsidP="000A2C83">
      <w:pPr>
        <w:rPr>
          <w:rFonts w:cs="Arial"/>
          <w:color w:val="000000" w:themeColor="text1"/>
          <w:szCs w:val="16"/>
        </w:rPr>
      </w:pP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81.80%</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82.00%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82.00%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82.00%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82.00%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82.00%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70.59%</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72.73%</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45.45%</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60.00%</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61.54%</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2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gridCol w:w="1683"/>
      </w:tblGrid>
      <w:tr w:rsidR="00233EFB" w:rsidRPr="00781112" w14:paraId="7D6724D3" w14:textId="3FE2AE32" w:rsidTr="00FE4611">
        <w:trPr>
          <w:trHeight w:val="161"/>
        </w:trPr>
        <w:tc>
          <w:tcPr>
            <w:tcW w:w="664" w:type="pct"/>
            <w:tcBorders>
              <w:bottom w:val="single" w:sz="4" w:space="0" w:color="auto"/>
            </w:tcBorders>
            <w:shd w:val="clear" w:color="auto" w:fill="auto"/>
          </w:tcPr>
          <w:p w14:paraId="027FBB7B" w14:textId="77777777" w:rsidR="00233EFB" w:rsidRPr="00781112" w:rsidRDefault="00233EFB" w:rsidP="00C91F30">
            <w:pPr>
              <w:jc w:val="center"/>
              <w:rPr>
                <w:b/>
                <w:color w:val="000000" w:themeColor="text1"/>
              </w:rPr>
            </w:pPr>
            <w:r w:rsidRPr="00781112">
              <w:rPr>
                <w:b/>
                <w:color w:val="000000" w:themeColor="text1"/>
              </w:rPr>
              <w:t>FFY</w:t>
            </w:r>
          </w:p>
        </w:tc>
        <w:tc>
          <w:tcPr>
            <w:tcW w:w="1446" w:type="pct"/>
            <w:shd w:val="clear" w:color="auto" w:fill="auto"/>
          </w:tcPr>
          <w:p w14:paraId="79481979" w14:textId="1C95D22E" w:rsidR="00233EFB" w:rsidRPr="00781112" w:rsidRDefault="00233EFB" w:rsidP="00C91F30">
            <w:pPr>
              <w:jc w:val="center"/>
              <w:rPr>
                <w:b/>
                <w:color w:val="000000" w:themeColor="text1"/>
              </w:rPr>
            </w:pPr>
            <w:r w:rsidRPr="00781112">
              <w:rPr>
                <w:b/>
                <w:color w:val="000000" w:themeColor="text1"/>
              </w:rPr>
              <w:t>2023</w:t>
            </w:r>
          </w:p>
        </w:tc>
        <w:tc>
          <w:tcPr>
            <w:tcW w:w="1445" w:type="pct"/>
          </w:tcPr>
          <w:p w14:paraId="7641993D" w14:textId="318DCACC" w:rsidR="00233EFB" w:rsidRPr="00781112" w:rsidRDefault="00233EFB" w:rsidP="00C91F30">
            <w:pPr>
              <w:jc w:val="center"/>
              <w:rPr>
                <w:b/>
                <w:color w:val="000000" w:themeColor="text1"/>
              </w:rPr>
            </w:pPr>
            <w:r w:rsidRPr="00781112">
              <w:rPr>
                <w:rFonts w:cs="Arial"/>
                <w:b/>
                <w:color w:val="000000" w:themeColor="text1"/>
                <w:szCs w:val="16"/>
              </w:rPr>
              <w:t>2024</w:t>
            </w:r>
          </w:p>
        </w:tc>
        <w:tc>
          <w:tcPr>
            <w:tcW w:w="1445" w:type="pct"/>
          </w:tcPr>
          <w:p w14:paraId="4DA0BAA3" w14:textId="27A9B6F2" w:rsidR="00233EFB" w:rsidRPr="00781112" w:rsidRDefault="00233EFB" w:rsidP="00C91F30">
            <w:pPr>
              <w:jc w:val="center"/>
              <w:rPr>
                <w:b/>
                <w:color w:val="000000" w:themeColor="text1"/>
              </w:rPr>
            </w:pPr>
            <w:r w:rsidRPr="00781112">
              <w:rPr>
                <w:rFonts w:cs="Arial"/>
                <w:b/>
                <w:color w:val="000000" w:themeColor="text1"/>
                <w:szCs w:val="16"/>
              </w:rPr>
              <w:t>2025</w:t>
            </w:r>
          </w:p>
        </w:tc>
      </w:tr>
      <w:tr w:rsidR="00233EFB" w:rsidRPr="00781112" w14:paraId="3CA53C0F" w14:textId="2DEE5BE6" w:rsidTr="00FE4611">
        <w:trPr>
          <w:trHeight w:val="60"/>
        </w:trPr>
        <w:tc>
          <w:tcPr>
            <w:tcW w:w="664" w:type="pct"/>
            <w:shd w:val="clear" w:color="auto" w:fill="auto"/>
          </w:tcPr>
          <w:p w14:paraId="78FC9CAC" w14:textId="6980A1CA" w:rsidR="00233EFB" w:rsidRPr="00781112" w:rsidRDefault="00233EFB" w:rsidP="00C91F30">
            <w:pPr>
              <w:jc w:val="center"/>
              <w:rPr>
                <w:rFonts w:cs="Arial"/>
                <w:color w:val="000000" w:themeColor="text1"/>
                <w:szCs w:val="16"/>
              </w:rPr>
            </w:pPr>
            <w:r w:rsidRPr="00781112">
              <w:rPr>
                <w:rFonts w:cs="Arial"/>
                <w:color w:val="000000" w:themeColor="text1"/>
                <w:szCs w:val="16"/>
              </w:rPr>
              <w:t>Target &gt;=</w:t>
            </w:r>
          </w:p>
        </w:tc>
        <w:tc>
          <w:tcPr>
            <w:tcW w:w="1446" w:type="pct"/>
            <w:shd w:val="clear" w:color="auto" w:fill="auto"/>
            <w:vAlign w:val="center"/>
          </w:tcPr>
          <w:p w14:paraId="0E137397" w14:textId="06CBC1FD" w:rsidR="00233EFB" w:rsidRPr="00781112" w:rsidRDefault="00233EFB" w:rsidP="00C91F30">
            <w:pPr>
              <w:jc w:val="center"/>
              <w:rPr>
                <w:rFonts w:cs="Arial"/>
                <w:color w:val="000000" w:themeColor="text1"/>
                <w:szCs w:val="16"/>
              </w:rPr>
            </w:pPr>
            <w:r w:rsidRPr="00781112">
              <w:rPr>
                <w:rFonts w:cs="Arial"/>
                <w:color w:val="000000" w:themeColor="text1"/>
                <w:szCs w:val="16"/>
              </w:rPr>
              <w:t>82.00%</w:t>
            </w:r>
          </w:p>
        </w:tc>
        <w:tc>
          <w:tcPr>
            <w:tcW w:w="1445" w:type="pct"/>
          </w:tcPr>
          <w:p w14:paraId="2C484D83" w14:textId="77BCE060" w:rsidR="00233EFB" w:rsidRPr="00781112" w:rsidRDefault="00233EFB" w:rsidP="00C91F30">
            <w:pPr>
              <w:jc w:val="center"/>
              <w:rPr>
                <w:rFonts w:cs="Arial"/>
                <w:color w:val="000000" w:themeColor="text1"/>
                <w:szCs w:val="16"/>
              </w:rPr>
            </w:pPr>
            <w:r w:rsidRPr="00781112">
              <w:rPr>
                <w:color w:val="000000" w:themeColor="text1"/>
                <w:szCs w:val="16"/>
              </w:rPr>
              <w:t>82.00%</w:t>
            </w:r>
          </w:p>
        </w:tc>
        <w:tc>
          <w:tcPr>
            <w:tcW w:w="1445" w:type="pct"/>
          </w:tcPr>
          <w:p w14:paraId="6CD274F3" w14:textId="076582AE" w:rsidR="00233EFB" w:rsidRPr="00781112" w:rsidRDefault="00233EFB" w:rsidP="00C91F30">
            <w:pPr>
              <w:jc w:val="center"/>
              <w:rPr>
                <w:rFonts w:cs="Arial"/>
                <w:color w:val="000000" w:themeColor="text1"/>
                <w:szCs w:val="16"/>
              </w:rPr>
            </w:pPr>
            <w:r w:rsidRPr="00781112">
              <w:rPr>
                <w:color w:val="000000" w:themeColor="text1"/>
                <w:szCs w:val="16"/>
              </w:rPr>
              <w:t>82.00%</w:t>
            </w:r>
          </w:p>
        </w:tc>
      </w:tr>
    </w:tbl>
    <w:p w14:paraId="3BC65958" w14:textId="77777777" w:rsidR="00DA3157" w:rsidRPr="00781112" w:rsidRDefault="00DA3157" w:rsidP="004369B2">
      <w:pPr>
        <w:rPr>
          <w:color w:val="000000" w:themeColor="text1"/>
        </w:rPr>
      </w:pPr>
    </w:p>
    <w:p w14:paraId="29FDEA16" w14:textId="22A7ADF9" w:rsidR="008E31C4"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15C9FFED" w:rsidR="00B21923" w:rsidRPr="006D0A52" w:rsidRDefault="00B21923" w:rsidP="00B21923">
            <w:pPr>
              <w:jc w:val="center"/>
              <w:rPr>
                <w:rFonts w:cs="Arial"/>
                <w:b/>
                <w:bCs/>
                <w:color w:val="000000" w:themeColor="text1"/>
                <w:szCs w:val="16"/>
              </w:rPr>
            </w:pPr>
            <w:r w:rsidRPr="006D0A52">
              <w:rPr>
                <w:b/>
                <w:bCs/>
              </w:rPr>
              <w:t>FFY 2022 Data</w:t>
            </w:r>
          </w:p>
        </w:tc>
        <w:tc>
          <w:tcPr>
            <w:tcW w:w="760" w:type="pct"/>
            <w:shd w:val="clear" w:color="auto" w:fill="auto"/>
            <w:vAlign w:val="bottom"/>
          </w:tcPr>
          <w:p w14:paraId="76531DBA" w14:textId="016BF21B" w:rsidR="00B21923" w:rsidRPr="006D0A52" w:rsidRDefault="00B21923" w:rsidP="00B21923">
            <w:pPr>
              <w:jc w:val="center"/>
              <w:rPr>
                <w:rFonts w:cs="Arial"/>
                <w:b/>
                <w:bCs/>
                <w:color w:val="000000" w:themeColor="text1"/>
                <w:szCs w:val="16"/>
              </w:rPr>
            </w:pPr>
            <w:r w:rsidRPr="006D0A52">
              <w:rPr>
                <w:b/>
                <w:bCs/>
              </w:rPr>
              <w:t>FFY 2023 Target</w:t>
            </w:r>
          </w:p>
        </w:tc>
        <w:tc>
          <w:tcPr>
            <w:tcW w:w="598" w:type="pct"/>
            <w:shd w:val="clear" w:color="auto" w:fill="auto"/>
            <w:vAlign w:val="bottom"/>
          </w:tcPr>
          <w:p w14:paraId="6DA84C86" w14:textId="2533A278" w:rsidR="00B21923" w:rsidRPr="006D0A52" w:rsidRDefault="00B21923" w:rsidP="00B21923">
            <w:pPr>
              <w:jc w:val="center"/>
              <w:rPr>
                <w:rFonts w:cs="Arial"/>
                <w:b/>
                <w:bCs/>
                <w:color w:val="000000" w:themeColor="text1"/>
                <w:szCs w:val="16"/>
              </w:rPr>
            </w:pPr>
            <w:r w:rsidRPr="006D0A52">
              <w:rPr>
                <w:b/>
                <w:bCs/>
              </w:rPr>
              <w:t>FFY 2023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15</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20</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61.54%</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82.00%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75.00%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lastRenderedPageBreak/>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506C372A" w:rsidR="00AE1972" w:rsidRPr="002C274F" w:rsidRDefault="00AE1972" w:rsidP="002C274F">
      <w:pPr>
        <w:rPr>
          <w:b/>
          <w:bCs/>
          <w:sz w:val="20"/>
          <w:szCs w:val="20"/>
        </w:rPr>
      </w:pPr>
      <w:r w:rsidRPr="002C274F">
        <w:rPr>
          <w:b/>
          <w:bCs/>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0F3AA5AD"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 xml:space="preserve">(SiMR) </w:t>
      </w:r>
      <w:r w:rsidRPr="00781112">
        <w:t xml:space="preserve">for </w:t>
      </w:r>
      <w:r w:rsidR="00B00A11" w:rsidRPr="00781112">
        <w:rPr>
          <w:rFonts w:cs="Arial"/>
          <w:szCs w:val="16"/>
        </w:rPr>
        <w:t>Children with Disabilities.</w:t>
      </w:r>
    </w:p>
    <w:p w14:paraId="200B44A4" w14:textId="29C60E76"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7BBC681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30AC8B39" w:rsidR="000063AC" w:rsidRPr="00781112" w:rsidRDefault="000063AC" w:rsidP="000063AC">
      <w:pPr>
        <w:rPr>
          <w:rFonts w:cs="Arial"/>
          <w:szCs w:val="16"/>
        </w:rPr>
      </w:pPr>
      <w:r w:rsidRPr="00781112">
        <w:rPr>
          <w:rFonts w:cs="Arial"/>
          <w:szCs w:val="16"/>
        </w:rPr>
        <w:t>As required in the Instructions for the Indicator/Measurement, in its FFYs 2020 through 2025 SPPs/APRs,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4301A565"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5F4CA4">
        <w:t>4</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31B0BED5"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5F4CA4">
        <w:rPr>
          <w:rFonts w:cs="Arial"/>
          <w:szCs w:val="16"/>
        </w:rPr>
        <w:t>3</w:t>
      </w:r>
      <w:r w:rsidR="00B21923">
        <w:rPr>
          <w:rFonts w:cs="Arial"/>
          <w:szCs w:val="16"/>
        </w:rPr>
        <w:t xml:space="preserve"> APR, report on anticipated outcomes to be obtained during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B21923" w:rsidRPr="00651E83">
        <w:rPr>
          <w:rFonts w:cs="Arial"/>
          <w:szCs w:val="16"/>
        </w:rPr>
        <w:t>).</w:t>
      </w:r>
    </w:p>
    <w:p w14:paraId="6198E1D5" w14:textId="1ABEA34C"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6674EACA"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5F4CA4">
        <w:rPr>
          <w:rFonts w:cs="Arial"/>
          <w:szCs w:val="16"/>
        </w:rPr>
        <w:t>3</w:t>
      </w:r>
      <w:r w:rsidR="00B21923">
        <w:rPr>
          <w:rFonts w:cs="Arial"/>
          <w:szCs w:val="16"/>
        </w:rPr>
        <w:t xml:space="preserve"> APR, report on activities it intends to implement in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A94276">
        <w:rPr>
          <w:rFonts w:cs="Arial"/>
          <w:szCs w:val="16"/>
        </w:rPr>
        <w:t>)</w:t>
      </w:r>
      <w:r w:rsidR="00FC1D83">
        <w:rPr>
          <w:rFonts w:cs="Arial"/>
          <w:szCs w:val="16"/>
        </w:rPr>
        <w:t xml:space="preserve"> </w:t>
      </w:r>
      <w:r w:rsidRPr="00781112">
        <w:t>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Louisiana’s SiMR focuses on improving student-centered outcomes. Louisiana's new bold, brave plan represents a bold vision to address the unique challenges facing our state while building on recent successes, including the achievement of students with disabilities. When Louisiana first improved the LEAP assessment, the gap between students with disabilities and their general education peers was shown to be larger than previously understood, but for the first time, in 2023-2024 the achievement gap closed by 1 percent between students with disabilities and their non-disabled peers following three years of increased achievement. Louisiana remains focused on literacy, a foundational skill necessary for success in all subjects and grades, and a renewed focus on foundational mathematics skills. Louisiana’s SiMR is to increase ELA proficiency rates on statewide assessments for students with disabilities in third through fifth grades, in eight school systems (SSIP cohort) across the state.</w:t>
      </w:r>
    </w:p>
    <w:p w14:paraId="43CABCA3" w14:textId="77777777" w:rsidR="00AE1972" w:rsidRPr="00781112" w:rsidRDefault="00AE1972" w:rsidP="00AE1972">
      <w:pPr>
        <w:rPr>
          <w:b/>
          <w:bCs/>
        </w:rPr>
      </w:pPr>
      <w:bookmarkStart w:id="99" w:name="_Hlk85195358"/>
      <w:r w:rsidRPr="00781112">
        <w:rPr>
          <w:b/>
          <w:bCs/>
        </w:rPr>
        <w:t>Has the SiMR changed since the last SSIP submission? (yes/no)</w:t>
      </w:r>
    </w:p>
    <w:p w14:paraId="53B392AE" w14:textId="5D60E4A2" w:rsidR="00AE1972" w:rsidRDefault="00AE1972" w:rsidP="00AE1972">
      <w:r w:rsidRPr="00781112">
        <w:t>NO</w:t>
      </w:r>
    </w:p>
    <w:bookmarkEnd w:id="99"/>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The SSIP cohort remains the same and includes 30 elementary/middle schools in 8 LEAs and specifically looks at the performance of students with disabilities in the cohort. Students in the cohort will change each year with incoming students into 3rd grade and as students move out of 5th grade.</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Louisiana's theory of action states that if (a) data-informed decision making, (b) evidence-based literacy practices and (c) continuous leadership development are implemented with fidelity then (a) districts, schools and teachers will be able to continuously analyze and use multiple data sources to assess, plan and track outcomes for students with disabilities in 3rd-5th grade, (b) educators can implement literacy practices with fidelity for students with disabilities in 3rd-5th grade, and (c) districts, schools and teachers will have the capacity to enact change focused on improving literacy outcomes for students with disabilities in 3rd-5th grade. Louisiana's theory of action can also be accessed on page 6 here: https://www.louisianabelieves.com/docs/default-source/students-with-disabilities/state-systemic-improvement-plan-report-2019-2020.pdf?sfvrsn=70a665 18_2.</w:t>
      </w:r>
    </w:p>
    <w:p w14:paraId="17DFD7D0" w14:textId="77777777" w:rsidR="00B41EFC" w:rsidRDefault="00B41EFC" w:rsidP="00A202E9"/>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2013</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34.03%</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3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7"/>
        <w:gridCol w:w="1665"/>
        <w:gridCol w:w="1665"/>
        <w:gridCol w:w="1664"/>
      </w:tblGrid>
      <w:tr w:rsidR="007F76DD" w:rsidRPr="00781112" w14:paraId="6151B608" w14:textId="77777777" w:rsidTr="007F76DD">
        <w:trPr>
          <w:trHeight w:val="360"/>
        </w:trPr>
        <w:tc>
          <w:tcPr>
            <w:tcW w:w="540" w:type="pct"/>
            <w:tcBorders>
              <w:bottom w:val="single" w:sz="4" w:space="0" w:color="auto"/>
            </w:tcBorders>
            <w:shd w:val="clear" w:color="auto" w:fill="auto"/>
          </w:tcPr>
          <w:p w14:paraId="6F2EC278" w14:textId="77777777" w:rsidR="007F76DD" w:rsidRPr="00781112" w:rsidRDefault="007F76DD" w:rsidP="00FE5C1F">
            <w:pPr>
              <w:jc w:val="center"/>
              <w:rPr>
                <w:b/>
                <w:color w:val="000000" w:themeColor="text1"/>
              </w:rPr>
            </w:pPr>
            <w:r w:rsidRPr="00781112">
              <w:rPr>
                <w:b/>
                <w:color w:val="000000" w:themeColor="text1"/>
              </w:rPr>
              <w:t>FFY</w:t>
            </w:r>
          </w:p>
        </w:tc>
        <w:tc>
          <w:tcPr>
            <w:tcW w:w="1116" w:type="pct"/>
          </w:tcPr>
          <w:p w14:paraId="2B701BD5" w14:textId="7BC1A8DC" w:rsidR="007F76DD" w:rsidRPr="00781112" w:rsidRDefault="007F76DD" w:rsidP="00FE5C1F">
            <w:pPr>
              <w:jc w:val="center"/>
              <w:rPr>
                <w:b/>
                <w:color w:val="000000" w:themeColor="text1"/>
              </w:rPr>
            </w:pPr>
            <w:r>
              <w:rPr>
                <w:b/>
                <w:color w:val="000000" w:themeColor="text1"/>
              </w:rPr>
              <w:t>Current Relationship</w:t>
            </w:r>
          </w:p>
        </w:tc>
        <w:tc>
          <w:tcPr>
            <w:tcW w:w="1115" w:type="pct"/>
            <w:shd w:val="clear" w:color="auto" w:fill="auto"/>
            <w:vAlign w:val="center"/>
          </w:tcPr>
          <w:p w14:paraId="6FE75FC4" w14:textId="543C615D" w:rsidR="007F76DD" w:rsidRPr="00781112" w:rsidRDefault="007F76DD" w:rsidP="00FE5C1F">
            <w:pPr>
              <w:jc w:val="center"/>
              <w:rPr>
                <w:b/>
                <w:color w:val="000000" w:themeColor="text1"/>
              </w:rPr>
            </w:pPr>
            <w:r w:rsidRPr="00781112">
              <w:rPr>
                <w:b/>
                <w:color w:val="000000" w:themeColor="text1"/>
              </w:rPr>
              <w:t>2023</w:t>
            </w:r>
          </w:p>
        </w:tc>
        <w:tc>
          <w:tcPr>
            <w:tcW w:w="1115" w:type="pct"/>
          </w:tcPr>
          <w:p w14:paraId="1A51CAE1" w14:textId="77777777" w:rsidR="007F76DD" w:rsidRPr="00781112" w:rsidRDefault="007F76DD" w:rsidP="00FE5C1F">
            <w:pPr>
              <w:jc w:val="center"/>
              <w:rPr>
                <w:b/>
                <w:color w:val="000000" w:themeColor="text1"/>
              </w:rPr>
            </w:pPr>
            <w:r w:rsidRPr="00781112">
              <w:rPr>
                <w:rFonts w:cs="Arial"/>
                <w:b/>
                <w:color w:val="000000" w:themeColor="text1"/>
                <w:szCs w:val="16"/>
              </w:rPr>
              <w:t>2024</w:t>
            </w:r>
          </w:p>
        </w:tc>
        <w:tc>
          <w:tcPr>
            <w:tcW w:w="1115" w:type="pct"/>
          </w:tcPr>
          <w:p w14:paraId="4EE0EA23" w14:textId="77777777" w:rsidR="007F76DD" w:rsidRPr="00781112" w:rsidRDefault="007F76DD" w:rsidP="00FE5C1F">
            <w:pPr>
              <w:jc w:val="center"/>
              <w:rPr>
                <w:b/>
                <w:color w:val="000000" w:themeColor="text1"/>
              </w:rPr>
            </w:pPr>
            <w:r w:rsidRPr="00781112">
              <w:rPr>
                <w:rFonts w:cs="Arial"/>
                <w:b/>
                <w:color w:val="000000" w:themeColor="text1"/>
                <w:szCs w:val="16"/>
              </w:rPr>
              <w:t>2025</w:t>
            </w:r>
          </w:p>
        </w:tc>
      </w:tr>
      <w:tr w:rsidR="007F76DD" w:rsidRPr="00781112" w14:paraId="7F5560B1" w14:textId="77777777" w:rsidTr="007F76DD">
        <w:trPr>
          <w:trHeight w:val="367"/>
        </w:trPr>
        <w:tc>
          <w:tcPr>
            <w:tcW w:w="540" w:type="pct"/>
            <w:shd w:val="clear" w:color="auto" w:fill="auto"/>
          </w:tcPr>
          <w:p w14:paraId="16C136D0" w14:textId="4A0B58F9"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116" w:type="pct"/>
          </w:tcPr>
          <w:p w14:paraId="1EE4EF8F" w14:textId="2FF13FB0" w:rsidR="007F76DD" w:rsidRPr="00781112" w:rsidRDefault="007F76DD" w:rsidP="00FE5C1F">
            <w:pPr>
              <w:jc w:val="center"/>
              <w:rPr>
                <w:color w:val="000000" w:themeColor="text1"/>
              </w:rPr>
            </w:pPr>
            <w:r w:rsidRPr="008A0370">
              <w:rPr>
                <w:color w:val="000000" w:themeColor="text1"/>
              </w:rPr>
              <w:t>Data must be greater than or equal to the target</w:t>
            </w:r>
          </w:p>
        </w:tc>
        <w:tc>
          <w:tcPr>
            <w:tcW w:w="1115" w:type="pct"/>
            <w:shd w:val="clear" w:color="auto" w:fill="auto"/>
            <w:vAlign w:val="center"/>
          </w:tcPr>
          <w:p w14:paraId="0D607E3E" w14:textId="06E87534" w:rsidR="007F76DD" w:rsidRPr="00781112" w:rsidRDefault="007F76DD" w:rsidP="00FE5C1F">
            <w:pPr>
              <w:jc w:val="center"/>
              <w:rPr>
                <w:color w:val="000000" w:themeColor="text1"/>
              </w:rPr>
            </w:pPr>
            <w:r w:rsidRPr="00781112">
              <w:rPr>
                <w:color w:val="000000" w:themeColor="text1"/>
              </w:rPr>
              <w:t>32.50%</w:t>
            </w:r>
          </w:p>
        </w:tc>
        <w:tc>
          <w:tcPr>
            <w:tcW w:w="1115" w:type="pct"/>
          </w:tcPr>
          <w:p w14:paraId="49D7B83C" w14:textId="5D2EEC9F" w:rsidR="007F76DD" w:rsidRPr="00781112" w:rsidRDefault="007F76DD" w:rsidP="00FE5C1F">
            <w:pPr>
              <w:jc w:val="center"/>
              <w:rPr>
                <w:color w:val="000000" w:themeColor="text1"/>
              </w:rPr>
            </w:pPr>
            <w:r w:rsidRPr="00781112">
              <w:rPr>
                <w:rFonts w:cs="Arial"/>
                <w:color w:val="000000" w:themeColor="text1"/>
                <w:szCs w:val="16"/>
              </w:rPr>
              <w:t>33.50%</w:t>
            </w:r>
          </w:p>
        </w:tc>
        <w:tc>
          <w:tcPr>
            <w:tcW w:w="1115" w:type="pct"/>
          </w:tcPr>
          <w:p w14:paraId="73C3B9F9" w14:textId="4B324AE0" w:rsidR="007F76DD" w:rsidRPr="00781112" w:rsidRDefault="007F76DD" w:rsidP="00FE5C1F">
            <w:pPr>
              <w:jc w:val="center"/>
              <w:rPr>
                <w:color w:val="000000" w:themeColor="text1"/>
              </w:rPr>
            </w:pPr>
            <w:r w:rsidRPr="00781112">
              <w:rPr>
                <w:rFonts w:cs="Arial"/>
                <w:color w:val="000000" w:themeColor="text1"/>
                <w:szCs w:val="16"/>
              </w:rPr>
              <w:t>34.50%</w:t>
            </w:r>
          </w:p>
        </w:tc>
      </w:tr>
    </w:tbl>
    <w:p w14:paraId="096B5400" w14:textId="77777777" w:rsidR="00AE1972" w:rsidRPr="00781112" w:rsidRDefault="00AE1972" w:rsidP="00AE1972">
      <w:pPr>
        <w:pStyle w:val="Italic"/>
        <w:rPr>
          <w:rFonts w:cs="Arial"/>
          <w:i w:val="0"/>
          <w:color w:val="000000" w:themeColor="text1"/>
          <w:szCs w:val="16"/>
        </w:rPr>
      </w:pPr>
    </w:p>
    <w:p w14:paraId="7582347A" w14:textId="2E603155" w:rsidR="00AE1972" w:rsidRPr="00781112" w:rsidRDefault="0047313F" w:rsidP="00AE1972">
      <w:pPr>
        <w:rPr>
          <w:b/>
          <w:color w:val="000000" w:themeColor="text1"/>
        </w:rPr>
      </w:pPr>
      <w:r>
        <w:rPr>
          <w:b/>
          <w:color w:val="000000" w:themeColor="text1"/>
        </w:rPr>
        <w:t xml:space="preserve">FFY 2023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lastRenderedPageBreak/>
              <w:t>Total Number of Students W/ Disabilities in the Cohort Who Scored Proficient in ELA</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Total Number of Students W/ Disabilities in the Cohort Who Took ELA 3-5 Assessment</w:t>
            </w:r>
          </w:p>
        </w:tc>
        <w:tc>
          <w:tcPr>
            <w:tcW w:w="667" w:type="pct"/>
            <w:shd w:val="clear" w:color="auto" w:fill="auto"/>
            <w:vAlign w:val="bottom"/>
          </w:tcPr>
          <w:p w14:paraId="4AB6D89D" w14:textId="3B515D93" w:rsidR="00B21923" w:rsidRPr="005F4CA4" w:rsidRDefault="00B21923" w:rsidP="00B21923">
            <w:pPr>
              <w:jc w:val="center"/>
              <w:rPr>
                <w:b/>
                <w:bCs/>
                <w:color w:val="000000" w:themeColor="text1"/>
                <w:szCs w:val="16"/>
              </w:rPr>
            </w:pPr>
            <w:r w:rsidRPr="00FE4611">
              <w:rPr>
                <w:b/>
                <w:bCs/>
              </w:rPr>
              <w:t>FFY 2022 Data</w:t>
            </w:r>
          </w:p>
        </w:tc>
        <w:tc>
          <w:tcPr>
            <w:tcW w:w="626" w:type="pct"/>
            <w:shd w:val="clear" w:color="auto" w:fill="auto"/>
            <w:vAlign w:val="bottom"/>
          </w:tcPr>
          <w:p w14:paraId="63A0DC52" w14:textId="3B7FA61F" w:rsidR="00B21923" w:rsidRPr="005F4CA4" w:rsidRDefault="00B21923" w:rsidP="00B21923">
            <w:pPr>
              <w:jc w:val="center"/>
              <w:rPr>
                <w:b/>
                <w:bCs/>
                <w:color w:val="000000" w:themeColor="text1"/>
                <w:szCs w:val="16"/>
              </w:rPr>
            </w:pPr>
            <w:r w:rsidRPr="00FE4611">
              <w:rPr>
                <w:b/>
                <w:bCs/>
              </w:rPr>
              <w:t>FFY 2023 Target</w:t>
            </w:r>
          </w:p>
        </w:tc>
        <w:tc>
          <w:tcPr>
            <w:tcW w:w="584" w:type="pct"/>
            <w:shd w:val="clear" w:color="auto" w:fill="auto"/>
            <w:vAlign w:val="bottom"/>
          </w:tcPr>
          <w:p w14:paraId="2D311519" w14:textId="2B14C54F" w:rsidR="00B21923" w:rsidRPr="005F4CA4" w:rsidRDefault="00B21923" w:rsidP="00B21923">
            <w:pPr>
              <w:jc w:val="center"/>
              <w:rPr>
                <w:b/>
                <w:bCs/>
                <w:color w:val="000000" w:themeColor="text1"/>
                <w:szCs w:val="16"/>
              </w:rPr>
            </w:pPr>
            <w:r w:rsidRPr="00FE4611">
              <w:rPr>
                <w:b/>
                <w:bCs/>
              </w:rPr>
              <w:t>FFY 2023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150</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580</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23.53%</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32.50%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25.86%</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1E5DBFCF" w:rsidR="005D6EB4" w:rsidRPr="00781112" w:rsidRDefault="004F3929" w:rsidP="005D6EB4">
      <w:pPr>
        <w:rPr>
          <w:b/>
          <w:bCs/>
        </w:rPr>
      </w:pPr>
      <w:r>
        <w:rPr>
          <w:b/>
          <w:bCs/>
        </w:rPr>
        <w:t>Provide the data source for the FFY 2023 data.</w:t>
      </w:r>
    </w:p>
    <w:p w14:paraId="791B79B4" w14:textId="2C5B8D5E" w:rsidR="005D6EB4" w:rsidRPr="00781112" w:rsidRDefault="005D6EB4" w:rsidP="005D6EB4">
      <w:pPr>
        <w:rPr>
          <w:color w:val="000000" w:themeColor="text1"/>
        </w:rPr>
      </w:pPr>
      <w:r w:rsidRPr="00781112">
        <w:rPr>
          <w:color w:val="000000" w:themeColor="text1"/>
        </w:rPr>
        <w:t>LEAP 2025 statewide assessments for grades 3-5</w:t>
      </w:r>
    </w:p>
    <w:p w14:paraId="17AAB1A6" w14:textId="2D1007DB" w:rsidR="00AE1972" w:rsidRPr="00781112" w:rsidRDefault="00AE1972" w:rsidP="00AE1972">
      <w:r w:rsidRPr="00781112">
        <w:rPr>
          <w:b/>
          <w:bCs/>
        </w:rPr>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t>Louisiana collected statewide assessment data for all students, including students with disabilities using our secure testing portal and data system. Specifically for the SiMR, Louisiana pulls and analyzes students with disabilities performance on the ELA assessment in grades 3-5 in the cohort schools.</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YES</w:t>
      </w:r>
    </w:p>
    <w:p w14:paraId="169D3F00" w14:textId="18D3CE95" w:rsidR="00AE1972" w:rsidRPr="00781112" w:rsidRDefault="009134E5" w:rsidP="00AE1972">
      <w:pPr>
        <w:rPr>
          <w:rFonts w:cs="Arial"/>
          <w:b/>
          <w:bCs/>
        </w:rPr>
      </w:pPr>
      <w:r w:rsidRPr="00781112">
        <w:rPr>
          <w:rFonts w:cs="Arial"/>
          <w:b/>
          <w:bCs/>
        </w:rPr>
        <w:t>Describe any additional data collected by the State to assess progress toward the SiMR.</w:t>
      </w:r>
    </w:p>
    <w:p w14:paraId="2986B041" w14:textId="11964637" w:rsidR="00AE1972" w:rsidRDefault="00AE1972" w:rsidP="00AE1972">
      <w:pPr>
        <w:rPr>
          <w:color w:val="000000" w:themeColor="text1"/>
        </w:rPr>
      </w:pPr>
      <w:r w:rsidRPr="00781112">
        <w:rPr>
          <w:color w:val="000000" w:themeColor="text1"/>
        </w:rPr>
        <w:t xml:space="preserve">Literacy data continues to reveal improvement in performance among all first, second and third graders over their prior year performance. Students’ scores at each grade level on the literacy screener are reported as either “On or Above Benchmark” or “Below Benchmark.” Students who scored “Below Benchmark” are considered “at risk” for reading difficulties according to authors of the assessments. Spring 2024 results revealed that 52.7 percent of third graders scored “On or Above Benchmark” for the measured skills. This growth also showed in the 3rd grade LEAP ELA scores across the state. 45 percent of third graders scored at Mastery and above in the 2024 Spring assessment, which was a 2 percent increase from the previous year. </w:t>
      </w:r>
      <w:r w:rsidRPr="00781112">
        <w:rPr>
          <w:color w:val="000000" w:themeColor="text1"/>
        </w:rPr>
        <w:br/>
      </w:r>
      <w:r w:rsidRPr="00781112">
        <w:rPr>
          <w:color w:val="000000" w:themeColor="text1"/>
        </w:rPr>
        <w:br/>
        <w:t>Students with disabilities outperformed their nondisabled peers across Louisiana in 2024 reducing the achievement gap for the first time by 1 percent. Additionally, students with disabilities in Louisiana outperformed the nation in both achievement and growth on 2024 NAEP.</w:t>
      </w:r>
      <w:r w:rsidRPr="00781112">
        <w:rPr>
          <w:color w:val="000000" w:themeColor="text1"/>
        </w:rPr>
        <w:br/>
      </w:r>
      <w:r w:rsidRPr="00781112">
        <w:rPr>
          <w:color w:val="000000" w:themeColor="text1"/>
        </w:rPr>
        <w:br/>
        <w:t xml:space="preserve">The School Improvement Division, which provides school improvement support to school systems with labeled schools, conducted 1,319 observations in K-12 schools across 58 participating systems in 2023-2024 using the K-2 Classroom Support Tool, 3-12 Classroom Support Tool, Instructional Leadership Team Support Tool, and Teacher Collaboration Support Tool. The School Improvement Team supported 6 of the SSIP cohort schools in School Improvement Best practices, which includes providing observation and feedback to improve professional learning structures, data driven systems, and classroom instruction. In these 6 cohort schools, School Improvement Support Specialists conducted 66 paired observations with system and school leaders that included classroom instruction, Instructional Leadership Team meetings, and Teacher Collaboration meetings. </w:t>
      </w:r>
      <w:r w:rsidRPr="00781112">
        <w:rPr>
          <w:color w:val="000000" w:themeColor="text1"/>
        </w:rPr>
        <w:br/>
      </w:r>
      <w:r w:rsidRPr="00781112">
        <w:rPr>
          <w:color w:val="000000" w:themeColor="text1"/>
        </w:rPr>
        <w:br/>
        <w:t>The data shows that as a state we continue to make remarkable gains in literacy and reading shown on these multiple measures, specifically for students with disabilities, and Louisiana will continue to focus on intentional structures and initiatives that drive capacity of educators and student growth.</w:t>
      </w:r>
    </w:p>
    <w:p w14:paraId="2F248282" w14:textId="77777777" w:rsidR="00AE1972" w:rsidRPr="00781112" w:rsidRDefault="00AE1972" w:rsidP="00AE1972">
      <w:pPr>
        <w:rPr>
          <w:b/>
          <w:bCs/>
        </w:rPr>
      </w:pPr>
    </w:p>
    <w:p w14:paraId="26AF875A" w14:textId="0D941FB9"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Louisiana remains committed to the theory of action, logic model and evaluation as interconnected components of the SSIP. In Phase III, the outcomes and data continue to drive our evidence-based literacy practices as well as continued professional development. Our evaluation plan is the same on pages 30-31 of the SSIP at this link: https://doe.louisiana.gov/docs/default-source/students-with-disabilities/state-systemic-improvement-plan-report-2019-2020.pdf?sfvrsn=70a66518_0. Louisiana believes in continuous improvement, each year improving over the last. In 2023-2024 LEAs had to submit their Academic Recovery and Acceleration Plans for 2023-2024, which outline their plans for increasing outcomes and accelerating learning, including supports and outcomes for students with disabilities. Those LDOE approved plans are updated based on current need and  linked annually for every school system at louisianacomeback.com. Similarly, as part of our ongoing commitment to promoting effective literacy instruction for our youngest learners and supporting student achievement, LEAs now submit literacy plans for elementary schools across the state triennially.</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Comeback Plans/Academic Recovery and Acceleration Plans for All LEAs and SSIP Cohort LEAs: From catastrophic hurricanes to a global pandemic, Louisiana has faced extraordinary obstacles over the past few years, but has also demonstrated significant gains in the past three years. To ensure our LEAs have intentional strategic plans, the LDOE required LEAs to submit Academic Recovery and Acceleration Plans in 2023-2024. All plans can be found at louisianacomeback.com, which provides families and communities transparent access. The LDOE also collects literacy plans for elementary schools across the state. In 2023-2024 the lowest 25% of school systems in performance were required to sign a set of assurances to improve outcomes. Examples of those assurances included required specific coaching and directed funding including strategic planning support with the State Superintendent and Deputy Superintendent of Teaching and Learning and ensuring expectations for literacy and mathematics. Also included was a </w:t>
      </w:r>
      <w:r w:rsidRPr="00781112">
        <w:rPr>
          <w:color w:val="000000" w:themeColor="text1"/>
        </w:rPr>
        <w:lastRenderedPageBreak/>
        <w:t>focus on the Special Education Playbook.</w:t>
      </w:r>
      <w:r w:rsidRPr="00781112">
        <w:rPr>
          <w:color w:val="000000" w:themeColor="text1"/>
        </w:rPr>
        <w:br/>
      </w:r>
      <w:r w:rsidRPr="00781112">
        <w:rPr>
          <w:color w:val="000000" w:themeColor="text1"/>
        </w:rPr>
        <w:br/>
        <w:t xml:space="preserve">ELA Grades 3-12 Updated Curriculum/Educator Development for All LEAs and SSIP Cohort: The Department released a Professional Learning Roadmap and reinstated LDOE facilitated School Support Institutes to provide additional training to school system instructional leadership teams (ILT) in synthesizing data and supporting educators in the implementation of high-quality curriculum. The expanded Content Leader initiatives work together with the School Support Institutes to develop leaders at multiple levels of the school system who can enact change to improve outcomes for students with disabilities in grades three through five and even earlier with the K-2 Literacy Content Leader structure. Continuous leadership development improves teaching and facilitates and promotes lifelong learning. </w:t>
      </w:r>
      <w:r w:rsidRPr="00781112">
        <w:rPr>
          <w:color w:val="000000" w:themeColor="text1"/>
        </w:rPr>
        <w:br/>
        <w:t xml:space="preserve">The LDOE supported systems in implementing the updated ELA Guidebooks 3-5 (2022) units. Additionally, the LDOE worked with a group of educators to develop the new ELA Guidebooks 6-8 (2024) curriculum and began offering professional learning on the new units to educators across Louisiana. These, along with an additional unit offering for each grade level for grades 3-5, were released spring 2024 and additional professional learning offered to support implementation. Additional information for the new units can be found at this link: https://www.louisianabelieves.com/docs/default-source/academic-curriculum/ela-guidebooks-6-8-(2024)-overview.pdf?sfvrsn=26866018_14. </w:t>
      </w:r>
      <w:r w:rsidRPr="00781112">
        <w:rPr>
          <w:color w:val="000000" w:themeColor="text1"/>
        </w:rPr>
        <w:br/>
        <w:t xml:space="preserve">To support all students in strengthening their writing skills, the mentor sentence and vocabulary activities for ELA Guidebooks 9-12 (2020) have been updated. These new activities include additional supports to ensure all learners are supported in completing the task. </w:t>
      </w:r>
      <w:r w:rsidRPr="00781112">
        <w:rPr>
          <w:color w:val="000000" w:themeColor="text1"/>
        </w:rPr>
        <w:br/>
        <w:t xml:space="preserve">In addition, in Fall 2022, the ELA content leader professional development modules for grades 3-5 were updated and released to reflect the revisions that were made to ELA Guidebooks 3-5 (2022). The module revisions assist educators in gaining the knowledge, content expertise, and skills to successfully instruct and leverage the ELA Guidebooks 3-5 (2022) curriculum. Educators now: understand the ELA Guidebooks 3-5 (2022) curriculum, its content pedagogy approach, and how to effectively use it, describe the knowledge and skills needed to read and write to the level expected of students, and identify how the ELA Guidebooks 3-5 (2022) unit lessons build the knowledge and skills needed for students to be successful on the unit assessments, which measure the grade-level standards. </w:t>
      </w:r>
      <w:r w:rsidRPr="00781112">
        <w:rPr>
          <w:color w:val="000000" w:themeColor="text1"/>
        </w:rPr>
        <w:br/>
      </w:r>
      <w:r w:rsidRPr="00781112">
        <w:rPr>
          <w:color w:val="000000" w:themeColor="text1"/>
        </w:rPr>
        <w:br/>
        <w:t xml:space="preserve">Literacy Coach Expansion for All LEAs and SSIP Cohort: In 2023-2024, Louisiana entered its third year of implementing the Comprehensive Literacy Plan, which includes intentional literacy goals, key pillars and literacy best practices, and the LDOE continued its Reading Revival Campaign. Louisiana has trained hundreds of literacy coaches across the state, particularly at schools with a label of Comprehensive Intervention Required (CIR). The LDOE continued to offer free, required Science of Reading professional development for all K-3 administrators and educators in our state. Monthly communities of practice were offered to continue to build capacity of literacy coaches across the state. As a result of feedback from special educators, LDOE also offered foundational literacy professional development modules to middle school educators, targeting grades 4-8, special educators and interventionists. The literacy division also offered literacy trainings, both virtual and in-person, to high school educators. </w:t>
      </w:r>
      <w:r w:rsidRPr="00781112">
        <w:rPr>
          <w:color w:val="000000" w:themeColor="text1"/>
        </w:rPr>
        <w:br/>
      </w:r>
      <w:r w:rsidRPr="00781112">
        <w:rPr>
          <w:color w:val="000000" w:themeColor="text1"/>
        </w:rPr>
        <w:br/>
        <w:t xml:space="preserve">Our annual Teacher Leader Summit in May 2024, a record-setting gathering of approximately 7,000 school system leaders, school leaders and teacher leaders, was a fully in-person event themed “Leading the Next Level.” The event included numerous sessions geared toward supporting students with disabilities. Objectives of this annual event include improving the everyday practice of Louisiana leaders and educators, providing opportunities for collaboration and sharing best practices, introducing high-quality strategies, resources, and professional development and fostering an empowering, engaging and inspiring culture among educators. Sessions geared toward the objective of our SiMR include a series of grades 3-5 sessions on the new ELA Guidebook units “ELA Guidebooks 3-5 Overview of Updates,” “ELA Guidebooks 3-5 Evaluation Plan Participant Guide,” “ ELA Guidebooks 3-5 Evaluation Plan,” and “ELA Guidebooks 3-5 Using Core and Optional Activities”, “ELA Guidebooks 6-8”, “ELA Acceleration,” and many more. </w:t>
      </w:r>
      <w:r w:rsidRPr="00781112">
        <w:rPr>
          <w:color w:val="000000" w:themeColor="text1"/>
        </w:rPr>
        <w:br/>
      </w:r>
      <w:r w:rsidRPr="00781112">
        <w:rPr>
          <w:color w:val="000000" w:themeColor="text1"/>
        </w:rPr>
        <w:br/>
        <w:t>The School Improvement Team continued to support many LEAs in 2023-2024 and provided specific support to SSIP Cohort in continuous improvement for labeled schools. The Division of School Improvement supports the Department’s priority to provide an effective teacher for every student by providing differentiated and targeted school improvement support to system leaders in schools identified as Comprehensive Intervention Required (CIR) and Urgent Intervention Required - Academics (UIR-A). This work focuses on the sustainability of school improvement by providing system leaders with the tools and knowledge to ensure continuous improvement through implementation of High Quality Professional Learning (HQPL) structures, utilization of High Quality Instructional Materials (HQIM), establishing systems for classroom observation and feedback cycles, utilizing data for instructional decisions, goal setting, and progress monitoring. During 2023-2024, the division signed agreements with 58 systems to support 185 selected schools in the implementation of HQPL structures. School Improvement Support Specialists (SISS) worked closely with system leaders to identify needs and set goals for each targeted site. SISS conducted 1,319 paired observations with system leaders of Instructional Leadership Team (ILT) meetings, Teacher Collaboration meetings, and K-12 classroom instruction, coaching system leaders to deliver effective feedback to school leaders. Throughout the year, SISS also partnered with system and school leaders to review student data and monitor progress toward goals. The implementation of HQPL at each system and school was progress-monitored using walkthrough tools specific to observed best practices, with the resulting data informing subsequent coaching visits. 59% of supported schools increased their school performance score (SPS), with 41% of schools increasing their SPS by 3 or more points. Additionally, 41 supported schools improved their school letter grade, with 12 of those exiting Comprehensive Intervention Required (CIR) status. The division will continue supporting system and school leaders in continuous improvement during the 2024-2025 school year with a continued focus on high quality professional learning (HQPL), high quality instructional materials (HQIM) implementation, and observation and feedback cycles.</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Louisiana continues to carry out a multi-layered approach to driving improved student outcomes for students with disabilities. The Louisiana Comeback plans required by each LEA, which required LDOE approval, allowed LDOE to ensure high-yield strategies were being implemented across the state to address attendance and well-being, learning acceleration and recovery, and professional learning. The Super App school planning process is still utilized and is aligned to the state’s priorities, allowing spending to also be directed toward Louisiana priorities. The planning process continues to allow school systems to use data in planning, budgeting and implementation in alignment with key priorities. This operating cycle continues each year. This level of state and local governance and planning led to improved outcomes specifically for students with disabilities as a whole, the SSIP cohort, and our growth in literacy and in ELA mastery for the third year in a row. And for the first year, students with disabilities outpaced their nondisabled peers allowing us to decrease the learning gap between students with disabilities and their nondisabled peers by 1 percent. </w:t>
      </w:r>
      <w:r w:rsidRPr="00781112">
        <w:rPr>
          <w:color w:val="000000" w:themeColor="text1"/>
        </w:rPr>
        <w:br/>
      </w:r>
      <w:r w:rsidRPr="00781112">
        <w:rPr>
          <w:color w:val="000000" w:themeColor="text1"/>
        </w:rPr>
        <w:br/>
        <w:t xml:space="preserve">Louisiana is also committed in its structures to embed supports for students with disabilities and ownership of outcomes across all offices in the Department. Specifically related to our SiMR, the Department has continued work to embed supports for diverse learners in its ELA Guidebook curriculum, ensuring quality standards, with feedback and development from Louisiana educators. This work resulted in increased achievement across the board for the third year in a row on statewide assessments and significant national gains on NAEP. This indicates the focus on high quality curriculum combined with intentional literacy support in these grades are resulting in statewide improvement. Our students with disabilities across the state grew in proficiency for the third year in a row and for the first time in 2024, decreased the achievement gap by 1 percent among students with disabilities and their nondisabled peers. </w:t>
      </w:r>
      <w:r w:rsidRPr="00781112">
        <w:rPr>
          <w:color w:val="000000" w:themeColor="text1"/>
        </w:rPr>
        <w:br/>
      </w:r>
      <w:r w:rsidRPr="00781112">
        <w:rPr>
          <w:color w:val="000000" w:themeColor="text1"/>
        </w:rPr>
        <w:lastRenderedPageBreak/>
        <w:br/>
        <w:t xml:space="preserve">Our educator development structures include Content Leader and Teacher Leader initiatives that impact LEAs and sustainability by developing cadres of talented teacher leaders each year who develop the knowledge and skills to lead and coach other teachers in their LEAs and schools. The School Improvement Team also conducts similar technical assistance and support in some of our most struggling schools throughout the state intended to provide LEA and school leaders with curriculum implementation and educator development knowledge and skills that allow them to scale that support throughout their schools. Our SPED Fellow Academy, administered cohort four in 2023-2024, is a year-long, comprehensive development program for novice special education leaders across the state. The fellowship provides in-person training, coaching, and a community of practice that will instill the knowledge and skills the next generation of leaders need to lead and sustain change to improve outcomes for students with disabilities. </w:t>
      </w:r>
      <w:r w:rsidRPr="00781112">
        <w:rPr>
          <w:color w:val="000000" w:themeColor="text1"/>
        </w:rPr>
        <w:br/>
      </w:r>
      <w:r w:rsidRPr="00781112">
        <w:rPr>
          <w:color w:val="000000" w:themeColor="text1"/>
        </w:rPr>
        <w:br/>
        <w:t xml:space="preserve">Louisiana’s intense literacy strategy and increase in professional development and literacy coaches across Louisiana is allowing for literacy and reading recovery in our elementary grades demonstrated by our fall reading report and continued improvement. </w:t>
      </w:r>
      <w:r w:rsidRPr="00781112">
        <w:rPr>
          <w:color w:val="000000" w:themeColor="text1"/>
        </w:rPr>
        <w:br/>
      </w:r>
      <w:r w:rsidRPr="00781112">
        <w:rPr>
          <w:color w:val="000000" w:themeColor="text1"/>
        </w:rPr>
        <w:br/>
        <w:t xml:space="preserve">Literacy Field Employees: The Literacy Team hired several field employees to provide regional literacy training and technical assistance and to provide technical support to literacy coaches that are now required in elementary schools across Louisiana. </w:t>
      </w:r>
      <w:r w:rsidRPr="00781112">
        <w:rPr>
          <w:color w:val="000000" w:themeColor="text1"/>
        </w:rPr>
        <w:br/>
      </w:r>
      <w:r w:rsidRPr="00781112">
        <w:rPr>
          <w:color w:val="000000" w:themeColor="text1"/>
        </w:rPr>
        <w:br/>
        <w:t>Monitoring and technical assistance efforts of the School Improvement Team led to 70% of LEAs partnering with the division for support improving their system performance scores in 2023-2024.</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Louisiana uses a multi-layered approach to implementing specific structures and best practices intended to increase outcomes for all students, including students with disabilities. Louisiana Comeback Plans will ensure intentional strategic planning and alignment of funds to improve priority areas for LEAs. Guidance from the SEA throughout the year supports this success. The LDOE required certain assurances for the 25% of school systems who did not show growth in Spring 2023. Additional next steps will include a specific requirement for our lowest performing school systems for the students with disabilities subgroup to participate in an inclusive practices professional development based on our Special Education Playbook and receive specific coaching. </w:t>
      </w:r>
      <w:r w:rsidRPr="00781112">
        <w:rPr>
          <w:color w:val="000000" w:themeColor="text1"/>
        </w:rPr>
        <w:br/>
      </w:r>
      <w:r w:rsidRPr="00781112">
        <w:rPr>
          <w:color w:val="000000" w:themeColor="text1"/>
        </w:rPr>
        <w:br/>
        <w:t>Educator Development: The Department recognizes the critical role that school leadership teams serve in supporting educators in making data informed decisions and in supporting the implementation of evidence-based practices. School Support Institutes have rekindled and next steps will include supports responsive to our school systems’ needs with a pathway of learning titled “Instructional Coherence,” and will include specific focus on students with disabilities and their instructional experiences throughout the school day and how to build instructionally coherent programs. Our Content Leader and Teacher Leader structures will continue, as well as support for new educators entering the field and specific affinity groups for new special educators entering the field. The intent will be to support new special educators entering the field, to support them in their craft and to retain them for years to come.</w:t>
      </w:r>
      <w:r w:rsidRPr="00781112">
        <w:rPr>
          <w:color w:val="000000" w:themeColor="text1"/>
        </w:rPr>
        <w:br/>
      </w:r>
      <w:r w:rsidRPr="00781112">
        <w:rPr>
          <w:color w:val="000000" w:themeColor="text1"/>
        </w:rPr>
        <w:br/>
        <w:t xml:space="preserve">Literacy Field Employees: The literacy team will continue to provide “road shows,” and support in LEAs with writing literacy goals, monitoring progress and implementing high quality foundational literacy programs. These field staff will also serve to support the many literacy coaches across the state, which will lead to better literacy outcomes for children with disabilities. The special education team worked alongside the literacy team to support children with dyslexia in our state, including the two cohorts of educators trained in becoming dyslexia practitioners. Next steps also include continued dyslexia-specific support and training cohorts as well as increased support with supporting students with disabilities toward literacy improvements. </w:t>
      </w:r>
      <w:r w:rsidRPr="00781112">
        <w:rPr>
          <w:color w:val="000000" w:themeColor="text1"/>
        </w:rPr>
        <w:br/>
      </w:r>
      <w:r w:rsidRPr="00781112">
        <w:rPr>
          <w:color w:val="000000" w:themeColor="text1"/>
        </w:rPr>
        <w:br/>
        <w:t>School Improvement Team Efforts: The School Improvement Team will continue to provide differentiated support on best school improvement practices in LEAs across the state with a continued focus on HQPL, HQIM implementation, and observation and feedback cycles. The division will also continue and expand its Coherence Cohort, a collaborative approach to providing more rigorous interventions to participating LEAs for identified persistently struggling schools.</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High quality instructional materials with embedded diverse learner supports </w:t>
      </w:r>
      <w:r w:rsidRPr="00781112">
        <w:rPr>
          <w:color w:val="000000" w:themeColor="text1"/>
        </w:rPr>
        <w:br/>
        <w:t>Literacy support using Science of Reading and Coaching</w:t>
      </w:r>
      <w:r w:rsidRPr="00781112">
        <w:rPr>
          <w:color w:val="000000" w:themeColor="text1"/>
        </w:rPr>
        <w:br/>
        <w:t xml:space="preserve">Accelerating Learning and High Quality Intervention </w:t>
      </w:r>
      <w:r w:rsidRPr="00781112">
        <w:rPr>
          <w:color w:val="000000" w:themeColor="text1"/>
        </w:rPr>
        <w:br/>
        <w:t xml:space="preserve">High Quality Summer Learning Programs </w:t>
      </w:r>
      <w:r w:rsidRPr="00781112">
        <w:rPr>
          <w:color w:val="000000" w:themeColor="text1"/>
        </w:rPr>
        <w:br/>
        <w:t>Leading Inclusive Special Education Programming Guidance</w:t>
      </w:r>
    </w:p>
    <w:p w14:paraId="10F85993" w14:textId="77777777" w:rsidR="00AE1972" w:rsidRPr="00781112" w:rsidRDefault="00AE1972" w:rsidP="00AE1972">
      <w:pPr>
        <w:rPr>
          <w:rFonts w:cs="Arial"/>
          <w:b/>
          <w:bCs/>
        </w:rPr>
      </w:pPr>
    </w:p>
    <w:p w14:paraId="22910457" w14:textId="0691C68A" w:rsidR="00AE1972" w:rsidRPr="00781112" w:rsidRDefault="00AE1972" w:rsidP="00AE1972">
      <w:pPr>
        <w:rPr>
          <w:rFonts w:cs="Arial"/>
          <w:b/>
          <w:bCs/>
        </w:rPr>
      </w:pPr>
      <w:r w:rsidRPr="00781112">
        <w:rPr>
          <w:rFonts w:cs="Arial"/>
          <w:b/>
          <w:bCs/>
        </w:rPr>
        <w:t>Provide a summary of each evidence-based practice.</w:t>
      </w:r>
    </w:p>
    <w:p w14:paraId="30605054" w14:textId="1313DE13" w:rsidR="00AE1972" w:rsidRPr="00781112" w:rsidRDefault="00AE1972" w:rsidP="00AE1972">
      <w:pPr>
        <w:rPr>
          <w:b/>
          <w:bCs/>
        </w:rPr>
      </w:pPr>
      <w:r w:rsidRPr="00781112">
        <w:rPr>
          <w:color w:val="000000" w:themeColor="text1"/>
        </w:rPr>
        <w:t xml:space="preserve">High quality instructional materials with embedded diverse learner supports: Louisiana continues to intentionally expand efforts and embed diverse learner supports within high quality instructional materials. Louisiana's ELA Guidebooks 3-5 (2022) curriculum helps all students read, understand, and express their understanding of complex, grade-level texts, build students’ understanding and knowledge through text sets, compelling questions, and integrated reading and writing activities. Louisiana released new ELA Guidebooks grades 3-5 units in May 2022 and continued training at the Teacher Leader Summit, with specific focus on fluency and other supports for students. This training continued continued in the 2023-2024 school year. An additional unit was released for each grade level in spring 2024 and training was offered at the 2024 Teacher Leader. ELA Content Leaders across the state were provided updated training to deploy the updated curriculum across the state in every LEA. Materials were also provided to support students with significant cognitive disabilities to access this high quality curriculum. </w:t>
      </w:r>
      <w:r w:rsidRPr="00781112">
        <w:rPr>
          <w:color w:val="000000" w:themeColor="text1"/>
        </w:rPr>
        <w:br/>
      </w:r>
      <w:r w:rsidRPr="00781112">
        <w:rPr>
          <w:color w:val="000000" w:themeColor="text1"/>
        </w:rPr>
        <w:br/>
        <w:t xml:space="preserve">Louisiana’s Literacy Team continues to support literacy across the state providing support on writing literacy goals, developing and releasing literacy interventions, supporting professional development and creating family literacy resources. Louisiana now has over 300 trained literacy coaches. Louisiana has also trained 17 literacy innovation coordinators across the state in K-12 schools who build educator capacity of teachers who support students with disabilities. Resources, including the literacy content series, DIBELS PD series, multi-syllabic word practice, and ACT series, were developed and provided to all educators. Professional learning using the Literacy Intervention and Foundational Toolkit (LIFT) kit for grades 3 and up and the Foundational Instruction for Reading Excellence (FIRE) kit for grades 3-5 continued to occur. Regional road shows were also provided. </w:t>
      </w:r>
      <w:r w:rsidRPr="00781112">
        <w:rPr>
          <w:color w:val="000000" w:themeColor="text1"/>
        </w:rPr>
        <w:br/>
      </w:r>
      <w:r w:rsidRPr="00781112">
        <w:rPr>
          <w:color w:val="000000" w:themeColor="text1"/>
        </w:rPr>
        <w:br/>
        <w:t xml:space="preserve">Accelerate is Louisiana’s Pre-K-12 Tutoring Strategy, designed for school systems to implement equal access tutoring at-scale in order to achieve significant results for all students. Grounded in the most impactful research-based practices, Accelerate is a just-in-time, pre-teaching model that </w:t>
      </w:r>
      <w:r w:rsidRPr="00781112">
        <w:rPr>
          <w:color w:val="000000" w:themeColor="text1"/>
        </w:rPr>
        <w:lastRenderedPageBreak/>
        <w:t xml:space="preserve">addresses unfinished learning by building knowledge and connecting it to skills in current lessons. In 2021-2022, an Accelerate Pilot was launched that required pilot participants to implement the Accelerate tutoring strategy and accompanying materials in their schools. Pre-K-12 ELA and math tutoring materials were updated in 2021-2022 and continue to be used in tutoring, intervention and summer learning programs in many schools. In 2021-2022 the Department released Staffing and Scheduling Guidance, with specific supports for students with disabilities, to ensure equal access to intervention and schedules that provide students with the extra time needed to recover learning. Continuing in 2023-2024 for the third year, we also required CIR and UIR labeled schools to implement accelerate during the school year and during required summer learning programs. </w:t>
      </w:r>
      <w:r w:rsidRPr="00781112">
        <w:rPr>
          <w:color w:val="000000" w:themeColor="text1"/>
        </w:rPr>
        <w:br/>
      </w:r>
      <w:r w:rsidRPr="00781112">
        <w:rPr>
          <w:color w:val="000000" w:themeColor="text1"/>
        </w:rPr>
        <w:br/>
        <w:t xml:space="preserve">Summer Learning Guidance was expanded in 2022 and the most struggling schools in Louisiana were issued a requirement to provide summer learning to students, and the Department continued to support that guidance in 2023-2024 with a focus on instructionally coherent programs that use high quality curriculum. The guidance focused on structures and elements of a summer program, resources for implementing elements, staffing and scheduling considerations, sample schedules, checklists for action steps and funding information. Guidance also included the new recommendation that 5 weeks of summer learning be provided for students who struggle. Webinars were provided to LEAs to implement high quality summer learning programs and LDOE recommended that students with disabilities also participate in these opportunities. Family summer learning guidance was also released in a Family Summer Learning Toolkit, with specific recommendations for families of students with disabilities. </w:t>
      </w:r>
      <w:r w:rsidRPr="00781112">
        <w:rPr>
          <w:color w:val="000000" w:themeColor="text1"/>
        </w:rPr>
        <w:br/>
      </w:r>
      <w:r w:rsidRPr="00781112">
        <w:rPr>
          <w:color w:val="000000" w:themeColor="text1"/>
        </w:rPr>
        <w:br/>
        <w:t>Inclusive Special Education Programming Guidance: School systems often face unique and complex challenges in improving outcomes for students with disabilities. Addressing these challenges is multifaceted and requires leaders who can effectively coordinate programming within and across departments and schools to increase access to inclusive learning opportunities for students with disabilities. In January 2022, the Department began releasing a series of guidance materials for Leading Inclusive Special Education Programs. Each guidance document covers a critical topic for special education programming. Following the release of each guidance document, a webinar is available to school systems to support implementation. School system leaders are encouraged to review the guidance materials and attend webinars in partnership with special education leaders. Additionally, in 2022-2023 LDOE released the Special Education Playbook for System Leaders that adopts three best inclusive instructional practices: 1) ensuring access to inclusive, core general education, 2) providing extra time to learn, and 3) ensuring content strong educators are providing core instruction and content intervention support. In 2023-2024, the Playbook support has included regional statewide professional development, creating additional implementation supports, and targeted support in some of our most struggling school systems.</w:t>
      </w:r>
    </w:p>
    <w:p w14:paraId="79F66E5E" w14:textId="77777777" w:rsidR="00AE1972" w:rsidRPr="00781112" w:rsidRDefault="00AE1972" w:rsidP="00AE1972">
      <w:pPr>
        <w:rPr>
          <w:rFonts w:cs="Arial"/>
          <w:b/>
          <w:bCs/>
        </w:rPr>
      </w:pPr>
      <w:r w:rsidRPr="00781112">
        <w:rPr>
          <w:rFonts w:cs="Arial"/>
          <w:b/>
          <w:bCs/>
        </w:rPr>
        <w:t xml:space="preserve"> </w:t>
      </w:r>
    </w:p>
    <w:p w14:paraId="7DF513C4" w14:textId="38901088" w:rsidR="00AE1972" w:rsidRPr="00781112" w:rsidRDefault="00AE1972" w:rsidP="00AE1972">
      <w:pPr>
        <w:rPr>
          <w:rFonts w:cs="Arial"/>
          <w:b/>
          <w:bCs/>
        </w:rPr>
      </w:pPr>
      <w:bookmarkStart w:id="100"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100"/>
    <w:p w14:paraId="3E043DB7" w14:textId="7C3B2CD4" w:rsidR="00AE1972" w:rsidRPr="00781112" w:rsidRDefault="00AE1972" w:rsidP="00AE1972">
      <w:pPr>
        <w:rPr>
          <w:b/>
          <w:bCs/>
        </w:rPr>
      </w:pPr>
      <w:r w:rsidRPr="00781112">
        <w:rPr>
          <w:color w:val="000000" w:themeColor="text1"/>
        </w:rPr>
        <w:t>Each of the evidence-based practices are aimed at providing comprehensive support for educators in all grades, but specifically ELA educators in grades 3-5. Each year the LDOE is using data to refine strategy and support. Our 3-5 ELA Guidebook updates will strengthen and embed diverse learner supports and intentional writing supports into the curriculum which will directly impact their achievement on aligned statewide assessments used to measure the SiMR. Strategic literacy best practices will continue to be refined and implemented to support literacy development such that students in grades 3-5 will be on grade-level and increase outcomes in ELA; we must start in the foundational years to impact this outcome. Our tutoring and intervention strategies will provide students with disabilities the extra time they need in an equitable way to increase outcomes; the support for educators around these strategies ensure they have the capacity to implement data-driven interventions for students. The Summer Learning Guidance will help LEAs plan and implement effective, accessible summer learning, especially targeting Mathematics and ELA instruction, aimed at addressing accelerating learning for all students. The Special Education Playbook provides a clear, research-based statewide strategy on inclusive practices. This layered approach to implement SSIP strategies is intended to increase student achievement, and Louisiana has seen positive impacts.</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 xml:space="preserve">The past three years of data in Louisiana and national rankings indicate that Louisiana is seeing positive growth and increases in student achievement, specifically for students with disabilities. For the first year in 2023-2024, Louisiana reduced the achievement gap between students with disabilities and their non-disabled peers by 1 percent. Data from the latest NAEP results indicated that Louisiana is showing across the board growth climbing 11 spots to 32nd in the nation (up from 46th in 2019 and 42nd in 2022). Louisiana is #1 again in the nation for 4th grade reading growth. Students with disabilities in Louisiana outperformed students with disabilities across the country in both achievement and growth. These results are unprecedented and tied directly to our SiMR which encompasses grades 3-5 ELA performance, and Louisiana believes our priority to safely return students to in-person learning as quickly as possible post-pandemic, our statewide learning acceleration initiative, and our statewide literacy initiatives and inclusive practices led to these results. Additionally, state LEAP ELA assessment results are collected and analyzed, which also show another year of gains in ELA in these grades. </w:t>
      </w:r>
      <w:r w:rsidRPr="00781112">
        <w:rPr>
          <w:color w:val="000000" w:themeColor="text1"/>
        </w:rPr>
        <w:br/>
        <w:t xml:space="preserve">During 2023-2024, the School Improvement Division signed agreements with 58 systems to support 185 selected schools in the implementation of Instructional Leadership Team (ILT) Support and/or Teacher Collaboration (TC) Support. School Improvement Support Specialists (SISS) worked closely with system leaders to identify needs and set goals for each targeted site. SISS conducted 1,319 paired observations with system leaders of Instructional Leadership Team (ILT) meetings, Teacher Collaboration meetings, and K-12 classroom instruction, coaching system leaders to deliver effective feedback to school leaders. Throughout the year, SISS also partnered with system and school leaders to review student data and monitor progress toward goals. The implementation of HQPL at each system and school was progress-monitored using walkthrough tools specific to observed best practices, with the resulting data informing subsequent coaching visits. 59% of supported schools increased their school performance score (SPS), with 41% of schools increasing their SPS by 3 or more points. Additionally, 41 supported schools improved their school letter grade, with 12 of those exiting Comprehensive Intervention Required (CIR) status. The division will continue supporting system and school leaders in continuous improvement during the 2024-2025 school year with a continued focus on high quality professional learning (HQPL), high quality instructional materials (HQIM) implementation, and observation and feedback cycles. </w:t>
      </w:r>
      <w:r w:rsidRPr="00781112">
        <w:rPr>
          <w:color w:val="000000" w:themeColor="text1"/>
        </w:rPr>
        <w:br/>
        <w:t>Louisiana’s indicator 5 data also indicates that the majority of our students with disabilities are in inclusive settings receiving high quality content instruction, which impacts students’ ability to master grade level content expected on the state LEAP assessments.</w:t>
      </w:r>
    </w:p>
    <w:p w14:paraId="3D905B01" w14:textId="77777777" w:rsidR="00AE1972" w:rsidRPr="00781112" w:rsidRDefault="00AE1972" w:rsidP="00AE1972">
      <w:pPr>
        <w:rPr>
          <w:rFonts w:cs="Arial"/>
          <w:b/>
          <w:bCs/>
        </w:rPr>
      </w:pPr>
    </w:p>
    <w:p w14:paraId="7A09B895" w14:textId="187B70C8"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NAEP reading results, our fall literacy data, and the School Improvement observational data are all used to provide additional progress monitoring.</w:t>
      </w:r>
    </w:p>
    <w:p w14:paraId="1C12C4CB" w14:textId="17146AE7" w:rsidR="00C87801" w:rsidRDefault="00C87801" w:rsidP="00AE1972">
      <w:pPr>
        <w:rPr>
          <w:color w:val="000000" w:themeColor="text1"/>
        </w:rPr>
      </w:pPr>
    </w:p>
    <w:p w14:paraId="00E7E41D" w14:textId="35F4BD30"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High quality instructional materials with embedded diverse learner supports: In addition to continuing ELA Guidebooks 3-5 (2022) implementation support, additional professional learning sessions were available at Teacher Leader Summit 2024 and at multiple locations across the state during the summer of 2024. The LDOE also released the Fluency Utilized to Enhance Learning (FUEL) materials for grades 3-5 and have begun development of these resources for grades 6-8. The materials for 6-8 will accompany the newly released ELA Guidebooks 6-8 (2024). </w:t>
      </w:r>
      <w:r w:rsidRPr="00781112">
        <w:rPr>
          <w:color w:val="000000" w:themeColor="text1"/>
        </w:rPr>
        <w:br/>
      </w:r>
      <w:r w:rsidRPr="00781112">
        <w:rPr>
          <w:color w:val="000000" w:themeColor="text1"/>
        </w:rPr>
        <w:lastRenderedPageBreak/>
        <w:br/>
        <w:t xml:space="preserve">Literacy support: Continued professional development around the science of reading will continue and literacy support for students with disabilities. Additional Dyslexia training cohorts will be a next step. Louisiana also deployed a statewide literacy screener in 2023-2024, which will improve the quality and consistency of literacy data. </w:t>
      </w:r>
      <w:r w:rsidRPr="00781112">
        <w:rPr>
          <w:color w:val="000000" w:themeColor="text1"/>
        </w:rPr>
        <w:br/>
      </w:r>
      <w:r w:rsidRPr="00781112">
        <w:rPr>
          <w:color w:val="000000" w:themeColor="text1"/>
        </w:rPr>
        <w:br/>
        <w:t xml:space="preserve">Accelerating Learning and High Quality Intervention: LDOE will continue to require an accelerate approach to learning for our most struggling schools and during required summer learning programs. The Accelerate Learning and High Quality Intervention programming will continue and evolve in 2024-2025 to include required Accelerate High Dosage Tutoring during the school day for students below grade level on literacy and numeracy screeners.  </w:t>
      </w:r>
      <w:r w:rsidRPr="00781112">
        <w:rPr>
          <w:color w:val="000000" w:themeColor="text1"/>
        </w:rPr>
        <w:br/>
      </w:r>
      <w:r w:rsidRPr="00781112">
        <w:rPr>
          <w:color w:val="000000" w:themeColor="text1"/>
        </w:rPr>
        <w:br/>
        <w:t xml:space="preserve">High Quality Summer Learning Programs: The updated summer learning guidance will continue to be implemented. This will provide supports for our students with disabilities and help to further accelerate learning and help close achievement gaps. </w:t>
      </w:r>
      <w:r w:rsidRPr="00781112">
        <w:rPr>
          <w:color w:val="000000" w:themeColor="text1"/>
        </w:rPr>
        <w:br/>
      </w:r>
      <w:r w:rsidRPr="00781112">
        <w:rPr>
          <w:color w:val="000000" w:themeColor="text1"/>
        </w:rPr>
        <w:br/>
        <w:t>Leading Inclusive Special Education Programming Guidance: Additional inclusive education guidance documents will be released based on feedback from special education advisors and leaders across our state and based on feedback from LEA leaders and educators. The playbook pilot for inclusive instructional practices will occur in 2024-2025 and will eventually be a requirement for schools whose students with disabilities are not demonstrating growth.</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If no, describe any changes to the activities, strategies or timelines described in the previous submission and include a rationale or justification for the changes.</w:t>
      </w:r>
    </w:p>
    <w:p w14:paraId="62108E5B" w14:textId="77777777" w:rsidR="00987BD2" w:rsidRDefault="00987BD2" w:rsidP="00987BD2">
      <w:r w:rsidRPr="00781112">
        <w:t>While Louisiana will continue the implementation of the strategies outlined, Louisiana has engaged stakeholders to reassess the SiMR cohort model and its support of all students with disabilities in Louisiana. The LDOE has engaged with its state panel and concluded there is interest in expanding from the cohort to including all students with disabilities across Louisiana.</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513CA7D9" w14:textId="77777777" w:rsidR="00C2635F" w:rsidRPr="00781112" w:rsidRDefault="00C2635F" w:rsidP="00C2635F">
      <w:pPr>
        <w:rPr>
          <w:color w:val="000000" w:themeColor="text1"/>
        </w:rPr>
      </w:pPr>
      <w:r w:rsidRPr="00781112">
        <w:rPr>
          <w:color w:val="000000" w:themeColor="text1"/>
        </w:rPr>
        <w:t xml:space="preserve">Louisiana has released a new bold plan for the future of education in our state. The driving force of this vision is that every one of Louisiana’s children should be on track to a college degree or a professional career. Louisiana regularly seeks input from a broad set of stakeholders when establishing policy, regulation, or implementation strategies. Louisiana's Special Education Advisory Panel (SEAP) is key in the development of the State Performance Plan and Annual Performance Report (SPP/APR) and SSIP. This group is the driving force for our target setting process and data analysis. SEAP includes representation from the following: parents, special education administrators, teachers, institutions of higher education, transition providers, individuals with disabilities, homeless liaison, related service provider, private schools, foster care representative, and juvenile or adult correction representative. Our panel selection committee also includes a diversity component on the selection rubric to ensure diverse representation on our advisory panel, of which more than 50 percent are parents or individuals with a disability. The committee analyzes the diversity of the panel and regions of the state represented. </w:t>
      </w:r>
      <w:r w:rsidRPr="00781112">
        <w:rPr>
          <w:color w:val="000000" w:themeColor="text1"/>
        </w:rPr>
        <w:br/>
      </w:r>
      <w:r w:rsidRPr="00781112">
        <w:rPr>
          <w:color w:val="000000" w:themeColor="text1"/>
        </w:rPr>
        <w:br/>
        <w:t xml:space="preserve">Internal Review </w:t>
      </w:r>
      <w:r w:rsidRPr="00781112">
        <w:rPr>
          <w:color w:val="000000" w:themeColor="text1"/>
        </w:rPr>
        <w:br/>
        <w:t xml:space="preserve">The LDOE's Division for Diverse Learners reviewed historical data and LDOE policies, procedures, and practices; and collaborated with internal teams to develop targets that were rigorous and attainable. </w:t>
      </w:r>
      <w:r w:rsidRPr="00781112">
        <w:rPr>
          <w:color w:val="000000" w:themeColor="text1"/>
        </w:rPr>
        <w:br/>
      </w:r>
      <w:r w:rsidRPr="00781112">
        <w:rPr>
          <w:color w:val="000000" w:themeColor="text1"/>
        </w:rPr>
        <w:br/>
        <w:t>External Stakeholder Feedback</w:t>
      </w:r>
      <w:r w:rsidRPr="00781112">
        <w:rPr>
          <w:color w:val="000000" w:themeColor="text1"/>
        </w:rPr>
        <w:br/>
        <w:t>The Division for Diverse Learners developed and executed an SPP/APR target setting engagement strategy to solicit broad stakeholder feedback on the FFY 2020 - FFY 2025 targets. The LDOE developed a State Performance Plan/Annual Performance Report Target Setting webpage on the Louisiana Believes website. The webpage contains an overview document with an explanation of each indicator, historical data for each indicator, and tables to clearly identify whether or not the State met targets for each indicator. After review of the overview document, a target setting survey was available for stakeholders to provide input on targets. No adjustments were made to targets for FFY 2023.</w:t>
      </w:r>
      <w:r w:rsidRPr="00781112">
        <w:rPr>
          <w:color w:val="000000" w:themeColor="text1"/>
        </w:rPr>
        <w:br/>
      </w:r>
      <w:r w:rsidRPr="00781112">
        <w:rPr>
          <w:color w:val="000000" w:themeColor="text1"/>
        </w:rPr>
        <w:br/>
        <w:t>SEAP Integration</w:t>
      </w:r>
      <w:r w:rsidRPr="00781112">
        <w:rPr>
          <w:color w:val="000000" w:themeColor="text1"/>
        </w:rPr>
        <w:br/>
        <w:t>The LDOE informed the SEAP on the target setting process and SSIP at two separate meetings. LDOE provided an overview of each indicator along with historical data to SEAP members, including a diverse group of parents, who provided input. SEAP's structure also allows for public comments, which were exercised at the meetings, providing external stakeholder feedback. Again, SEAP's primary membership is parents of individuals with disabilities. In FFY 2023 SEAP was updated with progress and improvement strategies and funding strategies were discussed. SEAP also had valuable impact to update state policy, monitoring policy, dispute resolution, assessment feedback and literacy supports for students with disabilities during the reporting year.</w:t>
      </w:r>
      <w:r w:rsidRPr="00781112">
        <w:rPr>
          <w:color w:val="000000" w:themeColor="text1"/>
        </w:rPr>
        <w:br/>
      </w:r>
      <w:r w:rsidRPr="00781112">
        <w:rPr>
          <w:color w:val="000000" w:themeColor="text1"/>
        </w:rPr>
        <w:br/>
        <w:t xml:space="preserve">The LDOE set targets based on feedback, historical data, and whether previous targets set were met. LDOE will continue to monitor data, targets, and changes to Indicator methodology, and may revise targets in the future, as necessary. Any revisions will incorporate stakeholder feedback, including, but not limited to, SEAP. </w:t>
      </w:r>
      <w:r w:rsidRPr="00781112">
        <w:rPr>
          <w:color w:val="000000" w:themeColor="text1"/>
        </w:rPr>
        <w:br/>
      </w:r>
      <w:r w:rsidRPr="00781112">
        <w:rPr>
          <w:color w:val="000000" w:themeColor="text1"/>
        </w:rPr>
        <w:br/>
        <w:t>Louisiana also partners with the Louisiana Association of Special Education Administrators (LASEA) to get valuable input on state policy and strategy and to build capacity and increase intentional communication with the local administrators. The Louisiana Developmental Disabilities Council was also engaged around our state's targets, data and progress and that council is also comprised of parents of individuals with disabilities and individuals with disabilities.</w:t>
      </w:r>
      <w:r w:rsidRPr="00781112">
        <w:rPr>
          <w:color w:val="000000" w:themeColor="text1"/>
        </w:rPr>
        <w:br/>
      </w:r>
      <w:r w:rsidRPr="00781112">
        <w:rPr>
          <w:color w:val="000000" w:themeColor="text1"/>
        </w:rPr>
        <w:br/>
        <w:t>Throughout 2023-2024 many stakeholder groups, all including diverse groups of parents as well, were engaged, experts, state commissions, educators and parents. This broad engagement was a continued stakeholder engagement effort that focuses on more frequent, detailed input and included the following:</w:t>
      </w:r>
      <w:r w:rsidRPr="00781112">
        <w:rPr>
          <w:color w:val="000000" w:themeColor="text1"/>
        </w:rPr>
        <w:br/>
      </w:r>
      <w:r w:rsidRPr="00781112">
        <w:rPr>
          <w:color w:val="000000" w:themeColor="text1"/>
        </w:rPr>
        <w:br/>
        <w:t>Special Education Advisory Panel (SEAP)</w:t>
      </w:r>
      <w:r w:rsidRPr="00781112">
        <w:rPr>
          <w:color w:val="000000" w:themeColor="text1"/>
        </w:rPr>
        <w:br/>
        <w:t>Superintendent’s Teacher Advisory Council (which includes special educators)</w:t>
      </w:r>
      <w:r w:rsidRPr="00781112">
        <w:rPr>
          <w:color w:val="000000" w:themeColor="text1"/>
        </w:rPr>
        <w:br/>
        <w:t>Early Literacy Commission</w:t>
      </w:r>
      <w:r w:rsidRPr="00781112">
        <w:rPr>
          <w:color w:val="000000" w:themeColor="text1"/>
        </w:rPr>
        <w:br/>
        <w:t>Teacher Leader Advisors</w:t>
      </w:r>
      <w:r w:rsidRPr="00781112">
        <w:rPr>
          <w:color w:val="000000" w:themeColor="text1"/>
        </w:rPr>
        <w:br/>
      </w:r>
      <w:r w:rsidRPr="00781112">
        <w:rPr>
          <w:color w:val="000000" w:themeColor="text1"/>
        </w:rPr>
        <w:lastRenderedPageBreak/>
        <w:t>Families Helping Families</w:t>
      </w:r>
      <w:r w:rsidRPr="00781112">
        <w:rPr>
          <w:color w:val="000000" w:themeColor="text1"/>
        </w:rPr>
        <w:br/>
        <w:t>Exceptional Lives Louisiana</w:t>
      </w:r>
      <w:r w:rsidRPr="00781112">
        <w:rPr>
          <w:color w:val="000000" w:themeColor="text1"/>
        </w:rPr>
        <w:br/>
        <w:t>Louisiana Developmental Disabilities Council</w:t>
      </w:r>
      <w:r w:rsidRPr="00781112">
        <w:rPr>
          <w:color w:val="000000" w:themeColor="text1"/>
        </w:rPr>
        <w:br/>
        <w:t>Governor’s Office of Disability Affairs</w:t>
      </w:r>
      <w:r w:rsidRPr="00781112">
        <w:rPr>
          <w:color w:val="000000" w:themeColor="text1"/>
        </w:rPr>
        <w:br/>
        <w:t>Louisiana Association of Special Education Supervisors</w:t>
      </w:r>
      <w:r w:rsidRPr="00781112">
        <w:rPr>
          <w:color w:val="000000" w:themeColor="text1"/>
        </w:rPr>
        <w:br/>
        <w:t>Monitoring Stakeholder Group</w:t>
      </w:r>
      <w:r w:rsidRPr="00781112">
        <w:rPr>
          <w:color w:val="000000" w:themeColor="text1"/>
        </w:rPr>
        <w:br/>
      </w:r>
      <w:r w:rsidRPr="00781112">
        <w:rPr>
          <w:color w:val="000000" w:themeColor="text1"/>
        </w:rPr>
        <w:br/>
        <w:t>Parents and parent-advocates are also often consulted by the State Superintendent, State Director and executive staff to provide input on key improvements.</w:t>
      </w:r>
      <w:r w:rsidRPr="00781112">
        <w:rPr>
          <w:color w:val="000000" w:themeColor="text1"/>
        </w:rPr>
        <w:br/>
      </w:r>
      <w:r w:rsidRPr="00781112">
        <w:rPr>
          <w:color w:val="000000" w:themeColor="text1"/>
        </w:rPr>
        <w:br/>
        <w:t>Surveys are also used to solicit improvement ideas from parents, administrators and educators including direction on state priorities and IDEA state set aside funding priorities.</w:t>
      </w:r>
    </w:p>
    <w:p w14:paraId="613D691C" w14:textId="77777777" w:rsidR="00C2635F" w:rsidRPr="00781112" w:rsidRDefault="00C2635F" w:rsidP="00C2635F">
      <w:pPr>
        <w:pStyle w:val="Bold"/>
        <w:rPr>
          <w:b w:val="0"/>
          <w:color w:val="000000" w:themeColor="text1"/>
        </w:rPr>
      </w:pP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Throughout 2023-2024 many stakeholder groups were engaged, experts, state commissions, educators and parents. This broad engagement is an improved stakeholder engagement effort that focused on more frequent, detailed input and included the following:</w:t>
      </w:r>
      <w:r w:rsidRPr="00781112">
        <w:rPr>
          <w:color w:val="000000" w:themeColor="text1"/>
        </w:rPr>
        <w:br/>
      </w:r>
      <w:r w:rsidRPr="00781112">
        <w:rPr>
          <w:color w:val="000000" w:themeColor="text1"/>
        </w:rPr>
        <w:br/>
        <w:t>Special Education Advisory Panel (SEAP)</w:t>
      </w:r>
      <w:r w:rsidRPr="00781112">
        <w:rPr>
          <w:color w:val="000000" w:themeColor="text1"/>
        </w:rPr>
        <w:br/>
        <w:t>Related Services Advisory Commission (new commission)</w:t>
      </w:r>
      <w:r w:rsidRPr="00781112">
        <w:rPr>
          <w:color w:val="000000" w:themeColor="text1"/>
        </w:rPr>
        <w:br/>
        <w:t>Superintendent’s Teacher Advisory Council (which includes special educators)</w:t>
      </w:r>
      <w:r w:rsidRPr="00781112">
        <w:rPr>
          <w:color w:val="000000" w:themeColor="text1"/>
        </w:rPr>
        <w:br/>
        <w:t xml:space="preserve">  Early Literacy Commission</w:t>
      </w:r>
      <w:r w:rsidRPr="00781112">
        <w:rPr>
          <w:color w:val="000000" w:themeColor="text1"/>
        </w:rPr>
        <w:br/>
        <w:t xml:space="preserve">  Teacher Leader Advisors</w:t>
      </w:r>
      <w:r w:rsidRPr="00781112">
        <w:rPr>
          <w:color w:val="000000" w:themeColor="text1"/>
        </w:rPr>
        <w:br/>
        <w:t xml:space="preserve">  Families Helping Families</w:t>
      </w:r>
      <w:r w:rsidRPr="00781112">
        <w:rPr>
          <w:color w:val="000000" w:themeColor="text1"/>
        </w:rPr>
        <w:br/>
        <w:t xml:space="preserve">  Exceptional Lives Louisiana</w:t>
      </w:r>
      <w:r w:rsidRPr="00781112">
        <w:rPr>
          <w:color w:val="000000" w:themeColor="text1"/>
        </w:rPr>
        <w:br/>
        <w:t xml:space="preserve">  Louisiana Developmental Disabilities Council</w:t>
      </w:r>
      <w:r w:rsidRPr="00781112">
        <w:rPr>
          <w:color w:val="000000" w:themeColor="text1"/>
        </w:rPr>
        <w:br/>
        <w:t xml:space="preserve">  Governor’s Office of Disability Affairs</w:t>
      </w:r>
      <w:r w:rsidRPr="00781112">
        <w:rPr>
          <w:color w:val="000000" w:themeColor="text1"/>
        </w:rPr>
        <w:br/>
        <w:t xml:space="preserve">  Louisiana Association of Special Education Supervisors</w:t>
      </w:r>
      <w:r w:rsidRPr="00781112">
        <w:rPr>
          <w:color w:val="000000" w:themeColor="text1"/>
        </w:rPr>
        <w:br/>
      </w:r>
      <w:r w:rsidRPr="00781112">
        <w:rPr>
          <w:color w:val="000000" w:themeColor="text1"/>
        </w:rPr>
        <w:br/>
        <w:t>As part of our literacy commission, an additional task force was added to directly address literacy for students with disabilities.</w:t>
      </w:r>
      <w:r w:rsidRPr="00781112">
        <w:rPr>
          <w:color w:val="000000" w:themeColor="text1"/>
        </w:rPr>
        <w:br/>
      </w:r>
      <w:r w:rsidRPr="00781112">
        <w:rPr>
          <w:color w:val="000000" w:themeColor="text1"/>
        </w:rPr>
        <w:br/>
        <w:t>Parents and parent-advocates are also often consulted by the State Superintendent, State Director and executive staff to provide input on key improvements.</w:t>
      </w:r>
      <w:r w:rsidRPr="00781112">
        <w:rPr>
          <w:color w:val="000000" w:themeColor="text1"/>
        </w:rPr>
        <w:br/>
      </w:r>
      <w:r w:rsidRPr="00781112">
        <w:rPr>
          <w:color w:val="000000" w:themeColor="text1"/>
        </w:rPr>
        <w:br/>
        <w:t>Surveys are also used to solicit improvement ideas from parents, administrators and educators.</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Stakeholder feedback and input is valued at all levels of engagement, both public engagement and in each interaction with stakeholders. Concerns expressed during 2023-2024 related to increasing the amount of on-site IDEA monitoring LDOE is conducting, increasing parent and family access to dispute resolution processes and continued discussions on discipline data. Working alongside stakeholders and the state panel, important special education policy updates have continued making necessary changes to policies that had not been reviewed or updated in decades. </w:t>
      </w:r>
      <w:r w:rsidRPr="00781112">
        <w:rPr>
          <w:color w:val="000000" w:themeColor="text1"/>
        </w:rPr>
        <w:br/>
      </w:r>
      <w:r w:rsidRPr="00781112">
        <w:rPr>
          <w:color w:val="000000" w:themeColor="text1"/>
        </w:rPr>
        <w:br/>
        <w:t>More directly related to the SIMR, stakeholders continue to support access for all students with disabilities to high quality teaching and learning. Support for educators around foundational numeracy skills will be a focus in 2024-2025.</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r w:rsidRPr="00781112">
        <w:rPr>
          <w:color w:val="000000" w:themeColor="text1"/>
        </w:rPr>
        <w:t>All activities have been included.</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r w:rsidRPr="00781112">
        <w:rPr>
          <w:color w:val="000000" w:themeColor="text1"/>
        </w:rPr>
        <w:t>All activities have been previously included.</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No specific barriers were newly identified. </w:t>
      </w:r>
      <w:r w:rsidRPr="00781112">
        <w:rPr>
          <w:color w:val="000000" w:themeColor="text1"/>
        </w:rPr>
        <w:br/>
      </w:r>
      <w:r w:rsidRPr="00781112">
        <w:rPr>
          <w:color w:val="000000" w:themeColor="text1"/>
        </w:rPr>
        <w:br/>
        <w:t>As Louisiana identifies barriers, stakeholders are consulted and solutions are put into place. For example, the state created a specific workgroup for students with disabilities on its Literacy Commission. The state Special Education Advisory Panel meets quarterly and addresses any identified barriers. The panel has done significant policy work in our state and has given feedback positively impacting students and parents and how they access complex special education processes.</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lastRenderedPageBreak/>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23CCB9EC" w14:textId="19D3A83B" w:rsidR="007B2985" w:rsidRDefault="007B2985">
      <w:pPr>
        <w:spacing w:before="0" w:after="200" w:line="276" w:lineRule="auto"/>
        <w:rPr>
          <w:color w:val="000000" w:themeColor="text1"/>
        </w:rPr>
      </w:pPr>
      <w:r>
        <w:rPr>
          <w:color w:val="000000" w:themeColor="text1"/>
        </w:rPr>
        <w:br w:type="page"/>
      </w:r>
    </w:p>
    <w:p w14:paraId="456E6F1A" w14:textId="77777777" w:rsidR="00B9250E" w:rsidRDefault="00B9250E" w:rsidP="00B9250E">
      <w:pPr>
        <w:pStyle w:val="Heading1"/>
      </w:pPr>
      <w:bookmarkStart w:id="101" w:name="_Hlk173251796"/>
      <w:r>
        <w:lastRenderedPageBreak/>
        <w:t>Indicator 18: General Supervision</w:t>
      </w:r>
    </w:p>
    <w:bookmarkEnd w:id="101"/>
    <w:p w14:paraId="38A9004D" w14:textId="19D3A83B" w:rsidR="00B9250E" w:rsidRPr="002C274F" w:rsidRDefault="00B9250E" w:rsidP="002C274F">
      <w:pPr>
        <w:rPr>
          <w:b/>
          <w:bCs/>
          <w:sz w:val="20"/>
          <w:szCs w:val="20"/>
        </w:rPr>
      </w:pPr>
      <w:r w:rsidRPr="002C274F">
        <w:rPr>
          <w:b/>
          <w:bCs/>
          <w:sz w:val="20"/>
          <w:szCs w:val="20"/>
        </w:rPr>
        <w:t>Instructions and Measurement</w:t>
      </w:r>
    </w:p>
    <w:p w14:paraId="467D6B3B"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5487876E"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E636E5C"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778DB2BC" w14:textId="77777777" w:rsidR="00B9250E" w:rsidRPr="00CB52C7" w:rsidRDefault="00B9250E" w:rsidP="00B9250E">
      <w:pPr>
        <w:rPr>
          <w:rFonts w:eastAsia="Calibri" w:cs="Arial"/>
          <w:b/>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r w:rsidRPr="00CB52C7">
        <w:rPr>
          <w:rFonts w:eastAsia="Calibri" w:cs="Arial"/>
          <w:szCs w:val="16"/>
        </w:rPr>
        <w:cr/>
      </w:r>
      <w:r w:rsidRPr="00CB52C7">
        <w:rPr>
          <w:rFonts w:eastAsia="Calibri" w:cs="Arial"/>
          <w:b/>
          <w:szCs w:val="16"/>
        </w:rPr>
        <w:t>Measurement</w:t>
      </w:r>
    </w:p>
    <w:p w14:paraId="120EC51E"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the reporting on the percent of findings of noncompliance corrected within one year of identification: </w:t>
      </w:r>
    </w:p>
    <w:p w14:paraId="5BACDC40"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2023 submission, use FFY 2022, July 1, 2022 – June 30, 2023)</w:t>
      </w:r>
    </w:p>
    <w:p w14:paraId="118A609D"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b. # of findings of noncompliance the State verified were corrected no later than one year after the State’s written notification of findings of noncompliance.</w:t>
      </w:r>
    </w:p>
    <w:p w14:paraId="488B2FED" w14:textId="2BA0A4C6" w:rsidR="008D02A5" w:rsidRDefault="00B9250E" w:rsidP="003E5D5A">
      <w:pPr>
        <w:ind w:firstLine="360"/>
        <w:rPr>
          <w:rFonts w:eastAsia="Calibri" w:cs="Arial"/>
          <w:szCs w:val="16"/>
        </w:rPr>
      </w:pPr>
      <w:r w:rsidRPr="00CB52C7">
        <w:rPr>
          <w:rFonts w:eastAsia="Calibri" w:cs="Arial"/>
          <w:szCs w:val="16"/>
        </w:rPr>
        <w:t>Percent = [(b) divided by (a)] times 100</w:t>
      </w:r>
    </w:p>
    <w:p w14:paraId="2076257A" w14:textId="664A05B9" w:rsidR="008D02A5" w:rsidRPr="003E5D5A" w:rsidRDefault="008D02A5" w:rsidP="00B9250E">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04A926F4" w14:textId="3342B067" w:rsidR="00B9250E" w:rsidRPr="00CB52C7" w:rsidRDefault="00B9250E" w:rsidP="00B9250E">
      <w:pPr>
        <w:rPr>
          <w:rFonts w:eastAsia="Calibri" w:cs="Arial"/>
          <w:b/>
          <w:szCs w:val="16"/>
        </w:rPr>
      </w:pPr>
      <w:r w:rsidRPr="00CB52C7">
        <w:rPr>
          <w:rFonts w:eastAsia="Calibri" w:cs="Arial"/>
          <w:b/>
          <w:szCs w:val="16"/>
        </w:rPr>
        <w:t>Instructions</w:t>
      </w:r>
    </w:p>
    <w:p w14:paraId="68480FCB" w14:textId="0FCC4FB2" w:rsidR="00B9250E" w:rsidRPr="00CB52C7" w:rsidRDefault="00B9250E" w:rsidP="00B9250E">
      <w:pPr>
        <w:rPr>
          <w:rFonts w:eastAsia="Calibri" w:cs="Arial"/>
          <w:szCs w:val="16"/>
        </w:rPr>
      </w:pPr>
      <w:r w:rsidRPr="00CB52C7">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2F92BE95" w14:textId="107ECEA7" w:rsidR="00B9250E" w:rsidRPr="00CB52C7" w:rsidRDefault="00B9250E" w:rsidP="00B9250E">
      <w:pPr>
        <w:rPr>
          <w:rFonts w:eastAsia="Calibri" w:cs="Arial"/>
          <w:szCs w:val="16"/>
        </w:rPr>
      </w:pPr>
      <w:r w:rsidRPr="00CB52C7">
        <w:rPr>
          <w:rFonts w:eastAsia="Calibri" w:cs="Arial"/>
          <w:szCs w:val="16"/>
        </w:rPr>
        <w:t>Targets must be 100%.</w:t>
      </w:r>
    </w:p>
    <w:p w14:paraId="2BA619D2" w14:textId="28FE7489" w:rsidR="00B9250E" w:rsidRPr="00CB52C7" w:rsidRDefault="00B9250E" w:rsidP="00B9250E">
      <w:pPr>
        <w:rPr>
          <w:rFonts w:eastAsia="Calibri" w:cs="Arial"/>
          <w:szCs w:val="16"/>
        </w:rPr>
      </w:pPr>
      <w:r w:rsidRPr="00CB52C7">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14:paraId="1E394FE7" w14:textId="77777777" w:rsidR="00B9250E" w:rsidRPr="00CB52C7" w:rsidRDefault="00B9250E" w:rsidP="00B9250E">
      <w:pPr>
        <w:rPr>
          <w:rFonts w:eastAsia="Calibri" w:cs="Arial"/>
          <w:szCs w:val="16"/>
        </w:rPr>
      </w:pPr>
      <w:r w:rsidRPr="00CB52C7">
        <w:rPr>
          <w:rFonts w:eastAsia="Calibri" w:cs="Arial"/>
          <w:szCs w:val="16"/>
        </w:rPr>
        <w:t>Starting with the FFY 2023 SPP/APR, States will be required to report on the correction of noncompliance related to compliance indicators 4B, 9, 10, 11, 12, and 13 based on findings issued in FFY 2022. Under each compliance indicator, States report on the correction of noncompliance for that specific indicator. However, in this general supervision Indicator 18, States report on both those findings as well as any additional findings that the State issued related to that compliance indicator.</w:t>
      </w:r>
    </w:p>
    <w:p w14:paraId="17BB16C1" w14:textId="22B7ACFB" w:rsidR="00B9250E" w:rsidRPr="00CB52C7" w:rsidRDefault="00B9250E" w:rsidP="00B9250E">
      <w:pPr>
        <w:rPr>
          <w:rFonts w:eastAsia="Calibri" w:cs="Arial"/>
          <w:szCs w:val="16"/>
        </w:rPr>
      </w:pPr>
      <w:r w:rsidRPr="00CB52C7">
        <w:rPr>
          <w:rFonts w:eastAsia="Calibri" w:cs="Arial"/>
          <w:szCs w:val="16"/>
        </w:rPr>
        <w:t>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7F64A8AD" w14:textId="77777777" w:rsidR="00B9250E" w:rsidRPr="00CB52C7" w:rsidRDefault="00B9250E" w:rsidP="00B9250E">
      <w:pPr>
        <w:rPr>
          <w:rFonts w:eastAsia="Calibri" w:cs="Arial"/>
          <w:szCs w:val="16"/>
        </w:rPr>
      </w:pPr>
      <w:r w:rsidRPr="00CB52C7">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3A7E863" w14:textId="386B971D" w:rsidR="00B9250E" w:rsidRPr="00CB52C7" w:rsidRDefault="00C615CF" w:rsidP="007F76DD">
      <w:pPr>
        <w:pStyle w:val="Heading2"/>
      </w:pPr>
      <w:r>
        <w:t xml:space="preserve">18 - </w:t>
      </w:r>
      <w:r w:rsidR="00B9250E" w:rsidRPr="00CB52C7">
        <w:t>Indicator Data</w:t>
      </w:r>
    </w:p>
    <w:p w14:paraId="7C523773"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6CA62A6B" w14:textId="77777777" w:rsidTr="00C144F3">
        <w:trPr>
          <w:trHeight w:val="360"/>
          <w:tblHeader/>
        </w:trPr>
        <w:tc>
          <w:tcPr>
            <w:tcW w:w="1797" w:type="dxa"/>
          </w:tcPr>
          <w:p w14:paraId="79262C56"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487FDF4B"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10EB3A3C" w14:textId="77777777" w:rsidTr="00C144F3">
        <w:trPr>
          <w:trHeight w:val="360"/>
          <w:tblHeader/>
        </w:trPr>
        <w:tc>
          <w:tcPr>
            <w:tcW w:w="1797" w:type="dxa"/>
            <w:shd w:val="clear" w:color="auto" w:fill="auto"/>
          </w:tcPr>
          <w:p w14:paraId="3DB63379" w14:textId="32371D4A"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shd w:val="clear" w:color="auto" w:fill="auto"/>
            <w:vAlign w:val="center"/>
          </w:tcPr>
          <w:p w14:paraId="11E17251" w14:textId="44164363" w:rsidR="00AA0F28" w:rsidRPr="00CB52C7" w:rsidRDefault="00AA0F28" w:rsidP="00AA0F28">
            <w:pPr>
              <w:jc w:val="center"/>
              <w:rPr>
                <w:rFonts w:eastAsia="Calibri" w:cs="Arial"/>
                <w:b/>
                <w:color w:val="000000"/>
                <w:szCs w:val="16"/>
              </w:rPr>
            </w:pPr>
            <w:r w:rsidRPr="00ED172B">
              <w:rPr>
                <w:color w:val="000000" w:themeColor="text1"/>
              </w:rPr>
              <w:t>100.00%</w:t>
            </w:r>
          </w:p>
        </w:tc>
      </w:tr>
    </w:tbl>
    <w:p w14:paraId="2B25DB1A" w14:textId="77777777" w:rsidR="00B9250E" w:rsidRPr="00CB52C7" w:rsidRDefault="00B9250E" w:rsidP="00B9250E">
      <w:pPr>
        <w:keepNext/>
        <w:spacing w:after="0"/>
        <w:rPr>
          <w:rFonts w:eastAsia="Calibri" w:cs="Arial"/>
          <w:b/>
          <w:szCs w:val="16"/>
        </w:rPr>
      </w:pPr>
    </w:p>
    <w:p w14:paraId="66533CF9"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4151" w:type="pct"/>
        <w:tblLook w:val="0020" w:firstRow="1" w:lastRow="0" w:firstColumn="0" w:lastColumn="0" w:noHBand="0" w:noVBand="0"/>
        <w:tblCaption w:val="B18TARGETS"/>
      </w:tblPr>
      <w:tblGrid>
        <w:gridCol w:w="706"/>
        <w:gridCol w:w="2467"/>
        <w:gridCol w:w="2644"/>
        <w:gridCol w:w="3141"/>
      </w:tblGrid>
      <w:tr w:rsidR="00211C03" w:rsidRPr="00CB52C7" w14:paraId="3050C234" w14:textId="77777777" w:rsidTr="00C144F3">
        <w:trPr>
          <w:trHeight w:val="350"/>
        </w:trPr>
        <w:tc>
          <w:tcPr>
            <w:tcW w:w="394" w:type="pct"/>
          </w:tcPr>
          <w:p w14:paraId="22571611" w14:textId="77777777" w:rsidR="00211C03" w:rsidRPr="00CB52C7" w:rsidRDefault="00211C03" w:rsidP="00211C03">
            <w:pPr>
              <w:keepNext/>
              <w:jc w:val="center"/>
              <w:rPr>
                <w:rFonts w:eastAsia="Calibri" w:cs="Arial"/>
                <w:b/>
                <w:szCs w:val="16"/>
              </w:rPr>
            </w:pPr>
            <w:r w:rsidRPr="00CB52C7">
              <w:rPr>
                <w:rFonts w:eastAsia="Calibri" w:cs="Arial"/>
                <w:b/>
                <w:szCs w:val="16"/>
              </w:rPr>
              <w:t>FFY</w:t>
            </w:r>
          </w:p>
        </w:tc>
        <w:tc>
          <w:tcPr>
            <w:tcW w:w="1377" w:type="pct"/>
            <w:vAlign w:val="center"/>
          </w:tcPr>
          <w:p w14:paraId="01F65C73" w14:textId="01202AEE" w:rsidR="00211C03" w:rsidRPr="00CB52C7" w:rsidRDefault="00211C03" w:rsidP="00211C03">
            <w:pPr>
              <w:keepNext/>
              <w:jc w:val="center"/>
              <w:rPr>
                <w:rFonts w:eastAsia="Calibri" w:cs="Arial"/>
                <w:b/>
                <w:bCs/>
                <w:szCs w:val="16"/>
              </w:rPr>
            </w:pPr>
            <w:r w:rsidRPr="00781112">
              <w:rPr>
                <w:b/>
                <w:color w:val="000000" w:themeColor="text1"/>
              </w:rPr>
              <w:t>2023</w:t>
            </w:r>
          </w:p>
        </w:tc>
        <w:tc>
          <w:tcPr>
            <w:tcW w:w="1476" w:type="pct"/>
          </w:tcPr>
          <w:p w14:paraId="63456C2F" w14:textId="2C88E5A0"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2024</w:t>
            </w:r>
          </w:p>
        </w:tc>
        <w:tc>
          <w:tcPr>
            <w:tcW w:w="1754" w:type="pct"/>
          </w:tcPr>
          <w:p w14:paraId="7954410F" w14:textId="504B6012"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2025</w:t>
            </w:r>
          </w:p>
        </w:tc>
      </w:tr>
      <w:tr w:rsidR="00AA0F28" w:rsidRPr="00CB52C7" w14:paraId="13044C61" w14:textId="77777777" w:rsidTr="00C144F3">
        <w:trPr>
          <w:trHeight w:val="357"/>
        </w:trPr>
        <w:tc>
          <w:tcPr>
            <w:tcW w:w="394" w:type="pct"/>
          </w:tcPr>
          <w:p w14:paraId="25371225" w14:textId="77777777" w:rsidR="00AA0F28" w:rsidRPr="00C85110" w:rsidRDefault="00AA0F28" w:rsidP="00AA0F28">
            <w:pPr>
              <w:rPr>
                <w:rFonts w:eastAsia="Calibri" w:cs="Arial"/>
                <w:b/>
                <w:bCs/>
                <w:szCs w:val="16"/>
              </w:rPr>
            </w:pPr>
            <w:r w:rsidRPr="00C85110">
              <w:rPr>
                <w:rFonts w:eastAsia="Calibri" w:cs="Arial"/>
                <w:b/>
                <w:bCs/>
                <w:szCs w:val="16"/>
              </w:rPr>
              <w:t>Target</w:t>
            </w:r>
          </w:p>
        </w:tc>
        <w:tc>
          <w:tcPr>
            <w:tcW w:w="1377" w:type="pct"/>
            <w:vAlign w:val="center"/>
          </w:tcPr>
          <w:p w14:paraId="4CBFD355" w14:textId="2FFE547A" w:rsidR="00AA0F28" w:rsidRPr="00CB52C7" w:rsidRDefault="00AA0F28" w:rsidP="00AA0F28">
            <w:pPr>
              <w:jc w:val="center"/>
              <w:rPr>
                <w:rFonts w:eastAsia="Calibri" w:cs="Arial"/>
                <w:caps/>
                <w:color w:val="548DD4"/>
                <w:szCs w:val="16"/>
              </w:rPr>
            </w:pPr>
            <w:r w:rsidRPr="00ED172B">
              <w:rPr>
                <w:color w:val="000000" w:themeColor="text1"/>
              </w:rPr>
              <w:t>100%</w:t>
            </w:r>
          </w:p>
        </w:tc>
        <w:tc>
          <w:tcPr>
            <w:tcW w:w="1476" w:type="pct"/>
          </w:tcPr>
          <w:p w14:paraId="761B3F10" w14:textId="112DA712" w:rsidR="00AA0F28" w:rsidRPr="00CB52C7" w:rsidRDefault="00AA0F28" w:rsidP="00AA0F28">
            <w:pPr>
              <w:jc w:val="center"/>
              <w:rPr>
                <w:rFonts w:eastAsia="Calibri" w:cs="Arial"/>
                <w:caps/>
                <w:color w:val="548DD4"/>
                <w:szCs w:val="16"/>
              </w:rPr>
            </w:pPr>
            <w:r>
              <w:rPr>
                <w:rFonts w:cs="Arial"/>
                <w:color w:val="000000" w:themeColor="text1"/>
                <w:szCs w:val="16"/>
              </w:rPr>
              <w:t>100%</w:t>
            </w:r>
          </w:p>
        </w:tc>
        <w:tc>
          <w:tcPr>
            <w:tcW w:w="1754" w:type="pct"/>
          </w:tcPr>
          <w:p w14:paraId="0E4F4B31" w14:textId="5A5D7544" w:rsidR="00AA0F28" w:rsidRPr="00CB52C7" w:rsidRDefault="00AA0F28" w:rsidP="00AA0F28">
            <w:pPr>
              <w:jc w:val="center"/>
              <w:rPr>
                <w:rFonts w:eastAsia="Calibri" w:cs="Arial"/>
                <w:caps/>
                <w:color w:val="548DD4"/>
                <w:szCs w:val="16"/>
              </w:rPr>
            </w:pPr>
            <w:r w:rsidRPr="005F5F3C">
              <w:rPr>
                <w:rFonts w:cs="Arial"/>
                <w:color w:val="000000" w:themeColor="text1"/>
                <w:szCs w:val="16"/>
              </w:rPr>
              <w:t>100%</w:t>
            </w:r>
          </w:p>
        </w:tc>
      </w:tr>
    </w:tbl>
    <w:p w14:paraId="26F2D3D8" w14:textId="77777777" w:rsidR="00B9250E" w:rsidRPr="00CB52C7" w:rsidRDefault="00B9250E" w:rsidP="00B9250E">
      <w:pPr>
        <w:rPr>
          <w:rFonts w:eastAsia="Calibri" w:cs="Arial"/>
          <w:b/>
          <w:szCs w:val="16"/>
        </w:rPr>
      </w:pPr>
    </w:p>
    <w:p w14:paraId="7EB85454" w14:textId="678925A3"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0088157A" w14:textId="3B13E8D9" w:rsidR="00B9250E" w:rsidRPr="00CB52C7" w:rsidRDefault="00B9250E" w:rsidP="00C144F3">
      <w:pPr>
        <w:jc w:val="both"/>
        <w:textAlignment w:val="baseline"/>
        <w:rPr>
          <w:rFonts w:eastAsia="Calibri" w:cs="Arial"/>
          <w:b/>
          <w:szCs w:val="16"/>
        </w:rPr>
      </w:pPr>
      <w:bookmarkStart w:id="102" w:name="_Hlk175325033"/>
      <w:r w:rsidRPr="00CB52C7">
        <w:rPr>
          <w:rFonts w:eastAsia="Times New Roman" w:cs="Arial"/>
          <w:b/>
          <w:bCs/>
          <w:szCs w:val="16"/>
        </w:rPr>
        <w:t>Findings of Noncompliance Identified in FFY 2022</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353A6F30" w14:textId="77777777" w:rsidTr="00C144F3">
        <w:trPr>
          <w:trHeight w:val="360"/>
          <w:tblHeader/>
        </w:trPr>
        <w:tc>
          <w:tcPr>
            <w:tcW w:w="0" w:type="auto"/>
          </w:tcPr>
          <w:bookmarkEnd w:id="102"/>
          <w:p w14:paraId="1C754ADF" w14:textId="3E5FED36"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0" w:type="auto"/>
          </w:tcPr>
          <w:p w14:paraId="7A3E3F5F" w14:textId="3506A82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0" w:type="auto"/>
          </w:tcPr>
          <w:p w14:paraId="6D0D1B9B" w14:textId="2B056E4B"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499A52DA" w14:textId="10706935"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21800FA9" w14:textId="1257D06F" w:rsidR="00F8304E" w:rsidRPr="00CB52C7" w:rsidRDefault="00F8304E" w:rsidP="00E8722F">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0439AF" w:rsidRPr="00C85110" w14:paraId="525F16C8" w14:textId="77777777" w:rsidTr="00C144F3">
        <w:trPr>
          <w:trHeight w:val="360"/>
          <w:tblHeader/>
        </w:trPr>
        <w:tc>
          <w:tcPr>
            <w:tcW w:w="0" w:type="auto"/>
            <w:shd w:val="clear" w:color="auto" w:fill="auto"/>
          </w:tcPr>
          <w:p w14:paraId="2A8EE300" w14:textId="3B8F438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shd w:val="clear" w:color="auto" w:fill="auto"/>
          </w:tcPr>
          <w:p w14:paraId="46A7327E" w14:textId="26E194B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0" w:type="auto"/>
            <w:shd w:val="clear" w:color="auto" w:fill="auto"/>
          </w:tcPr>
          <w:p w14:paraId="1748EE28" w14:textId="20855C75"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shd w:val="clear" w:color="auto" w:fill="auto"/>
          </w:tcPr>
          <w:p w14:paraId="63E53AF6" w14:textId="3713F37F"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0" w:type="auto"/>
            <w:shd w:val="clear" w:color="auto" w:fill="auto"/>
          </w:tcPr>
          <w:p w14:paraId="6C13E5AD" w14:textId="13712B00"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0</w:t>
            </w:r>
          </w:p>
        </w:tc>
      </w:tr>
    </w:tbl>
    <w:p w14:paraId="203EEF2B" w14:textId="77777777" w:rsidR="0079169F" w:rsidRDefault="0079169F" w:rsidP="001C2EC2">
      <w:pPr>
        <w:keepNext/>
        <w:rPr>
          <w:rFonts w:eastAsia="Times New Roman" w:cs="Arial"/>
          <w:b/>
          <w:szCs w:val="16"/>
        </w:rPr>
      </w:pPr>
    </w:p>
    <w:p w14:paraId="4FB705C4" w14:textId="765C2097"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4B due to various factors (e.g., additional findings related to other IDEA requirements).</w:t>
      </w:r>
    </w:p>
    <w:p w14:paraId="4ECC4213" w14:textId="20EC4D28" w:rsidR="00A9475A" w:rsidRPr="00C144F3" w:rsidRDefault="000439AF" w:rsidP="00C144F3">
      <w:pPr>
        <w:keepNext/>
        <w:rPr>
          <w:rFonts w:eastAsia="Times New Roman" w:cs="Arial"/>
          <w:bCs/>
          <w:szCs w:val="16"/>
        </w:rPr>
      </w:pPr>
      <w:r>
        <w:rPr>
          <w:rFonts w:eastAsia="Times New Roman" w:cs="Arial"/>
          <w:bCs/>
          <w:szCs w:val="16"/>
        </w:rPr>
        <w:t>There are no differences in the number of findings.</w:t>
      </w:r>
    </w:p>
    <w:p w14:paraId="1FBD5E6E" w14:textId="2C6B01A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677C25" w14:textId="49DB3D35" w:rsidR="00B9250E" w:rsidRDefault="00B9250E" w:rsidP="00C144F3">
      <w:pPr>
        <w:spacing w:line="276" w:lineRule="auto"/>
        <w:rPr>
          <w:color w:val="000000" w:themeColor="text1"/>
        </w:rPr>
      </w:pPr>
      <w:r>
        <w:rPr>
          <w:color w:val="000000" w:themeColor="text1"/>
        </w:rPr>
        <w:t xml:space="preserve">No non-compliance was identified. </w:t>
      </w:r>
    </w:p>
    <w:p w14:paraId="6D9CAD07" w14:textId="202C250A"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7D03B17" w14:textId="56487A8F" w:rsidR="00B9250E" w:rsidRDefault="00B9250E" w:rsidP="00C144F3">
      <w:pPr>
        <w:spacing w:line="276" w:lineRule="auto"/>
        <w:rPr>
          <w:color w:val="000000" w:themeColor="text1"/>
        </w:rPr>
      </w:pPr>
      <w:r>
        <w:rPr>
          <w:color w:val="000000" w:themeColor="text1"/>
        </w:rPr>
        <w:t>No non-compliance was identified.</w:t>
      </w:r>
    </w:p>
    <w:p w14:paraId="438838F5" w14:textId="77777777" w:rsidR="001C2EC2" w:rsidRDefault="001C2EC2" w:rsidP="00B9250E">
      <w:pPr>
        <w:spacing w:after="0"/>
        <w:textAlignment w:val="baseline"/>
        <w:rPr>
          <w:rFonts w:eastAsia="Times New Roman" w:cs="Arial"/>
          <w:b/>
          <w:bCs/>
          <w:szCs w:val="16"/>
        </w:rPr>
      </w:pPr>
    </w:p>
    <w:p w14:paraId="2CB5E981" w14:textId="4CA5638E"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59CBCF6E" w14:textId="1F4716A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10BA039B" w14:textId="77777777" w:rsidTr="00C144F3">
        <w:trPr>
          <w:trHeight w:val="360"/>
        </w:trPr>
        <w:tc>
          <w:tcPr>
            <w:tcW w:w="2158" w:type="dxa"/>
          </w:tcPr>
          <w:p w14:paraId="3BC8156F" w14:textId="3EF74474"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8999C9F" w14:textId="716A6BE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11A22C06" w14:textId="18C4859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ABF9E26" w14:textId="36875AF9"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FA22A50" w14:textId="51826A9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132E50D2" w14:textId="77777777" w:rsidTr="00C144F3">
        <w:trPr>
          <w:trHeight w:val="360"/>
        </w:trPr>
        <w:tc>
          <w:tcPr>
            <w:tcW w:w="2158" w:type="dxa"/>
            <w:shd w:val="clear" w:color="auto" w:fill="auto"/>
          </w:tcPr>
          <w:p w14:paraId="3B5C046A" w14:textId="34091DB8"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54222781" w14:textId="12F1B43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D526744" w14:textId="267EDAA2"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1D5068A8" w14:textId="262195E4"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0CBBD6A" w14:textId="35686C50"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4A46B6C" w14:textId="77777777" w:rsidR="00C9712C" w:rsidRDefault="00C9712C" w:rsidP="001C2EC2">
      <w:pPr>
        <w:keepNext/>
        <w:rPr>
          <w:rFonts w:eastAsia="Times New Roman" w:cs="Arial"/>
          <w:b/>
          <w:szCs w:val="16"/>
        </w:rPr>
      </w:pPr>
    </w:p>
    <w:p w14:paraId="509A6A9E" w14:textId="1CCAC93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9 due to various factors (e.g., additional findings related to other IDEA requirements).</w:t>
      </w:r>
    </w:p>
    <w:p w14:paraId="4EF91C58" w14:textId="1AB2D305"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w:t>
      </w:r>
    </w:p>
    <w:p w14:paraId="791E7EB5" w14:textId="51C19B4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918362" w14:textId="72B44292" w:rsidR="00B9250E" w:rsidRDefault="00B9250E" w:rsidP="00C144F3">
      <w:pPr>
        <w:spacing w:line="276" w:lineRule="auto"/>
        <w:rPr>
          <w:color w:val="000000" w:themeColor="text1"/>
        </w:rPr>
      </w:pPr>
      <w:r>
        <w:rPr>
          <w:color w:val="000000" w:themeColor="text1"/>
        </w:rPr>
        <w:t xml:space="preserve">No non-compliance was identified. </w:t>
      </w:r>
    </w:p>
    <w:p w14:paraId="54DCAF27" w14:textId="0B6FB729"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2D1ED8B9" w14:textId="09E794C6" w:rsidR="00B9250E" w:rsidRDefault="00B9250E" w:rsidP="00C144F3">
      <w:pPr>
        <w:spacing w:line="276" w:lineRule="auto"/>
        <w:rPr>
          <w:color w:val="000000" w:themeColor="text1"/>
        </w:rPr>
      </w:pPr>
      <w:r>
        <w:rPr>
          <w:color w:val="000000" w:themeColor="text1"/>
        </w:rPr>
        <w:t xml:space="preserve">No non-compliance was identified. </w:t>
      </w:r>
    </w:p>
    <w:p w14:paraId="59F50151" w14:textId="77777777" w:rsidR="001C2EC2" w:rsidRDefault="001C2EC2" w:rsidP="001C2EC2">
      <w:pPr>
        <w:textAlignment w:val="baseline"/>
        <w:rPr>
          <w:rFonts w:eastAsia="Times New Roman" w:cs="Arial"/>
          <w:b/>
          <w:bCs/>
          <w:szCs w:val="16"/>
        </w:rPr>
      </w:pPr>
    </w:p>
    <w:p w14:paraId="7F6AA462" w14:textId="3102F81B"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39313618" w14:textId="4CA1ACD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33666445" w14:textId="77777777" w:rsidTr="00C144F3">
        <w:trPr>
          <w:trHeight w:val="360"/>
          <w:tblHeader/>
        </w:trPr>
        <w:tc>
          <w:tcPr>
            <w:tcW w:w="2158" w:type="dxa"/>
          </w:tcPr>
          <w:p w14:paraId="64EE2D9F" w14:textId="1DD17469"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179A975B" w14:textId="63123B84"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2EEAAB19" w14:textId="4F4704A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171F3FB" w14:textId="619BC0F0"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3D00435" w14:textId="133EE7B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C048FB" w:rsidRPr="00C85110" w14:paraId="73010A64" w14:textId="77777777" w:rsidTr="00C144F3">
        <w:trPr>
          <w:trHeight w:val="360"/>
          <w:tblHeader/>
        </w:trPr>
        <w:tc>
          <w:tcPr>
            <w:tcW w:w="2158" w:type="dxa"/>
            <w:shd w:val="clear" w:color="auto" w:fill="auto"/>
          </w:tcPr>
          <w:p w14:paraId="21BA336A" w14:textId="74B096CE"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F5332DC" w14:textId="5BCFFEEC"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D31B75" w14:textId="7E5AB8F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ED122F4" w14:textId="01838429"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836E779" w14:textId="7FEB55DC"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F844CCD" w14:textId="77777777" w:rsidR="0079169F" w:rsidRPr="00A964C2" w:rsidRDefault="0079169F" w:rsidP="0079169F">
      <w:pPr>
        <w:rPr>
          <w:rFonts w:eastAsia="Calibri" w:cs="Arial"/>
          <w:b/>
          <w:szCs w:val="16"/>
        </w:rPr>
      </w:pPr>
    </w:p>
    <w:p w14:paraId="1B48FA96" w14:textId="04AE1DE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10 due to various factors (e.g., additional findings related to other IDEA requirements).</w:t>
      </w:r>
    </w:p>
    <w:p w14:paraId="59C200B7" w14:textId="7D39857E"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w:t>
      </w:r>
    </w:p>
    <w:p w14:paraId="4EE34C7A" w14:textId="24C86ABC"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36F94313" w14:textId="0FB4F8D5" w:rsidR="00B9250E" w:rsidRDefault="00B9250E" w:rsidP="00C144F3">
      <w:pPr>
        <w:spacing w:line="276" w:lineRule="auto"/>
        <w:rPr>
          <w:color w:val="000000" w:themeColor="text1"/>
        </w:rPr>
      </w:pPr>
      <w:r>
        <w:rPr>
          <w:color w:val="000000" w:themeColor="text1"/>
        </w:rPr>
        <w:t xml:space="preserve">No non-compliance was identified. </w:t>
      </w:r>
    </w:p>
    <w:p w14:paraId="65561919" w14:textId="429D57B0" w:rsidR="00B9250E" w:rsidRPr="00CB52C7" w:rsidRDefault="00B9250E" w:rsidP="00C144F3">
      <w:pPr>
        <w:keepNext/>
        <w:rPr>
          <w:rFonts w:eastAsia="Calibri" w:cs="Arial"/>
          <w:szCs w:val="16"/>
        </w:rPr>
      </w:pPr>
      <w:r>
        <w:rPr>
          <w:rFonts w:eastAsia="Times New Roman" w:cs="Arial"/>
          <w:b/>
          <w:szCs w:val="16"/>
        </w:rPr>
        <w:lastRenderedPageBreak/>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690F7ADB" w14:textId="4222EA88" w:rsidR="00AA0F28" w:rsidRDefault="00AA0F28" w:rsidP="00C144F3">
      <w:pPr>
        <w:spacing w:line="276" w:lineRule="auto"/>
        <w:rPr>
          <w:color w:val="000000" w:themeColor="text1"/>
        </w:rPr>
      </w:pPr>
      <w:r>
        <w:rPr>
          <w:color w:val="000000" w:themeColor="text1"/>
        </w:rPr>
        <w:t xml:space="preserve">No non-compliance was identified. </w:t>
      </w:r>
    </w:p>
    <w:p w14:paraId="65C2382E" w14:textId="77777777" w:rsidR="001C2EC2" w:rsidRDefault="001C2EC2" w:rsidP="001C2EC2">
      <w:pPr>
        <w:textAlignment w:val="baseline"/>
        <w:rPr>
          <w:rFonts w:eastAsia="Times New Roman" w:cs="Arial"/>
          <w:b/>
          <w:bCs/>
          <w:szCs w:val="16"/>
        </w:rPr>
      </w:pPr>
    </w:p>
    <w:p w14:paraId="3671B5F0" w14:textId="36FEBDC0"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11. Percent of children who were evaluated within 60 days of receiving parental consent for initial evaluation or, if the State establishes a timeframe within which the evaluation must be conducted, within that timeframe. (20 U.S.C. 1416(a)(3)(B))</w:t>
      </w:r>
    </w:p>
    <w:p w14:paraId="435D9001" w14:textId="0236CB0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5556BE4C" w14:textId="77777777" w:rsidTr="00C144F3">
        <w:trPr>
          <w:trHeight w:val="360"/>
          <w:tblHeader/>
        </w:trPr>
        <w:tc>
          <w:tcPr>
            <w:tcW w:w="2158" w:type="dxa"/>
          </w:tcPr>
          <w:p w14:paraId="43E73452" w14:textId="4304DA1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EE86030" w14:textId="2495F7E2"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3A7573D" w14:textId="7CCF8A9D"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9CF35FD" w14:textId="61166A6C"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7F1EA2C1" w14:textId="6F4B08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E8739D" w:rsidRPr="00C85110" w14:paraId="1073391E" w14:textId="77777777" w:rsidTr="00C144F3">
        <w:trPr>
          <w:trHeight w:val="360"/>
          <w:tblHeader/>
        </w:trPr>
        <w:tc>
          <w:tcPr>
            <w:tcW w:w="2158" w:type="dxa"/>
            <w:shd w:val="clear" w:color="auto" w:fill="auto"/>
          </w:tcPr>
          <w:p w14:paraId="7BCF50EF" w14:textId="71CFFFBB"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241</w:t>
            </w:r>
          </w:p>
        </w:tc>
        <w:tc>
          <w:tcPr>
            <w:tcW w:w="2158" w:type="dxa"/>
            <w:shd w:val="clear" w:color="auto" w:fill="auto"/>
          </w:tcPr>
          <w:p w14:paraId="5B60CD2B" w14:textId="23BD35B6"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2BABDDA3" w14:textId="47E7F6A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241</w:t>
            </w:r>
          </w:p>
        </w:tc>
        <w:tc>
          <w:tcPr>
            <w:tcW w:w="2158" w:type="dxa"/>
            <w:shd w:val="clear" w:color="auto" w:fill="auto"/>
          </w:tcPr>
          <w:p w14:paraId="7B628915" w14:textId="67A02598"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0E31E6CA" w14:textId="12FADA5F"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06BAE7B8" w14:textId="77777777" w:rsidR="00C9712C" w:rsidRDefault="00C9712C" w:rsidP="001C2EC2">
      <w:pPr>
        <w:keepNext/>
        <w:rPr>
          <w:rFonts w:eastAsia="Calibri" w:cs="Arial"/>
          <w:b/>
          <w:szCs w:val="16"/>
        </w:rPr>
      </w:pPr>
    </w:p>
    <w:p w14:paraId="2F03B46D" w14:textId="04C810E0"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11 due to various factors (e.g., additional findings related to other IDEA requirements).</w:t>
      </w:r>
    </w:p>
    <w:p w14:paraId="3C2D837A" w14:textId="3EEB70E1"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w:t>
      </w:r>
    </w:p>
    <w:p w14:paraId="6259B8B3" w14:textId="7F8BC71A"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138BFFC8" w14:textId="26FD5F3E" w:rsidR="00AA0F28" w:rsidRDefault="00AA0F28" w:rsidP="00C144F3">
      <w:pPr>
        <w:spacing w:line="276" w:lineRule="auto"/>
        <w:rPr>
          <w:color w:val="000000" w:themeColor="text1"/>
        </w:rPr>
      </w:pPr>
      <w:r>
        <w:rPr>
          <w:color w:val="000000" w:themeColor="text1"/>
        </w:rPr>
        <w:t xml:space="preserve">In addition to the child-specific correction, the LDOE required all LEAs identified with noncompliance to examine their policies, practices and procedures, conduct a root cause analysis, and submit a Plan of Action, to the LDOE Child Find manager. The plan included the students whose evaluation exceeded the 60-day timeline, the number of days, the reason the timeline was not met, how it could have been prevented, how the noncompliance was corrected and the personnel responsible. The Child Find manager was in continuous communication with each LEA collecting and tracking all details and documentation. </w:t>
      </w:r>
      <w:r>
        <w:rPr>
          <w:color w:val="000000" w:themeColor="text1"/>
        </w:rPr>
        <w:br/>
      </w:r>
      <w:r>
        <w:rPr>
          <w:color w:val="000000" w:themeColor="text1"/>
        </w:rPr>
        <w:br/>
        <w:t>In any instance whereby an LEA was found to be non-compliant, the LDOE required each LEA to revise its current policies, practices, and procedures that contributed to and resulted in non-compliance. Within the 30-day timeline, LEAs' updated procedures were submitted to the Child Find manager via the FTP to substantiate the required changes. LDOE staff reviewed each LEA's Plan of Action to determine if the LEA had revised its policies, practices, and procedures to ensure compliance and/or correct implementation of timely evaluations. Because students’ special education history is comprehensive in eSER, after the LEA reported the correction, Louisiana used the data reporting system to verify that each evaluation was completed, although late, and reviewed subsequent updated data to verify that all LEAs were correctly implementing the regulatory requirements and achieved 100% compliance using updated, subsequent data from eSER.</w:t>
      </w:r>
      <w:r>
        <w:rPr>
          <w:color w:val="000000" w:themeColor="text1"/>
        </w:rPr>
        <w:br/>
      </w:r>
      <w:r>
        <w:rPr>
          <w:color w:val="000000" w:themeColor="text1"/>
        </w:rPr>
        <w:br/>
        <w:t>The Child Find manager and IDEA program office ran subsequent Indicator 11/Child Find Performance reports and reviewed monitoring results to ensure all LEAs complied with evaluation timelines and regulatory requirements. Child Find collection data was reviewed from the IDEA compliance protocol for each LEA monitored by identifying whether evaluation timelines were met. LEAs were required to correct the noncompliance immediately once the monitoring report was received; however, the data served as a resource to the Child Find manager as it relates to systemic compliance and recommendations for professional development relative to Child Find.</w:t>
      </w:r>
      <w:r>
        <w:rPr>
          <w:color w:val="000000" w:themeColor="text1"/>
        </w:rPr>
        <w:br/>
      </w:r>
      <w:r>
        <w:rPr>
          <w:color w:val="000000" w:themeColor="text1"/>
        </w:rPr>
        <w:br/>
        <w:t xml:space="preserve">LDOE verified that each individual student-specific file and a subsequent file review based on updated data indicated 100% compliance within one year from written notification of non-compliance, consistent with OSEP QA 23-01; all LEAs were provided a close-out letter. </w:t>
      </w:r>
    </w:p>
    <w:p w14:paraId="37D937E9" w14:textId="60F70DA8"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F9083AA" w14:textId="03F5532C" w:rsidR="00AA0F28" w:rsidRDefault="00AA0F28" w:rsidP="00C144F3">
      <w:pPr>
        <w:spacing w:line="276" w:lineRule="auto"/>
        <w:rPr>
          <w:color w:val="000000" w:themeColor="text1"/>
        </w:rPr>
      </w:pPr>
      <w:r>
        <w:rPr>
          <w:color w:val="000000" w:themeColor="text1"/>
        </w:rPr>
        <w:t>The State verified that each individual student case with noncompliance was reflected in the Child Find collection data and correctly implemented the regulatory requirement based on the state review of collection data, and that each child received a completed evaluation, although late, for any child whose initial evaluation was not timely, unless the child is no longer within the jurisdiction or program.</w:t>
      </w:r>
      <w:r>
        <w:rPr>
          <w:color w:val="000000" w:themeColor="text1"/>
        </w:rPr>
        <w:br/>
      </w:r>
      <w:r>
        <w:rPr>
          <w:color w:val="000000" w:themeColor="text1"/>
        </w:rPr>
        <w:br/>
        <w:t xml:space="preserve">The SPP Indicator 11 report was generated to identify LEAs who did not meet 100% compliance. This data was also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examine their policies, practices, and procedures to ensure these were not the root cause of noncompliance and instructions to generate monthly reports to ensure the LEA was maintaining 100% compliance while correcting the instances of noncompliance identified within the notification. </w:t>
      </w:r>
      <w:r>
        <w:rPr>
          <w:color w:val="000000" w:themeColor="text1"/>
        </w:rPr>
        <w:br/>
      </w:r>
      <w:r>
        <w:rPr>
          <w:color w:val="000000" w:themeColor="text1"/>
        </w:rPr>
        <w:br/>
        <w:t>The State through a desk audit of previously corrected non-compliance confirmed using the date of completion that the students received their required evaluation even though it was late, consistent with OSEP QA 23-01, and all individual noncompliance was corrected within one year.</w:t>
      </w:r>
    </w:p>
    <w:p w14:paraId="69B0D6E7" w14:textId="77777777" w:rsidR="001C2EC2" w:rsidRDefault="001C2EC2" w:rsidP="001C2EC2">
      <w:pPr>
        <w:textAlignment w:val="baseline"/>
        <w:rPr>
          <w:rFonts w:eastAsia="Times New Roman" w:cs="Arial"/>
          <w:b/>
          <w:bCs/>
          <w:szCs w:val="16"/>
        </w:rPr>
      </w:pPr>
    </w:p>
    <w:p w14:paraId="398F792B" w14:textId="466D49B1"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0283479" w14:textId="18B00FB0"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0B602099" w14:textId="77777777" w:rsidTr="00C144F3">
        <w:trPr>
          <w:trHeight w:val="360"/>
          <w:tblHeader/>
        </w:trPr>
        <w:tc>
          <w:tcPr>
            <w:tcW w:w="2158" w:type="dxa"/>
          </w:tcPr>
          <w:p w14:paraId="770E1903" w14:textId="4CEC2450"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859CDFE" w14:textId="181E782F"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C79FB00" w14:textId="5D3FC4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3847F914" w14:textId="1048CC6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1581666" w14:textId="2C9028DA"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3A4328FB" w14:textId="77777777" w:rsidTr="00C144F3">
        <w:trPr>
          <w:trHeight w:val="360"/>
          <w:tblHeader/>
        </w:trPr>
        <w:tc>
          <w:tcPr>
            <w:tcW w:w="2158" w:type="dxa"/>
            <w:shd w:val="clear" w:color="auto" w:fill="auto"/>
          </w:tcPr>
          <w:p w14:paraId="01CF4362" w14:textId="6BB3C16D"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12</w:t>
            </w:r>
          </w:p>
        </w:tc>
        <w:tc>
          <w:tcPr>
            <w:tcW w:w="2158" w:type="dxa"/>
            <w:shd w:val="clear" w:color="auto" w:fill="auto"/>
          </w:tcPr>
          <w:p w14:paraId="0758CA1E" w14:textId="197976F2"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744E8743" w14:textId="2D799110"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12</w:t>
            </w:r>
          </w:p>
        </w:tc>
        <w:tc>
          <w:tcPr>
            <w:tcW w:w="2158" w:type="dxa"/>
            <w:shd w:val="clear" w:color="auto" w:fill="auto"/>
          </w:tcPr>
          <w:p w14:paraId="03A8062D" w14:textId="7D67E359"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6001A5D1" w14:textId="142ED08D"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7DDAE406" w14:textId="77777777" w:rsidR="0079169F" w:rsidRPr="00A964C2" w:rsidRDefault="0079169F" w:rsidP="0079169F">
      <w:pPr>
        <w:rPr>
          <w:rFonts w:eastAsia="Calibri" w:cs="Arial"/>
          <w:b/>
          <w:szCs w:val="16"/>
        </w:rPr>
      </w:pPr>
    </w:p>
    <w:p w14:paraId="65AE4FFE" w14:textId="5AB1B5E8"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12 due to various factors (e.g., additional findings related to other IDEA requirements).</w:t>
      </w:r>
    </w:p>
    <w:p w14:paraId="6B3F9DEF" w14:textId="38AFD2F2"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w:t>
      </w:r>
    </w:p>
    <w:p w14:paraId="21D442F2" w14:textId="2BB0C574"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550E09A6" w14:textId="37B11581" w:rsidR="00B9250E" w:rsidRDefault="00B9250E" w:rsidP="00C144F3">
      <w:pPr>
        <w:spacing w:line="276" w:lineRule="auto"/>
        <w:rPr>
          <w:color w:val="000000" w:themeColor="text1"/>
        </w:rPr>
      </w:pPr>
      <w:r>
        <w:rPr>
          <w:color w:val="000000" w:themeColor="text1"/>
        </w:rPr>
        <w:t xml:space="preserve">In addition to the child-specific correction and after receipt of notification disseminated via the LDOE data systems' secure FTP, each LEA was required to submit an official Plan of Action to the 619 Coordinator. The plan included the students whose evaluation and IEP were not complete by the third birthday, the number of days, the reason the timeline was not met, how it could have been prevented, how the noncompliance was corrected and the personnel responsible. The 619 Coordinator was in constant communication gathering further details and documentation from each LEA. </w:t>
      </w:r>
      <w:r>
        <w:rPr>
          <w:color w:val="000000" w:themeColor="text1"/>
        </w:rPr>
        <w:br/>
      </w:r>
      <w:r>
        <w:rPr>
          <w:color w:val="000000" w:themeColor="text1"/>
        </w:rPr>
        <w:br/>
        <w:t xml:space="preserve">In any instance whereby an LEA was found to be non-compliant, the LDOE required each LEA to revise its current policies, practices, and procedures that contributed to and resulted in non-compliance. Within the 30-day timeline, each LEA's updated procedures were submitted to the 619 Coordinator via the FTP to substantiate the required changes. LDOE staff reviewed each LEA's Plan of Action to determine if the LEA had revised its policies, practices, and procedures to ensure compliance and/or correct implementation of eligibility and IEP development. Because students’ special education history is comprehensive in eSER, after each LEA reported the correction, Louisiana uses the data reporting system to verify the completion of evaluations, IEPs and current services that were not completed within the timeline to verify that each individual student with non-compliance was corrected, although late, and reviewed subsequent updated data to verify that all LEAs were correctly implementing regulatory requirements and achieved 100% compliance. </w:t>
      </w:r>
      <w:r>
        <w:rPr>
          <w:color w:val="000000" w:themeColor="text1"/>
        </w:rPr>
        <w:br/>
      </w:r>
      <w:r>
        <w:rPr>
          <w:color w:val="000000" w:themeColor="text1"/>
        </w:rPr>
        <w:br/>
        <w:t xml:space="preserve">The 619 Coordinator in conjunction with the IDEA program office ran subsequent C to B and Indicator 12 Detail reports to ensure all LEAs complied with evaluation timelines, IEP timelines and regulatory requirements. </w:t>
      </w:r>
      <w:r>
        <w:rPr>
          <w:color w:val="000000" w:themeColor="text1"/>
        </w:rPr>
        <w:br/>
      </w:r>
      <w:r>
        <w:rPr>
          <w:color w:val="000000" w:themeColor="text1"/>
        </w:rPr>
        <w:br/>
        <w:t>LDOE verified that each individual student-specific file and a subsequent file review based on updated data indicated 100% compliance within one year from the written notification of noncompliance, consistent with OSEP QA 23-01; all LEAs were provided a close-out letter.</w:t>
      </w:r>
    </w:p>
    <w:p w14:paraId="73C96DC5" w14:textId="0B25E60E"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9B2B2D6" w14:textId="4D62CCB8" w:rsidR="00AA0F28" w:rsidRDefault="00AA0F28" w:rsidP="00C144F3">
      <w:pPr>
        <w:spacing w:line="276" w:lineRule="auto"/>
        <w:rPr>
          <w:color w:val="000000" w:themeColor="text1"/>
        </w:rPr>
      </w:pPr>
      <w:r>
        <w:rPr>
          <w:color w:val="000000" w:themeColor="text1"/>
        </w:rPr>
        <w:t>The State verified that each individual student case with noncompliance was reflected in the C to B data and that the LEA correctly implemented the regulatory requirement based on the state review of collection data as reflected in an updated, subsequent C to B and Indicator 12 Detail Report, and that each child received a completed evaluation, IEP and open services, although late, for any child whose initial evaluation and IEP were not timely, unless the child is no longer within the jurisdiction or program.</w:t>
      </w:r>
      <w:r>
        <w:rPr>
          <w:color w:val="000000" w:themeColor="text1"/>
        </w:rPr>
        <w:br/>
      </w:r>
      <w:r>
        <w:rPr>
          <w:color w:val="000000" w:themeColor="text1"/>
        </w:rPr>
        <w:br/>
        <w:t>The C to B report was generated to identify child-specific instances in LEAs who did not meet 100% compliance and the Indicator 12 Detail report was used to prepopulate a Plan of Action template with individual student ID numbers, providing each LEA with notification of individual noncompliance. The Plan of Action was preceded by an introduction letter that outlined the date the data was pulled, the definition of why the LEA was considered noncompliant, the 30-day deadline that the LEA was to respond to the findings, instructions to examining their policies, practices, and procedures to ensure these were not the root cause of noncompliance and instructions to generate monthly reports to ensure the LEA was maintaining 100% compliance while correcting the instances of noncompliance identified within the notification.</w:t>
      </w:r>
      <w:r>
        <w:rPr>
          <w:color w:val="000000" w:themeColor="text1"/>
        </w:rPr>
        <w:br/>
      </w:r>
      <w:r>
        <w:rPr>
          <w:color w:val="000000" w:themeColor="text1"/>
        </w:rPr>
        <w:br/>
        <w:t>The State required that each LEA submit evidence of all evaluations conducted, eligibility determination, and IEPs completed within their jurisdiction. The State reviewed the C to B collection data related to this indicator to confirm that each student for whom an LEA did not complete their evaluation and IEP within the timeline had a subsequent eligibility determination made and IEP developed.</w:t>
      </w:r>
      <w:r>
        <w:rPr>
          <w:color w:val="000000" w:themeColor="text1"/>
        </w:rPr>
        <w:br/>
      </w:r>
      <w:r>
        <w:rPr>
          <w:color w:val="000000" w:themeColor="text1"/>
        </w:rPr>
        <w:br/>
        <w:t xml:space="preserve">The State through a desk audit of previously corrected noncompliance confirmed using the date of completion that the students received their required evaluation and IEP, even though it was late, consistent with OSEP QA 23-01, and all individual noncompliance was corrected within one year. </w:t>
      </w:r>
    </w:p>
    <w:p w14:paraId="5AE10B06" w14:textId="77777777" w:rsidR="001C2EC2" w:rsidRDefault="001C2EC2" w:rsidP="001C2EC2">
      <w:pPr>
        <w:textAlignment w:val="baseline"/>
        <w:rPr>
          <w:rFonts w:eastAsia="Times New Roman" w:cs="Arial"/>
          <w:b/>
          <w:bCs/>
          <w:szCs w:val="16"/>
        </w:rPr>
      </w:pPr>
    </w:p>
    <w:p w14:paraId="1B1A435C" w14:textId="7AA9B065"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5996F1A5" w14:textId="1211631B"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3449808D" w14:textId="77777777" w:rsidTr="00C144F3">
        <w:trPr>
          <w:trHeight w:val="360"/>
          <w:tblHeader/>
        </w:trPr>
        <w:tc>
          <w:tcPr>
            <w:tcW w:w="2158" w:type="dxa"/>
          </w:tcPr>
          <w:p w14:paraId="217DF10E" w14:textId="6667802E" w:rsidR="00F8304E" w:rsidRPr="00CB52C7" w:rsidRDefault="00F8304E" w:rsidP="00C10980">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3AE6D4F7" w14:textId="6C945490"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35649707" w14:textId="386CD59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B675CF" w14:textId="1FB798D2"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BD48D9C" w14:textId="317BFD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42745759" w14:textId="77777777" w:rsidTr="00C144F3">
        <w:trPr>
          <w:trHeight w:val="360"/>
          <w:tblHeader/>
        </w:trPr>
        <w:tc>
          <w:tcPr>
            <w:tcW w:w="2158" w:type="dxa"/>
            <w:shd w:val="clear" w:color="auto" w:fill="auto"/>
          </w:tcPr>
          <w:p w14:paraId="02D563C3" w14:textId="44A258B4"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133</w:t>
            </w:r>
          </w:p>
        </w:tc>
        <w:tc>
          <w:tcPr>
            <w:tcW w:w="2158" w:type="dxa"/>
            <w:shd w:val="clear" w:color="auto" w:fill="auto"/>
          </w:tcPr>
          <w:p w14:paraId="4F60EEB4" w14:textId="070EFBFB"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54B25871" w14:textId="4106E9DF"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133</w:t>
            </w:r>
          </w:p>
        </w:tc>
        <w:tc>
          <w:tcPr>
            <w:tcW w:w="2158" w:type="dxa"/>
            <w:shd w:val="clear" w:color="auto" w:fill="auto"/>
          </w:tcPr>
          <w:p w14:paraId="58F7CADB" w14:textId="62859732" w:rsidR="00AA0F28" w:rsidRPr="00CB52C7" w:rsidRDefault="00AA0F28" w:rsidP="00C10980">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2E0B4D" w14:textId="6B51D5D8"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0</w:t>
            </w:r>
          </w:p>
        </w:tc>
      </w:tr>
    </w:tbl>
    <w:p w14:paraId="266263D8" w14:textId="77777777" w:rsidR="00C9712C" w:rsidRDefault="00C9712C" w:rsidP="001C2EC2">
      <w:pPr>
        <w:keepNext/>
        <w:rPr>
          <w:rFonts w:eastAsia="Calibri" w:cs="Arial"/>
          <w:b/>
          <w:szCs w:val="16"/>
        </w:rPr>
      </w:pPr>
    </w:p>
    <w:p w14:paraId="2A3B269E" w14:textId="47C87DBA"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13 due to various factors (e.g., additional findings related to other IDEA requirements).</w:t>
      </w:r>
    </w:p>
    <w:p w14:paraId="3A4539D0" w14:textId="4C351EE1"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w:t>
      </w:r>
    </w:p>
    <w:p w14:paraId="514468EA" w14:textId="5DCD5B41"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D490EBA" w14:textId="66A36387" w:rsidR="00AA0F28" w:rsidRDefault="00AA0F28" w:rsidP="00C144F3">
      <w:pPr>
        <w:spacing w:line="276" w:lineRule="auto"/>
        <w:rPr>
          <w:color w:val="000000" w:themeColor="text1"/>
        </w:rPr>
      </w:pPr>
      <w:r>
        <w:rPr>
          <w:color w:val="000000" w:themeColor="text1"/>
        </w:rPr>
        <w:t>Louisiana verified that all LEAs identified as having non-compliance were effectively implementing all transition regulatory requirements. In a subsequent review of updated data through a desk audit from LDOE's enhanced special education reporting system (eSER) database, Louisiana reviewed each LEA for compliance at periodic intervals throughout the year following the identification of non-compliance. Louisiana has confirmed that all LEAs with reported non-compliance for this indicator have achieved 100% compliance based on an additional desk audit using that updated transition data within one year as documented on a timeline tracker. Specifically, all non-compliance with Indicator 13 for FFY 2022 was resolved within one year of notification and all LEAs achieved 100% compliance using updated data through subsequent monitoring.</w:t>
      </w:r>
    </w:p>
    <w:p w14:paraId="7611849B" w14:textId="37A46DF6"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4C61704" w14:textId="3E763664" w:rsidR="00AA0F28" w:rsidRDefault="00AA0F28" w:rsidP="00C144F3">
      <w:pPr>
        <w:spacing w:line="276" w:lineRule="auto"/>
        <w:rPr>
          <w:color w:val="000000" w:themeColor="text1"/>
        </w:rPr>
      </w:pPr>
      <w:r>
        <w:rPr>
          <w:color w:val="000000" w:themeColor="text1"/>
        </w:rPr>
        <w:t>For each case of individual non-compliance identified, records flagged for non-compliance were reviewed through monitoring after the LEA was required to make updates ensuring each of the 133 students received all appropriate transition services and components within one year of findings. The transition indicator manager required each LEA to submit a corrected, updated transition plan through subsequent monitoring and accessing each IEP in the electronic special education reporting system (eSER) for each of the 133 students. Louisiana verified that all LEAs corrected all individual student files of non-compliance in accordance with QA 23-01, unless the child was no longer within the jurisdiction of the LEA.</w:t>
      </w:r>
    </w:p>
    <w:p w14:paraId="17D7BDE6" w14:textId="77777777" w:rsidR="0079169F" w:rsidRDefault="0079169F" w:rsidP="001C2EC2">
      <w:pPr>
        <w:rPr>
          <w:rFonts w:eastAsia="Calibri" w:cs="Arial"/>
          <w:b/>
          <w:i/>
          <w:iCs/>
          <w:szCs w:val="16"/>
        </w:rPr>
      </w:pPr>
    </w:p>
    <w:p w14:paraId="3F22FC8F" w14:textId="3CA11C03" w:rsidR="00B9250E" w:rsidRDefault="00B9250E" w:rsidP="001C2EC2">
      <w:pPr>
        <w:rPr>
          <w:rFonts w:eastAsia="Calibri" w:cs="Arial"/>
          <w:b/>
          <w:i/>
          <w:iCs/>
          <w:szCs w:val="16"/>
        </w:rPr>
      </w:pPr>
      <w:r>
        <w:rPr>
          <w:rFonts w:eastAsia="Calibri" w:cs="Arial"/>
          <w:b/>
          <w:i/>
          <w:iCs/>
          <w:szCs w:val="16"/>
        </w:rPr>
        <w:t>Optional for FFY 2023, 2024, and 2025:</w:t>
      </w:r>
    </w:p>
    <w:p w14:paraId="78423754" w14:textId="00B32F91"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7F6056EE" w14:textId="77777777" w:rsidTr="00C144F3">
        <w:trPr>
          <w:trHeight w:val="360"/>
          <w:tblHeader/>
        </w:trPr>
        <w:tc>
          <w:tcPr>
            <w:tcW w:w="3207" w:type="dxa"/>
          </w:tcPr>
          <w:p w14:paraId="13E0792B" w14:textId="266FAC76"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3207" w:type="dxa"/>
          </w:tcPr>
          <w:p w14:paraId="64536009" w14:textId="426B9903"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0257DA5A" w14:textId="7A9A21CC" w:rsidR="00F8304E" w:rsidRPr="007D0769" w:rsidRDefault="00F8304E" w:rsidP="00F8304E">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2B7D5DBF" w14:textId="77777777" w:rsidTr="00C144F3">
        <w:trPr>
          <w:trHeight w:val="360"/>
          <w:tblHeader/>
        </w:trPr>
        <w:tc>
          <w:tcPr>
            <w:tcW w:w="3207" w:type="dxa"/>
            <w:shd w:val="clear" w:color="auto" w:fill="auto"/>
          </w:tcPr>
          <w:p w14:paraId="2DF3D70F" w14:textId="3DA3F937" w:rsidR="003B7840" w:rsidRPr="007D0769" w:rsidRDefault="003B7840" w:rsidP="003B7840">
            <w:pPr>
              <w:jc w:val="center"/>
              <w:textAlignment w:val="baseline"/>
              <w:rPr>
                <w:rFonts w:eastAsia="Times New Roman" w:cs="Arial"/>
                <w:b/>
                <w:bCs/>
                <w:szCs w:val="16"/>
              </w:rPr>
            </w:pPr>
            <w:r w:rsidRPr="00ED172B">
              <w:rPr>
                <w:rFonts w:cs="Arial"/>
                <w:color w:val="000000" w:themeColor="text1"/>
                <w:szCs w:val="16"/>
              </w:rPr>
              <w:t>0</w:t>
            </w:r>
          </w:p>
        </w:tc>
        <w:tc>
          <w:tcPr>
            <w:tcW w:w="3207" w:type="dxa"/>
            <w:shd w:val="clear" w:color="auto" w:fill="auto"/>
          </w:tcPr>
          <w:p w14:paraId="7E8E28E5" w14:textId="6D781470" w:rsidR="003B7840" w:rsidRPr="007D0769" w:rsidRDefault="003B7840" w:rsidP="003B7840">
            <w:pPr>
              <w:jc w:val="center"/>
              <w:textAlignment w:val="baseline"/>
              <w:rPr>
                <w:rFonts w:eastAsia="Times New Roman" w:cs="Arial"/>
                <w:b/>
                <w:bCs/>
                <w:szCs w:val="16"/>
              </w:rPr>
            </w:pPr>
            <w:r w:rsidRPr="00ED172B">
              <w:rPr>
                <w:rFonts w:cs="Arial"/>
                <w:color w:val="000000" w:themeColor="text1"/>
                <w:szCs w:val="16"/>
              </w:rPr>
              <w:t>0</w:t>
            </w:r>
          </w:p>
        </w:tc>
        <w:tc>
          <w:tcPr>
            <w:tcW w:w="3207" w:type="dxa"/>
            <w:shd w:val="clear" w:color="auto" w:fill="auto"/>
          </w:tcPr>
          <w:p w14:paraId="2EC3E037" w14:textId="34EDB0D3" w:rsidR="003B7840" w:rsidRPr="00A964C2" w:rsidRDefault="003B7840" w:rsidP="003B7840">
            <w:pPr>
              <w:jc w:val="center"/>
              <w:textAlignment w:val="baseline"/>
              <w:rPr>
                <w:rFonts w:eastAsia="Times New Roman" w:cs="Arial"/>
                <w:b/>
                <w:bCs/>
                <w:szCs w:val="16"/>
              </w:rPr>
            </w:pPr>
            <w:r w:rsidRPr="00755D89">
              <w:rPr>
                <w:rFonts w:eastAsia="Times New Roman" w:cs="Arial"/>
                <w:szCs w:val="16"/>
              </w:rPr>
              <w:t>0</w:t>
            </w:r>
          </w:p>
        </w:tc>
      </w:tr>
    </w:tbl>
    <w:p w14:paraId="6278BE4B" w14:textId="77777777" w:rsidR="00C9712C" w:rsidRDefault="00C9712C" w:rsidP="001C2EC2">
      <w:pPr>
        <w:rPr>
          <w:rFonts w:eastAsia="Calibri" w:cs="Arial"/>
          <w:b/>
          <w:szCs w:val="16"/>
        </w:rPr>
      </w:pPr>
    </w:p>
    <w:p w14:paraId="34C3B8CF" w14:textId="5D0FC134" w:rsidR="00B9250E" w:rsidRPr="00604167" w:rsidRDefault="00B9250E" w:rsidP="001C2EC2">
      <w:pPr>
        <w:rPr>
          <w:rFonts w:eastAsia="Calibri" w:cs="Arial"/>
          <w:b/>
          <w:szCs w:val="16"/>
        </w:rPr>
      </w:pPr>
      <w:r w:rsidRPr="00604167">
        <w:rPr>
          <w:rFonts w:eastAsia="Calibri" w:cs="Arial"/>
          <w:b/>
          <w:szCs w:val="16"/>
        </w:rPr>
        <w:t>Explain the source (e.g., State monitoring, State database/data system, dispute resolution, fiscal, related requirements, etc.) of any findings reported in this section:</w:t>
      </w:r>
    </w:p>
    <w:p w14:paraId="41EA4976" w14:textId="7B420414" w:rsidR="003B7840" w:rsidRPr="004267DD" w:rsidRDefault="003B7840" w:rsidP="001C2EC2">
      <w:pPr>
        <w:rPr>
          <w:rFonts w:eastAsia="Calibri" w:cs="Arial"/>
          <w:bCs/>
          <w:szCs w:val="16"/>
        </w:rPr>
      </w:pPr>
    </w:p>
    <w:p w14:paraId="4B552668" w14:textId="2F02CE9E"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2A57399B" w14:textId="040AD064" w:rsidR="003B7840" w:rsidRPr="004267DD" w:rsidRDefault="003B7840" w:rsidP="001C2EC2">
      <w:pPr>
        <w:rPr>
          <w:rFonts w:eastAsia="Calibri" w:cs="Arial"/>
          <w:bCs/>
          <w:szCs w:val="16"/>
        </w:rPr>
      </w:pPr>
    </w:p>
    <w:p w14:paraId="2B8373F5" w14:textId="2A814FCF"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11C4E26A" w14:textId="662C23C7" w:rsidR="003B7840" w:rsidRDefault="003B7840" w:rsidP="001C2EC2">
      <w:pPr>
        <w:rPr>
          <w:rFonts w:eastAsia="Calibri" w:cs="Arial"/>
          <w:bCs/>
          <w:szCs w:val="16"/>
        </w:rPr>
      </w:pPr>
    </w:p>
    <w:p w14:paraId="2D40249B" w14:textId="77777777" w:rsidR="00F42D1A" w:rsidRPr="004267DD" w:rsidRDefault="00F42D1A" w:rsidP="001C2EC2">
      <w:pPr>
        <w:rPr>
          <w:rFonts w:eastAsia="Calibri" w:cs="Arial"/>
          <w:bCs/>
          <w:szCs w:val="16"/>
        </w:rPr>
      </w:pPr>
    </w:p>
    <w:p w14:paraId="625C12B9" w14:textId="453B83FF"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35D238A7" w14:textId="77777777" w:rsidTr="00C144F3">
        <w:trPr>
          <w:trHeight w:val="360"/>
          <w:tblHeader/>
        </w:trPr>
        <w:tc>
          <w:tcPr>
            <w:tcW w:w="2156" w:type="dxa"/>
          </w:tcPr>
          <w:p w14:paraId="20B66116" w14:textId="33E7BB96"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7" w:type="dxa"/>
          </w:tcPr>
          <w:p w14:paraId="03DCA1AB" w14:textId="4EB08A30"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7" w:type="dxa"/>
            <w:shd w:val="clear" w:color="auto" w:fill="auto"/>
          </w:tcPr>
          <w:p w14:paraId="31472D07" w14:textId="12B920A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4EFD090F" w14:textId="65B4F64C"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shd w:val="clear" w:color="auto" w:fill="auto"/>
          </w:tcPr>
          <w:p w14:paraId="38647103" w14:textId="7304C668"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Column D:</w:t>
            </w:r>
            <w:r w:rsidRPr="000370DE">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0A598889" w14:textId="77777777" w:rsidTr="00C144F3">
        <w:trPr>
          <w:trHeight w:val="360"/>
          <w:tblHeader/>
        </w:trPr>
        <w:tc>
          <w:tcPr>
            <w:tcW w:w="2156" w:type="dxa"/>
            <w:shd w:val="clear" w:color="auto" w:fill="auto"/>
          </w:tcPr>
          <w:p w14:paraId="25C1EF32" w14:textId="0215216F"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386</w:t>
            </w:r>
          </w:p>
        </w:tc>
        <w:tc>
          <w:tcPr>
            <w:tcW w:w="2157" w:type="dxa"/>
            <w:shd w:val="clear" w:color="auto" w:fill="auto"/>
          </w:tcPr>
          <w:p w14:paraId="1C02131B" w14:textId="4F39C630" w:rsidR="003B7840" w:rsidRPr="00CB52C7" w:rsidRDefault="003B7840" w:rsidP="00C144F3">
            <w:pPr>
              <w:jc w:val="center"/>
              <w:textAlignment w:val="baseline"/>
              <w:rPr>
                <w:rFonts w:eastAsia="Times New Roman" w:cs="Arial"/>
                <w:szCs w:val="16"/>
              </w:rPr>
            </w:pPr>
            <w:r>
              <w:rPr>
                <w:rFonts w:eastAsia="Times New Roman" w:cs="Arial"/>
                <w:szCs w:val="16"/>
              </w:rPr>
              <w:t>0</w:t>
            </w:r>
          </w:p>
        </w:tc>
        <w:tc>
          <w:tcPr>
            <w:tcW w:w="2157" w:type="dxa"/>
            <w:shd w:val="clear" w:color="auto" w:fill="auto"/>
          </w:tcPr>
          <w:p w14:paraId="16A3AEAE" w14:textId="62D5841A"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386</w:t>
            </w:r>
          </w:p>
        </w:tc>
        <w:tc>
          <w:tcPr>
            <w:tcW w:w="2157" w:type="dxa"/>
            <w:shd w:val="clear" w:color="auto" w:fill="auto"/>
          </w:tcPr>
          <w:p w14:paraId="207101B6" w14:textId="70AC7888" w:rsidR="003B7840" w:rsidRPr="00CB52C7" w:rsidRDefault="003B7840" w:rsidP="00C144F3">
            <w:pPr>
              <w:jc w:val="center"/>
              <w:textAlignment w:val="baseline"/>
              <w:rPr>
                <w:rFonts w:eastAsia="Times New Roman" w:cs="Arial"/>
                <w:szCs w:val="16"/>
              </w:rPr>
            </w:pPr>
            <w:r>
              <w:rPr>
                <w:rFonts w:eastAsia="Times New Roman" w:cs="Arial"/>
                <w:szCs w:val="16"/>
              </w:rPr>
              <w:t>0</w:t>
            </w:r>
          </w:p>
        </w:tc>
        <w:tc>
          <w:tcPr>
            <w:tcW w:w="2157" w:type="dxa"/>
            <w:shd w:val="clear" w:color="auto" w:fill="auto"/>
          </w:tcPr>
          <w:p w14:paraId="2A5B54F2" w14:textId="015640F0" w:rsidR="003B7840" w:rsidRPr="00746603" w:rsidRDefault="003B7840" w:rsidP="00C144F3">
            <w:pPr>
              <w:jc w:val="center"/>
              <w:textAlignment w:val="baseline"/>
              <w:rPr>
                <w:rFonts w:eastAsia="Times New Roman" w:cs="Arial"/>
                <w:szCs w:val="16"/>
              </w:rPr>
            </w:pPr>
            <w:r w:rsidRPr="00755D89">
              <w:rPr>
                <w:rFonts w:eastAsia="Times New Roman" w:cs="Arial"/>
                <w:szCs w:val="16"/>
              </w:rPr>
              <w:t>0</w:t>
            </w:r>
          </w:p>
        </w:tc>
      </w:tr>
    </w:tbl>
    <w:p w14:paraId="22034444" w14:textId="77777777" w:rsidR="00F42D1A" w:rsidRDefault="00F42D1A" w:rsidP="00F15F58">
      <w:pPr>
        <w:rPr>
          <w:rFonts w:eastAsia="Calibri" w:cs="Arial"/>
          <w:b/>
          <w:bCs/>
          <w:szCs w:val="16"/>
        </w:rPr>
      </w:pPr>
    </w:p>
    <w:p w14:paraId="3C55C81C" w14:textId="287B6CA2" w:rsidR="00F15F58" w:rsidRPr="000123D2" w:rsidRDefault="00C048FB" w:rsidP="00F15F58">
      <w:pPr>
        <w:rPr>
          <w:rFonts w:eastAsia="Calibri" w:cs="Arial"/>
          <w:b/>
          <w:bCs/>
          <w:szCs w:val="16"/>
        </w:rPr>
      </w:pPr>
      <w:r w:rsidRPr="000123D2">
        <w:rPr>
          <w:rFonts w:eastAsia="Calibri"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73DCF5EB" w14:textId="77777777" w:rsidTr="00C144F3">
        <w:trPr>
          <w:trHeight w:val="360"/>
          <w:tblHeader/>
        </w:trPr>
        <w:tc>
          <w:tcPr>
            <w:tcW w:w="714" w:type="pct"/>
          </w:tcPr>
          <w:p w14:paraId="41EAA6AD" w14:textId="082F3035" w:rsidR="00F15F58" w:rsidRPr="00CB52C7" w:rsidRDefault="00F15F58">
            <w:pPr>
              <w:jc w:val="center"/>
              <w:rPr>
                <w:rFonts w:eastAsia="Calibri" w:cs="Arial"/>
                <w:b/>
                <w:szCs w:val="16"/>
              </w:rPr>
            </w:pPr>
            <w:r w:rsidRPr="00CB52C7">
              <w:rPr>
                <w:rFonts w:eastAsia="Calibri" w:cs="Arial"/>
                <w:b/>
                <w:szCs w:val="16"/>
              </w:rPr>
              <w:lastRenderedPageBreak/>
              <w:t>Number of findings of Noncompliance that were timely corrected</w:t>
            </w:r>
          </w:p>
        </w:tc>
        <w:tc>
          <w:tcPr>
            <w:tcW w:w="714" w:type="pct"/>
          </w:tcPr>
          <w:p w14:paraId="6208FFC8" w14:textId="42DC6E09"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2022</w:t>
            </w:r>
          </w:p>
        </w:tc>
        <w:tc>
          <w:tcPr>
            <w:tcW w:w="715" w:type="pct"/>
            <w:shd w:val="clear" w:color="auto" w:fill="auto"/>
          </w:tcPr>
          <w:p w14:paraId="0D68BA78" w14:textId="69C67D95" w:rsidR="00F15F58" w:rsidRPr="00CB52C7" w:rsidRDefault="00F15F58" w:rsidP="009C75E8">
            <w:pPr>
              <w:jc w:val="center"/>
              <w:rPr>
                <w:rFonts w:eastAsia="Calibri" w:cs="Arial"/>
                <w:b/>
                <w:szCs w:val="16"/>
              </w:rPr>
            </w:pPr>
            <w:r w:rsidRPr="00CB52C7">
              <w:rPr>
                <w:rFonts w:eastAsia="Calibri" w:cs="Arial"/>
                <w:b/>
                <w:szCs w:val="16"/>
              </w:rPr>
              <w:t xml:space="preserve">FFY 2022 Data </w:t>
            </w:r>
          </w:p>
        </w:tc>
        <w:tc>
          <w:tcPr>
            <w:tcW w:w="714" w:type="pct"/>
            <w:shd w:val="clear" w:color="auto" w:fill="auto"/>
          </w:tcPr>
          <w:p w14:paraId="05C64A70" w14:textId="77777777" w:rsidR="00F15F58" w:rsidRPr="00CB52C7" w:rsidRDefault="00F15F58">
            <w:pPr>
              <w:jc w:val="center"/>
              <w:rPr>
                <w:rFonts w:eastAsia="Calibri" w:cs="Arial"/>
                <w:b/>
                <w:szCs w:val="16"/>
              </w:rPr>
            </w:pPr>
            <w:r w:rsidRPr="00CB52C7">
              <w:rPr>
                <w:rFonts w:eastAsia="Calibri" w:cs="Arial"/>
                <w:b/>
                <w:szCs w:val="16"/>
              </w:rPr>
              <w:t>FFY 2023 Target</w:t>
            </w:r>
          </w:p>
        </w:tc>
        <w:tc>
          <w:tcPr>
            <w:tcW w:w="715" w:type="pct"/>
            <w:shd w:val="clear" w:color="auto" w:fill="auto"/>
          </w:tcPr>
          <w:p w14:paraId="7B57A256" w14:textId="21A3EA5F" w:rsidR="00F15F58" w:rsidRPr="00CB52C7" w:rsidRDefault="00F15F58" w:rsidP="009C75E8">
            <w:pPr>
              <w:jc w:val="center"/>
              <w:rPr>
                <w:rFonts w:eastAsia="Calibri" w:cs="Arial"/>
                <w:b/>
                <w:szCs w:val="16"/>
              </w:rPr>
            </w:pPr>
            <w:r w:rsidRPr="00CB52C7">
              <w:rPr>
                <w:rFonts w:eastAsia="Calibri" w:cs="Arial"/>
                <w:b/>
                <w:szCs w:val="16"/>
              </w:rPr>
              <w:t>FFY 2023 Data</w:t>
            </w:r>
          </w:p>
        </w:tc>
        <w:tc>
          <w:tcPr>
            <w:tcW w:w="714" w:type="pct"/>
            <w:shd w:val="clear" w:color="auto" w:fill="auto"/>
          </w:tcPr>
          <w:p w14:paraId="6BFBBA4C"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shd w:val="clear" w:color="auto" w:fill="auto"/>
          </w:tcPr>
          <w:p w14:paraId="3326D598"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2B998F85" w14:textId="77777777" w:rsidTr="00C144F3">
        <w:trPr>
          <w:trHeight w:val="360"/>
          <w:tblHeader/>
        </w:trPr>
        <w:tc>
          <w:tcPr>
            <w:tcW w:w="714" w:type="pct"/>
            <w:shd w:val="clear" w:color="auto" w:fill="auto"/>
          </w:tcPr>
          <w:p w14:paraId="7ED32011" w14:textId="3670269C" w:rsidR="003B7840" w:rsidRPr="00CB52C7" w:rsidRDefault="003B7840" w:rsidP="009C75E8">
            <w:pPr>
              <w:jc w:val="center"/>
              <w:rPr>
                <w:rFonts w:eastAsia="Calibri" w:cs="Arial"/>
                <w:caps/>
                <w:szCs w:val="16"/>
              </w:rPr>
            </w:pPr>
            <w:r>
              <w:rPr>
                <w:rFonts w:cs="Arial"/>
                <w:color w:val="000000" w:themeColor="text1"/>
                <w:szCs w:val="16"/>
              </w:rPr>
              <w:t>386</w:t>
            </w:r>
          </w:p>
        </w:tc>
        <w:tc>
          <w:tcPr>
            <w:tcW w:w="714" w:type="pct"/>
            <w:shd w:val="clear" w:color="auto" w:fill="auto"/>
          </w:tcPr>
          <w:p w14:paraId="04823B5E" w14:textId="5A51E552" w:rsidR="003B7840" w:rsidRPr="00CB52C7" w:rsidRDefault="003B7840" w:rsidP="003B7840">
            <w:pPr>
              <w:jc w:val="center"/>
              <w:rPr>
                <w:rFonts w:eastAsia="Calibri" w:cs="Arial"/>
                <w:caps/>
                <w:szCs w:val="16"/>
              </w:rPr>
            </w:pPr>
            <w:r>
              <w:rPr>
                <w:rFonts w:cs="Arial"/>
                <w:color w:val="000000" w:themeColor="text1"/>
                <w:szCs w:val="16"/>
              </w:rPr>
              <w:t>386</w:t>
            </w:r>
          </w:p>
        </w:tc>
        <w:tc>
          <w:tcPr>
            <w:tcW w:w="715" w:type="pct"/>
            <w:shd w:val="clear" w:color="auto" w:fill="auto"/>
          </w:tcPr>
          <w:p w14:paraId="132C3D1F" w14:textId="12D815FF" w:rsidR="003B7840" w:rsidRPr="00CB52C7" w:rsidRDefault="003B7840" w:rsidP="003B7840">
            <w:pPr>
              <w:jc w:val="center"/>
              <w:rPr>
                <w:rFonts w:eastAsia="Calibri" w:cs="Arial"/>
                <w:caps/>
                <w:szCs w:val="16"/>
              </w:rPr>
            </w:pPr>
          </w:p>
        </w:tc>
        <w:tc>
          <w:tcPr>
            <w:tcW w:w="714" w:type="pct"/>
            <w:shd w:val="clear" w:color="auto" w:fill="auto"/>
          </w:tcPr>
          <w:p w14:paraId="23319C0A" w14:textId="54C859BF"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shd w:val="clear" w:color="auto" w:fill="auto"/>
          </w:tcPr>
          <w:p w14:paraId="413BF3F0" w14:textId="1115B932" w:rsidR="003B7840" w:rsidRPr="00CB52C7" w:rsidRDefault="003B7840" w:rsidP="009C75E8">
            <w:pPr>
              <w:jc w:val="center"/>
              <w:rPr>
                <w:rFonts w:eastAsia="Calibri" w:cs="Arial"/>
                <w:caps/>
                <w:szCs w:val="16"/>
              </w:rPr>
            </w:pPr>
            <w:r w:rsidRPr="00ED172B">
              <w:rPr>
                <w:rFonts w:cs="Arial"/>
                <w:color w:val="000000" w:themeColor="text1"/>
                <w:szCs w:val="16"/>
              </w:rPr>
              <w:t>100.00%</w:t>
            </w:r>
          </w:p>
        </w:tc>
        <w:tc>
          <w:tcPr>
            <w:tcW w:w="714" w:type="pct"/>
            <w:shd w:val="clear" w:color="auto" w:fill="auto"/>
          </w:tcPr>
          <w:p w14:paraId="340A22E4" w14:textId="048D55A7" w:rsidR="003B7840" w:rsidRPr="00CB52C7" w:rsidRDefault="003B7840" w:rsidP="009C75E8">
            <w:pPr>
              <w:jc w:val="center"/>
              <w:rPr>
                <w:rFonts w:eastAsia="Calibri" w:cs="Arial"/>
                <w:caps/>
                <w:szCs w:val="16"/>
              </w:rPr>
            </w:pPr>
            <w:r w:rsidRPr="00ED172B">
              <w:rPr>
                <w:color w:val="000000" w:themeColor="text1"/>
              </w:rPr>
              <w:t>N/A</w:t>
            </w:r>
          </w:p>
        </w:tc>
        <w:tc>
          <w:tcPr>
            <w:tcW w:w="715" w:type="pct"/>
            <w:shd w:val="clear" w:color="auto" w:fill="auto"/>
          </w:tcPr>
          <w:p w14:paraId="03E96377" w14:textId="0127F818" w:rsidR="003B7840" w:rsidRPr="00CB52C7" w:rsidRDefault="003B7840" w:rsidP="009C75E8">
            <w:pPr>
              <w:jc w:val="center"/>
              <w:rPr>
                <w:rFonts w:eastAsia="Calibri" w:cs="Arial"/>
                <w:caps/>
                <w:szCs w:val="16"/>
              </w:rPr>
            </w:pPr>
            <w:r w:rsidRPr="00ED172B">
              <w:rPr>
                <w:color w:val="000000" w:themeColor="text1"/>
              </w:rPr>
              <w:t>N/A</w:t>
            </w:r>
          </w:p>
        </w:tc>
      </w:tr>
    </w:tbl>
    <w:p w14:paraId="19B6B9EB"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628F40D4" w14:textId="77777777" w:rsidTr="00C144F3">
        <w:trPr>
          <w:trHeight w:val="720"/>
        </w:trPr>
        <w:tc>
          <w:tcPr>
            <w:tcW w:w="3709" w:type="pct"/>
            <w:shd w:val="clear" w:color="auto" w:fill="auto"/>
            <w:vAlign w:val="center"/>
          </w:tcPr>
          <w:p w14:paraId="12073CEC" w14:textId="77777777" w:rsidR="00F15F58" w:rsidRPr="00CB52C7" w:rsidRDefault="00F15F58">
            <w:pPr>
              <w:jc w:val="center"/>
              <w:rPr>
                <w:rFonts w:eastAsia="Calibri" w:cs="Arial"/>
                <w:caps/>
                <w:szCs w:val="16"/>
              </w:rPr>
            </w:pPr>
            <w:r w:rsidRPr="007D0769">
              <w:rPr>
                <w:rFonts w:eastAsia="Times New Roman" w:cs="Arial"/>
                <w:szCs w:val="16"/>
              </w:rPr>
              <w:t>Percent of findings of noncompliance not corrected or not verified as corrected within one year of identification</w:t>
            </w:r>
          </w:p>
        </w:tc>
        <w:tc>
          <w:tcPr>
            <w:tcW w:w="1291" w:type="pct"/>
            <w:shd w:val="clear" w:color="auto" w:fill="auto"/>
            <w:vAlign w:val="center"/>
          </w:tcPr>
          <w:p w14:paraId="3AB8E753" w14:textId="5F972123" w:rsidR="00F15F58" w:rsidRPr="00CB52C7" w:rsidRDefault="003B7840" w:rsidP="008D766F">
            <w:pPr>
              <w:jc w:val="center"/>
              <w:rPr>
                <w:rFonts w:eastAsia="Calibri" w:cs="Arial"/>
                <w:caps/>
                <w:szCs w:val="16"/>
              </w:rPr>
            </w:pPr>
            <w:r>
              <w:rPr>
                <w:rFonts w:eastAsia="Calibri" w:cs="Arial"/>
                <w:iCs/>
                <w:szCs w:val="16"/>
              </w:rPr>
              <w:t>0.00%</w:t>
            </w:r>
          </w:p>
        </w:tc>
      </w:tr>
    </w:tbl>
    <w:p w14:paraId="01B52DF1" w14:textId="77777777" w:rsidR="00C9712C" w:rsidRDefault="00C9712C" w:rsidP="001C2EC2">
      <w:pPr>
        <w:spacing w:line="276" w:lineRule="auto"/>
        <w:rPr>
          <w:color w:val="000000" w:themeColor="text1"/>
        </w:rPr>
      </w:pPr>
    </w:p>
    <w:p w14:paraId="73087457"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1CD65736" w14:textId="5FD40EDF" w:rsidR="00F15F58" w:rsidRDefault="00F15F58" w:rsidP="00C144F3">
      <w:pPr>
        <w:spacing w:line="276" w:lineRule="auto"/>
        <w:rPr>
          <w:color w:val="000000" w:themeColor="text1"/>
        </w:rPr>
      </w:pPr>
    </w:p>
    <w:p w14:paraId="14E72C3D" w14:textId="77777777" w:rsidR="001C2EC2" w:rsidRDefault="001C2EC2" w:rsidP="001C2EC2">
      <w:pPr>
        <w:textAlignment w:val="baseline"/>
        <w:rPr>
          <w:rFonts w:eastAsia="Times New Roman" w:cs="Arial"/>
          <w:b/>
          <w:bCs/>
          <w:szCs w:val="16"/>
        </w:rPr>
      </w:pPr>
    </w:p>
    <w:p w14:paraId="6153E988" w14:textId="6FAFBE02" w:rsidR="00F15F58" w:rsidRPr="00CB52C7" w:rsidRDefault="00F15F58" w:rsidP="00C144F3">
      <w:pPr>
        <w:textAlignment w:val="baseline"/>
        <w:rPr>
          <w:rFonts w:eastAsia="Times New Roman" w:cs="Arial"/>
          <w:b/>
          <w:bCs/>
          <w:szCs w:val="16"/>
        </w:rPr>
      </w:pPr>
      <w:r w:rsidRPr="00CB52C7">
        <w:rPr>
          <w:rFonts w:eastAsia="Times New Roman" w:cs="Arial"/>
          <w:b/>
          <w:bCs/>
          <w:szCs w:val="16"/>
        </w:rPr>
        <w:t>Summary of Findings of Noncompliance identified in FFY 2022 Corrected in FFY 2023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13896F43" w14:textId="77777777" w:rsidTr="00C144F3">
        <w:trPr>
          <w:trHeight w:val="360"/>
        </w:trPr>
        <w:tc>
          <w:tcPr>
            <w:tcW w:w="9642" w:type="dxa"/>
            <w:shd w:val="clear" w:color="auto" w:fill="auto"/>
            <w:tcMar>
              <w:top w:w="14" w:type="dxa"/>
              <w:left w:w="58" w:type="dxa"/>
              <w:bottom w:w="14" w:type="dxa"/>
              <w:right w:w="58" w:type="dxa"/>
            </w:tcMar>
            <w:hideMark/>
          </w:tcPr>
          <w:p w14:paraId="6B3303FC" w14:textId="40499B5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1. Number of findings of noncompliance the State identified during FFY 2022 (the period from July 1, 2022 through June 30, 2023)</w:t>
            </w:r>
          </w:p>
        </w:tc>
        <w:tc>
          <w:tcPr>
            <w:tcW w:w="1130" w:type="dxa"/>
            <w:shd w:val="clear" w:color="auto" w:fill="auto"/>
            <w:tcMar>
              <w:top w:w="14" w:type="dxa"/>
              <w:left w:w="58" w:type="dxa"/>
              <w:bottom w:w="14" w:type="dxa"/>
              <w:right w:w="58" w:type="dxa"/>
            </w:tcMar>
            <w:vAlign w:val="center"/>
          </w:tcPr>
          <w:p w14:paraId="1F2CC4DF" w14:textId="3840CACA"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386</w:t>
            </w:r>
          </w:p>
        </w:tc>
      </w:tr>
      <w:tr w:rsidR="00F15F58" w:rsidRPr="00CB52C7" w14:paraId="4BCCCDE7" w14:textId="77777777" w:rsidTr="00C144F3">
        <w:trPr>
          <w:trHeight w:val="360"/>
        </w:trPr>
        <w:tc>
          <w:tcPr>
            <w:tcW w:w="9642" w:type="dxa"/>
            <w:shd w:val="clear" w:color="auto" w:fill="auto"/>
            <w:tcMar>
              <w:top w:w="14" w:type="dxa"/>
              <w:left w:w="58" w:type="dxa"/>
              <w:bottom w:w="14" w:type="dxa"/>
              <w:right w:w="58" w:type="dxa"/>
            </w:tcMar>
            <w:hideMark/>
          </w:tcPr>
          <w:p w14:paraId="1A7E256C" w14:textId="6CF58C2E"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shd w:val="clear" w:color="auto" w:fill="auto"/>
            <w:tcMar>
              <w:top w:w="14" w:type="dxa"/>
              <w:left w:w="58" w:type="dxa"/>
              <w:bottom w:w="14" w:type="dxa"/>
              <w:right w:w="58" w:type="dxa"/>
            </w:tcMar>
            <w:vAlign w:val="center"/>
          </w:tcPr>
          <w:p w14:paraId="746E7008" w14:textId="1CBFC611"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386</w:t>
            </w:r>
          </w:p>
        </w:tc>
      </w:tr>
      <w:tr w:rsidR="00F15F58" w:rsidRPr="00CB52C7" w14:paraId="3D52E1C4" w14:textId="77777777" w:rsidTr="00C144F3">
        <w:trPr>
          <w:trHeight w:val="360"/>
        </w:trPr>
        <w:tc>
          <w:tcPr>
            <w:tcW w:w="9642" w:type="dxa"/>
            <w:shd w:val="clear" w:color="auto" w:fill="auto"/>
            <w:tcMar>
              <w:top w:w="14" w:type="dxa"/>
              <w:left w:w="58" w:type="dxa"/>
              <w:bottom w:w="14" w:type="dxa"/>
              <w:right w:w="58" w:type="dxa"/>
            </w:tcMar>
            <w:hideMark/>
          </w:tcPr>
          <w:p w14:paraId="0B03FF72" w14:textId="06F393D1"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shd w:val="clear" w:color="auto" w:fill="auto"/>
            <w:tcMar>
              <w:top w:w="14" w:type="dxa"/>
              <w:left w:w="58" w:type="dxa"/>
              <w:bottom w:w="14" w:type="dxa"/>
              <w:right w:w="58" w:type="dxa"/>
            </w:tcMar>
            <w:vAlign w:val="center"/>
          </w:tcPr>
          <w:p w14:paraId="336B7ACD" w14:textId="1AE3ACAC"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0</w:t>
            </w:r>
          </w:p>
        </w:tc>
      </w:tr>
    </w:tbl>
    <w:p w14:paraId="2FABE722" w14:textId="4FE86EEB" w:rsidR="00F15F58" w:rsidRPr="00CB52C7" w:rsidRDefault="00F15F58" w:rsidP="00C144F3">
      <w:pPr>
        <w:jc w:val="both"/>
        <w:textAlignment w:val="baseline"/>
        <w:rPr>
          <w:rFonts w:eastAsia="Times New Roman" w:cs="Arial"/>
          <w:szCs w:val="16"/>
        </w:rPr>
      </w:pPr>
    </w:p>
    <w:p w14:paraId="70CECF67" w14:textId="677F9E71" w:rsidR="00F15F58" w:rsidRPr="00CB52C7" w:rsidRDefault="00F15F58" w:rsidP="00C144F3">
      <w:pPr>
        <w:textAlignment w:val="baseline"/>
        <w:rPr>
          <w:rFonts w:eastAsia="Times New Roman" w:cs="Arial"/>
          <w:b/>
          <w:bCs/>
          <w:szCs w:val="16"/>
        </w:rPr>
      </w:pPr>
      <w:r w:rsidRPr="00CB52C7">
        <w:rPr>
          <w:rFonts w:eastAsia="Times New Roman" w:cs="Arial"/>
          <w:b/>
          <w:bCs/>
          <w:szCs w:val="16"/>
        </w:rPr>
        <w:t>Subsequent Correction: Summary of All Outstanding Findings of Noncompliance Identified in FFY 2022 Not Timely Corrected in FFY 2023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6394EFFD" w14:textId="77777777" w:rsidTr="00C144F3">
        <w:trPr>
          <w:trHeight w:val="348"/>
        </w:trPr>
        <w:tc>
          <w:tcPr>
            <w:tcW w:w="6726" w:type="dxa"/>
            <w:shd w:val="clear" w:color="auto" w:fill="auto"/>
            <w:tcMar>
              <w:top w:w="14" w:type="dxa"/>
              <w:left w:w="58" w:type="dxa"/>
              <w:bottom w:w="14" w:type="dxa"/>
              <w:right w:w="58" w:type="dxa"/>
            </w:tcMar>
            <w:hideMark/>
          </w:tcPr>
          <w:p w14:paraId="48F78A45" w14:textId="31014462"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shd w:val="clear" w:color="auto" w:fill="auto"/>
            <w:tcMar>
              <w:top w:w="14" w:type="dxa"/>
              <w:left w:w="58" w:type="dxa"/>
              <w:bottom w:w="14" w:type="dxa"/>
              <w:right w:w="58" w:type="dxa"/>
            </w:tcMar>
            <w:vAlign w:val="center"/>
          </w:tcPr>
          <w:p w14:paraId="5B80499D" w14:textId="4D5B3033"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r w:rsidR="00F15F58" w:rsidRPr="00CB52C7" w14:paraId="508B0459" w14:textId="77777777" w:rsidTr="00F42D1A">
        <w:trPr>
          <w:trHeight w:val="348"/>
        </w:trPr>
        <w:tc>
          <w:tcPr>
            <w:tcW w:w="6726" w:type="dxa"/>
            <w:shd w:val="clear" w:color="auto" w:fill="auto"/>
            <w:tcMar>
              <w:top w:w="14" w:type="dxa"/>
              <w:left w:w="58" w:type="dxa"/>
              <w:bottom w:w="14" w:type="dxa"/>
              <w:right w:w="58" w:type="dxa"/>
            </w:tcMar>
            <w:hideMark/>
          </w:tcPr>
          <w:p w14:paraId="63C7A296" w14:textId="624C6812" w:rsidR="00F15F58" w:rsidRPr="00CB52C7" w:rsidRDefault="0092282C">
            <w:pPr>
              <w:spacing w:after="0"/>
              <w:textAlignment w:val="baseline"/>
              <w:rPr>
                <w:rFonts w:eastAsia="Times New Roman" w:cs="Arial"/>
                <w:szCs w:val="16"/>
              </w:rPr>
            </w:pPr>
            <w:r w:rsidRPr="007D0769">
              <w:rPr>
                <w:rFonts w:eastAsia="Times New Roman" w:cs="Arial"/>
                <w:szCs w:val="16"/>
              </w:rPr>
              <w:t>5. Number of findings in Col. A the State has verified as corrected beyond the one-year timeline for Indicator 4B, 9, 10, 11, 12, 13 (“subsequent correction”)</w:t>
            </w:r>
          </w:p>
        </w:tc>
        <w:tc>
          <w:tcPr>
            <w:tcW w:w="4047" w:type="dxa"/>
            <w:shd w:val="clear" w:color="auto" w:fill="auto"/>
            <w:tcMar>
              <w:top w:w="14" w:type="dxa"/>
              <w:left w:w="58" w:type="dxa"/>
              <w:bottom w:w="14" w:type="dxa"/>
              <w:right w:w="58" w:type="dxa"/>
            </w:tcMar>
            <w:vAlign w:val="center"/>
          </w:tcPr>
          <w:p w14:paraId="7CB540FC" w14:textId="1FA76A2F"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r w:rsidR="00F70490" w:rsidRPr="00CB52C7" w14:paraId="4B873665" w14:textId="77777777" w:rsidTr="00C144F3">
        <w:trPr>
          <w:trHeight w:val="348"/>
        </w:trPr>
        <w:tc>
          <w:tcPr>
            <w:tcW w:w="6726" w:type="dxa"/>
            <w:shd w:val="clear" w:color="auto" w:fill="auto"/>
            <w:tcMar>
              <w:top w:w="14" w:type="dxa"/>
              <w:left w:w="58" w:type="dxa"/>
              <w:bottom w:w="14" w:type="dxa"/>
              <w:right w:w="58" w:type="dxa"/>
            </w:tcMar>
          </w:tcPr>
          <w:p w14:paraId="6BC48A38" w14:textId="2460873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shd w:val="clear" w:color="auto" w:fill="auto"/>
            <w:tcMar>
              <w:top w:w="14" w:type="dxa"/>
              <w:left w:w="58" w:type="dxa"/>
              <w:bottom w:w="14" w:type="dxa"/>
              <w:right w:w="58" w:type="dxa"/>
            </w:tcMar>
            <w:vAlign w:val="center"/>
          </w:tcPr>
          <w:p w14:paraId="6DF783C6" w14:textId="2A34654C" w:rsidR="00F70490" w:rsidRDefault="00F70490" w:rsidP="00F70490">
            <w:pPr>
              <w:spacing w:after="0"/>
              <w:jc w:val="center"/>
              <w:textAlignment w:val="baseline"/>
              <w:rPr>
                <w:rFonts w:eastAsia="Times New Roman" w:cs="Arial"/>
                <w:szCs w:val="16"/>
              </w:rPr>
            </w:pPr>
            <w:r w:rsidRPr="00F70490">
              <w:rPr>
                <w:rFonts w:eastAsia="Times New Roman" w:cs="Arial"/>
                <w:szCs w:val="16"/>
              </w:rPr>
              <w:t>0</w:t>
            </w:r>
          </w:p>
        </w:tc>
      </w:tr>
      <w:tr w:rsidR="00F70490" w:rsidRPr="00CB52C7" w14:paraId="26E342B0" w14:textId="77777777" w:rsidTr="00C144F3">
        <w:trPr>
          <w:trHeight w:val="348"/>
        </w:trPr>
        <w:tc>
          <w:tcPr>
            <w:tcW w:w="6726" w:type="dxa"/>
            <w:shd w:val="clear" w:color="auto" w:fill="auto"/>
            <w:tcMar>
              <w:top w:w="14" w:type="dxa"/>
              <w:left w:w="58" w:type="dxa"/>
              <w:bottom w:w="14" w:type="dxa"/>
              <w:right w:w="58" w:type="dxa"/>
            </w:tcMar>
          </w:tcPr>
          <w:p w14:paraId="1D3E9716" w14:textId="263005E6" w:rsidR="00F70490" w:rsidRPr="00CB52C7" w:rsidRDefault="00F70490" w:rsidP="00F70490">
            <w:pPr>
              <w:spacing w:after="0"/>
              <w:textAlignment w:val="baseline"/>
              <w:rPr>
                <w:rFonts w:eastAsia="Times New Roman" w:cs="Arial"/>
                <w:szCs w:val="16"/>
              </w:rPr>
            </w:pPr>
            <w:r w:rsidRPr="003F2A09">
              <w:rPr>
                <w:rFonts w:eastAsia="Times New Roman" w:cs="Arial"/>
                <w:szCs w:val="16"/>
              </w:rPr>
              <w:t>6b. Number of additional written findings of noncompliance (Col. B) the state has verified as corrected beyond the one-year timeline (“subsequent correction”) - Indicator 9</w:t>
            </w:r>
          </w:p>
        </w:tc>
        <w:tc>
          <w:tcPr>
            <w:tcW w:w="4047" w:type="dxa"/>
            <w:shd w:val="clear" w:color="auto" w:fill="auto"/>
            <w:tcMar>
              <w:top w:w="14" w:type="dxa"/>
              <w:left w:w="58" w:type="dxa"/>
              <w:bottom w:w="14" w:type="dxa"/>
              <w:right w:w="58" w:type="dxa"/>
            </w:tcMar>
            <w:vAlign w:val="center"/>
          </w:tcPr>
          <w:p w14:paraId="0536EB08" w14:textId="7875F8B6"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77DCDF49" w14:textId="77777777" w:rsidTr="00C144F3">
        <w:trPr>
          <w:trHeight w:val="348"/>
        </w:trPr>
        <w:tc>
          <w:tcPr>
            <w:tcW w:w="6726" w:type="dxa"/>
            <w:shd w:val="clear" w:color="auto" w:fill="auto"/>
            <w:tcMar>
              <w:top w:w="14" w:type="dxa"/>
              <w:left w:w="58" w:type="dxa"/>
              <w:bottom w:w="14" w:type="dxa"/>
              <w:right w:w="58" w:type="dxa"/>
            </w:tcMar>
          </w:tcPr>
          <w:p w14:paraId="778216ED" w14:textId="1B5F15E2"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shd w:val="clear" w:color="auto" w:fill="auto"/>
            <w:tcMar>
              <w:top w:w="14" w:type="dxa"/>
              <w:left w:w="58" w:type="dxa"/>
              <w:bottom w:w="14" w:type="dxa"/>
              <w:right w:w="58" w:type="dxa"/>
            </w:tcMar>
            <w:vAlign w:val="center"/>
          </w:tcPr>
          <w:p w14:paraId="54B67CC1" w14:textId="71AD8549"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640371C0" w14:textId="77777777" w:rsidTr="00C144F3">
        <w:trPr>
          <w:trHeight w:val="348"/>
        </w:trPr>
        <w:tc>
          <w:tcPr>
            <w:tcW w:w="6726" w:type="dxa"/>
            <w:shd w:val="clear" w:color="auto" w:fill="auto"/>
            <w:tcMar>
              <w:top w:w="14" w:type="dxa"/>
              <w:left w:w="58" w:type="dxa"/>
              <w:bottom w:w="14" w:type="dxa"/>
              <w:right w:w="58" w:type="dxa"/>
            </w:tcMar>
          </w:tcPr>
          <w:p w14:paraId="5E58DD6E" w14:textId="29D743F6"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shd w:val="clear" w:color="auto" w:fill="auto"/>
            <w:tcMar>
              <w:top w:w="14" w:type="dxa"/>
              <w:left w:w="58" w:type="dxa"/>
              <w:bottom w:w="14" w:type="dxa"/>
              <w:right w:w="58" w:type="dxa"/>
            </w:tcMar>
            <w:vAlign w:val="center"/>
          </w:tcPr>
          <w:p w14:paraId="1233B069" w14:textId="44E2A8B4"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4F2322D9" w14:textId="77777777" w:rsidTr="00C144F3">
        <w:trPr>
          <w:trHeight w:val="348"/>
        </w:trPr>
        <w:tc>
          <w:tcPr>
            <w:tcW w:w="6726" w:type="dxa"/>
            <w:shd w:val="clear" w:color="auto" w:fill="auto"/>
            <w:tcMar>
              <w:top w:w="14" w:type="dxa"/>
              <w:left w:w="58" w:type="dxa"/>
              <w:bottom w:w="14" w:type="dxa"/>
              <w:right w:w="58" w:type="dxa"/>
            </w:tcMar>
          </w:tcPr>
          <w:p w14:paraId="732FC922" w14:textId="42570B6F"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shd w:val="clear" w:color="auto" w:fill="auto"/>
            <w:tcMar>
              <w:top w:w="14" w:type="dxa"/>
              <w:left w:w="58" w:type="dxa"/>
              <w:bottom w:w="14" w:type="dxa"/>
              <w:right w:w="58" w:type="dxa"/>
            </w:tcMar>
            <w:vAlign w:val="center"/>
          </w:tcPr>
          <w:p w14:paraId="0B441D42" w14:textId="59B5EDBE"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4FD5235F" w14:textId="77777777" w:rsidTr="00C144F3">
        <w:trPr>
          <w:trHeight w:val="348"/>
        </w:trPr>
        <w:tc>
          <w:tcPr>
            <w:tcW w:w="6726" w:type="dxa"/>
            <w:shd w:val="clear" w:color="auto" w:fill="auto"/>
            <w:tcMar>
              <w:top w:w="14" w:type="dxa"/>
              <w:left w:w="58" w:type="dxa"/>
              <w:bottom w:w="14" w:type="dxa"/>
              <w:right w:w="58" w:type="dxa"/>
            </w:tcMar>
          </w:tcPr>
          <w:p w14:paraId="31DB9988" w14:textId="205E7DB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shd w:val="clear" w:color="auto" w:fill="auto"/>
            <w:tcMar>
              <w:top w:w="14" w:type="dxa"/>
              <w:left w:w="58" w:type="dxa"/>
              <w:bottom w:w="14" w:type="dxa"/>
              <w:right w:w="58" w:type="dxa"/>
            </w:tcMar>
            <w:vAlign w:val="center"/>
          </w:tcPr>
          <w:p w14:paraId="509DC681" w14:textId="06303815"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7987B355" w14:textId="77777777" w:rsidTr="00C144F3">
        <w:trPr>
          <w:trHeight w:val="348"/>
        </w:trPr>
        <w:tc>
          <w:tcPr>
            <w:tcW w:w="6726" w:type="dxa"/>
            <w:shd w:val="clear" w:color="auto" w:fill="auto"/>
            <w:tcMar>
              <w:top w:w="14" w:type="dxa"/>
              <w:left w:w="58" w:type="dxa"/>
              <w:bottom w:w="14" w:type="dxa"/>
              <w:right w:w="58" w:type="dxa"/>
            </w:tcMar>
          </w:tcPr>
          <w:p w14:paraId="4EC83782" w14:textId="64098788"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shd w:val="clear" w:color="auto" w:fill="auto"/>
            <w:tcMar>
              <w:top w:w="14" w:type="dxa"/>
              <w:left w:w="58" w:type="dxa"/>
              <w:bottom w:w="14" w:type="dxa"/>
              <w:right w:w="58" w:type="dxa"/>
            </w:tcMar>
            <w:vAlign w:val="center"/>
          </w:tcPr>
          <w:p w14:paraId="72065F6C" w14:textId="0977B417"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15F58" w:rsidRPr="00CB52C7" w14:paraId="23BB39DE" w14:textId="77777777" w:rsidTr="00C144F3">
        <w:trPr>
          <w:trHeight w:val="348"/>
        </w:trPr>
        <w:tc>
          <w:tcPr>
            <w:tcW w:w="6726" w:type="dxa"/>
            <w:shd w:val="clear" w:color="auto" w:fill="auto"/>
            <w:tcMar>
              <w:top w:w="14" w:type="dxa"/>
              <w:left w:w="58" w:type="dxa"/>
              <w:bottom w:w="14" w:type="dxa"/>
              <w:right w:w="58" w:type="dxa"/>
            </w:tcMar>
            <w:hideMark/>
          </w:tcPr>
          <w:p w14:paraId="0032AD77" w14:textId="4C6254EC"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shd w:val="clear" w:color="auto" w:fill="auto"/>
            <w:tcMar>
              <w:top w:w="14" w:type="dxa"/>
              <w:left w:w="58" w:type="dxa"/>
              <w:bottom w:w="14" w:type="dxa"/>
              <w:right w:w="58" w:type="dxa"/>
            </w:tcMar>
            <w:vAlign w:val="center"/>
          </w:tcPr>
          <w:p w14:paraId="33356D9F" w14:textId="7114B2D0"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bl>
    <w:p w14:paraId="6F454F73" w14:textId="77777777" w:rsidR="00C9712C" w:rsidRDefault="00C9712C" w:rsidP="001C2EC2">
      <w:pPr>
        <w:textAlignment w:val="baseline"/>
        <w:rPr>
          <w:rFonts w:eastAsia="Times New Roman" w:cs="Arial"/>
          <w:szCs w:val="16"/>
        </w:rPr>
      </w:pPr>
    </w:p>
    <w:p w14:paraId="1D4A438C" w14:textId="25C165FE"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15815DB7" w14:textId="0F8B0BA1" w:rsidR="00F15F58" w:rsidRDefault="00F15F58" w:rsidP="00C144F3">
      <w:pPr>
        <w:spacing w:line="276" w:lineRule="auto"/>
        <w:rPr>
          <w:color w:val="000000" w:themeColor="text1"/>
        </w:rPr>
      </w:pPr>
    </w:p>
    <w:p w14:paraId="539A633E" w14:textId="42A53E60" w:rsidR="00F15F58" w:rsidRPr="00781112" w:rsidRDefault="00F15F58" w:rsidP="00F15F58">
      <w:pPr>
        <w:pStyle w:val="Heading2"/>
      </w:pPr>
      <w:r w:rsidRPr="00781112">
        <w:t>1</w:t>
      </w:r>
      <w:r>
        <w:t>8</w:t>
      </w:r>
      <w:r w:rsidRPr="00781112">
        <w:t xml:space="preserve"> - OSEP Response</w:t>
      </w:r>
    </w:p>
    <w:p w14:paraId="64DE2327" w14:textId="3B47CE44" w:rsidR="00F15F58" w:rsidRPr="00781112" w:rsidRDefault="00F15F58" w:rsidP="00F15F58">
      <w:pPr>
        <w:rPr>
          <w:color w:val="000000" w:themeColor="text1"/>
        </w:rPr>
      </w:pPr>
      <w:r w:rsidRPr="00781112">
        <w:rPr>
          <w:color w:val="000000" w:themeColor="text1"/>
        </w:rPr>
        <w:t>The State has established the baseline for this indicator, using data from FFY 2023, and OSEP accepts that baseline.</w:t>
      </w:r>
    </w:p>
    <w:p w14:paraId="38F78302" w14:textId="540CC72B" w:rsidR="00F15F58" w:rsidRPr="00781112" w:rsidRDefault="00F15F58" w:rsidP="00F15F58">
      <w:pPr>
        <w:pStyle w:val="Heading2"/>
      </w:pPr>
      <w:r w:rsidRPr="00781112">
        <w:t>1</w:t>
      </w:r>
      <w:r>
        <w:t>8</w:t>
      </w:r>
      <w:r w:rsidRPr="00781112">
        <w:t xml:space="preserve"> - Required Actions</w:t>
      </w:r>
    </w:p>
    <w:p w14:paraId="0A69B687" w14:textId="6C3AAE63" w:rsidR="00F15F58" w:rsidRDefault="00F15F58" w:rsidP="00F15F58">
      <w:pPr>
        <w:rPr>
          <w:color w:val="000000" w:themeColor="text1"/>
        </w:rPr>
      </w:pPr>
    </w:p>
    <w:p w14:paraId="7081808E" w14:textId="68D02DFE"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1E6A8CCD" w:rsidR="00EC1064" w:rsidRPr="002C274F" w:rsidRDefault="00EC1064" w:rsidP="002C274F">
      <w:pPr>
        <w:rPr>
          <w:b/>
          <w:bCs/>
          <w:sz w:val="20"/>
          <w:szCs w:val="20"/>
        </w:rPr>
      </w:pPr>
      <w:r w:rsidRPr="002C274F">
        <w:rPr>
          <w:b/>
          <w:bCs/>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3"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Meredith Jordan</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Executive Director of Diverse Learners</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meredith.jordan@la.gov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2254855228</w:t>
      </w:r>
    </w:p>
    <w:bookmarkEnd w:id="103"/>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04/24/25  2:56:23 PM</w:t>
      </w:r>
    </w:p>
    <w:p w14:paraId="09C9DFAB" w14:textId="77777777" w:rsidR="00CA7625" w:rsidRPr="00CA7625" w:rsidRDefault="00CA7625" w:rsidP="00CA7625">
      <w:pPr>
        <w:autoSpaceDE w:val="0"/>
        <w:autoSpaceDN w:val="0"/>
        <w:adjustRightInd w:val="0"/>
        <w:rPr>
          <w:rFonts w:cs="Arial"/>
          <w:color w:val="000000" w:themeColor="text1"/>
          <w:szCs w:val="16"/>
        </w:rPr>
      </w:pPr>
    </w:p>
    <w:p w14:paraId="1DF52C2B" w14:textId="77777777" w:rsidR="008B71EA" w:rsidRDefault="008B71EA" w:rsidP="008B71EA">
      <w:pPr>
        <w:spacing w:before="0" w:after="0" w:line="276" w:lineRule="auto"/>
        <w:rPr>
          <w:rFonts w:cs="Arial"/>
          <w:bCs/>
          <w:color w:val="000000" w:themeColor="text1"/>
          <w:szCs w:val="16"/>
        </w:rPr>
      </w:pPr>
    </w:p>
    <w:p w14:paraId="6C42474B"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p w14:paraId="137CE14B" w14:textId="07C8774C" w:rsidR="00371FAA" w:rsidRPr="00395B6C" w:rsidRDefault="00D12506" w:rsidP="00D12506">
      <w:pPr>
        <w:spacing w:before="0" w:after="200" w:line="276" w:lineRule="auto"/>
      </w:pPr>
      <w:r w:rsidRPr="00395B6C">
        <w:br w:type="page"/>
      </w:r>
    </w:p>
    <w:p w14:paraId="66D36872" w14:textId="52ECB6DB" w:rsidR="00BE0EEF" w:rsidRDefault="00AF2BDA" w:rsidP="00AF2BDA">
      <w:pPr>
        <w:pStyle w:val="Heading1"/>
        <w:rPr>
          <w:color w:val="000000" w:themeColor="text1"/>
        </w:rPr>
      </w:pPr>
      <w:r w:rsidRPr="00395B6C">
        <w:rPr>
          <w:color w:val="000000" w:themeColor="text1"/>
        </w:rPr>
        <w:lastRenderedPageBreak/>
        <w:t>Determination Enclosures</w:t>
      </w:r>
    </w:p>
    <w:p w14:paraId="7F6A87DA" w14:textId="7873ABE7" w:rsidR="00BE0EEF" w:rsidRDefault="00BE0EEF" w:rsidP="00BE0EEF">
      <w:pPr>
        <w:pStyle w:val="Heading2"/>
      </w:pPr>
      <w:r w:rsidRPr="00395B6C">
        <w:t>RDA Matrix</w:t>
      </w:r>
    </w:p>
    <w:p w14:paraId="6C62C296" w14:textId="77777777" w:rsidR="00862001" w:rsidRDefault="00862001" w:rsidP="00D1413B">
      <w:pPr>
        <w:rPr>
          <w:b/>
          <w:bCs/>
          <w:sz w:val="18"/>
          <w:szCs w:val="18"/>
        </w:rPr>
      </w:pPr>
    </w:p>
    <w:p w14:paraId="693B2C3A" w14:textId="77777777" w:rsidR="000E0BA2" w:rsidRDefault="00D1413B" w:rsidP="00862001">
      <w:pPr>
        <w:jc w:val="center"/>
        <w:rPr>
          <w:sz w:val="32"/>
          <w:szCs w:val="32"/>
        </w:rPr>
      </w:pPr>
      <w:r w:rsidRPr="00862001">
        <w:rPr>
          <w:sz w:val="32"/>
          <w:szCs w:val="32"/>
        </w:rPr>
        <w:t>Louisiana</w:t>
      </w:r>
    </w:p>
    <w:p w14:paraId="34FD6914" w14:textId="65947FE1" w:rsidR="00824D00" w:rsidRDefault="00BE0EEF" w:rsidP="00862001">
      <w:pPr>
        <w:jc w:val="center"/>
        <w:rPr>
          <w:sz w:val="32"/>
          <w:szCs w:val="32"/>
        </w:rPr>
      </w:pPr>
      <w:r w:rsidRPr="00824D00">
        <w:rPr>
          <w:sz w:val="32"/>
          <w:szCs w:val="32"/>
        </w:rPr>
        <w:t>2025 Part B Results-Driven Accountability Matrix</w:t>
      </w:r>
    </w:p>
    <w:p w14:paraId="10239889" w14:textId="77777777" w:rsidR="00862001" w:rsidRDefault="00862001" w:rsidP="00862001">
      <w:pPr>
        <w:rPr>
          <w:b/>
          <w:bCs/>
          <w:sz w:val="18"/>
          <w:szCs w:val="18"/>
        </w:rPr>
      </w:pPr>
    </w:p>
    <w:p w14:paraId="2A7E4326" w14:textId="0994F40B"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77.50%</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47BC40F9" w:rsidR="00BE0EEF" w:rsidRPr="00210AC6" w:rsidRDefault="00353B3F" w:rsidP="00EE6889">
            <w:pPr>
              <w:rPr>
                <w:rFonts w:cs="Arial"/>
                <w:b/>
                <w:bCs/>
                <w:szCs w:val="16"/>
              </w:rPr>
            </w:pPr>
            <w:r>
              <w:rPr>
                <w:rFonts w:cs="Arial"/>
                <w:b/>
                <w:bCs/>
                <w:szCs w:val="16"/>
              </w:rPr>
              <w:t>Section</w:t>
            </w:r>
          </w:p>
        </w:tc>
        <w:tc>
          <w:tcPr>
            <w:tcW w:w="1261" w:type="pct"/>
          </w:tcPr>
          <w:p w14:paraId="7D03890F"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20</w:t>
            </w:r>
          </w:p>
        </w:tc>
        <w:tc>
          <w:tcPr>
            <w:tcW w:w="1260" w:type="pct"/>
          </w:tcPr>
          <w:p w14:paraId="39A51C38" w14:textId="16E843D2" w:rsidR="00E1330D" w:rsidRPr="00210AC6" w:rsidRDefault="00E1330D" w:rsidP="00E1330D">
            <w:pPr>
              <w:rPr>
                <w:rFonts w:cs="Arial"/>
                <w:szCs w:val="16"/>
              </w:rPr>
            </w:pPr>
            <w:r w:rsidRPr="00210AC6">
              <w:rPr>
                <w:rFonts w:cs="Arial"/>
                <w:szCs w:val="16"/>
              </w:rPr>
              <w:t>14</w:t>
            </w:r>
          </w:p>
        </w:tc>
        <w:tc>
          <w:tcPr>
            <w:tcW w:w="1218" w:type="pct"/>
          </w:tcPr>
          <w:p w14:paraId="0E3866D0" w14:textId="74D5D84B" w:rsidR="00E1330D" w:rsidRPr="00210AC6" w:rsidRDefault="00E1330D" w:rsidP="00E1330D">
            <w:pPr>
              <w:rPr>
                <w:rFonts w:cs="Arial"/>
                <w:szCs w:val="16"/>
              </w:rPr>
            </w:pPr>
            <w:r w:rsidRPr="00210AC6">
              <w:rPr>
                <w:rFonts w:cs="Arial"/>
                <w:szCs w:val="16"/>
              </w:rPr>
              <w:t>70.00%</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20</w:t>
            </w:r>
          </w:p>
        </w:tc>
        <w:tc>
          <w:tcPr>
            <w:tcW w:w="1260" w:type="pct"/>
          </w:tcPr>
          <w:p w14:paraId="0A360C78" w14:textId="7DE98E29" w:rsidR="00E1330D" w:rsidRPr="00210AC6" w:rsidRDefault="00E1330D" w:rsidP="00E1330D">
            <w:pPr>
              <w:rPr>
                <w:rFonts w:cs="Arial"/>
                <w:szCs w:val="16"/>
              </w:rPr>
            </w:pPr>
            <w:r w:rsidRPr="00210AC6">
              <w:rPr>
                <w:rFonts w:cs="Arial"/>
                <w:szCs w:val="16"/>
              </w:rPr>
              <w:t>17</w:t>
            </w:r>
          </w:p>
        </w:tc>
        <w:tc>
          <w:tcPr>
            <w:tcW w:w="1218" w:type="pct"/>
          </w:tcPr>
          <w:p w14:paraId="568903BA" w14:textId="193CF7F1" w:rsidR="00E1330D" w:rsidRPr="00210AC6" w:rsidRDefault="00E1330D" w:rsidP="00E1330D">
            <w:pPr>
              <w:rPr>
                <w:rFonts w:cs="Arial"/>
                <w:szCs w:val="16"/>
              </w:rPr>
            </w:pPr>
            <w:r w:rsidRPr="00210AC6">
              <w:rPr>
                <w:rFonts w:cs="Arial"/>
                <w:szCs w:val="16"/>
              </w:rPr>
              <w:t>85.00%</w:t>
            </w:r>
          </w:p>
        </w:tc>
      </w:tr>
    </w:tbl>
    <w:p w14:paraId="19632BB2" w14:textId="0CFAC511" w:rsidR="00DB4C39" w:rsidRPr="00372273" w:rsidRDefault="00DB4C39" w:rsidP="00DB4C39">
      <w:pPr>
        <w:rPr>
          <w:b/>
          <w:bCs/>
          <w:color w:val="000000" w:themeColor="text1"/>
        </w:rPr>
      </w:pPr>
      <w:r w:rsidRPr="00372273">
        <w:rPr>
          <w:b/>
          <w:bCs/>
          <w:color w:val="000000" w:themeColor="text1"/>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2025: Part B."</w:t>
      </w:r>
    </w:p>
    <w:p w14:paraId="26AB7DC2" w14:textId="77777777" w:rsidR="0007196B" w:rsidRDefault="0007196B" w:rsidP="00BE0EEF">
      <w:pPr>
        <w:rPr>
          <w:rFonts w:cs="Arial"/>
          <w:b/>
          <w:bCs/>
          <w:szCs w:val="16"/>
        </w:rPr>
      </w:pPr>
    </w:p>
    <w:p w14:paraId="5A13FEB8" w14:textId="00EC9907" w:rsidR="00BE0EEF" w:rsidRDefault="00BE0EEF" w:rsidP="00BE0EEF">
      <w:pPr>
        <w:rPr>
          <w:rFonts w:cs="Arial"/>
          <w:b/>
          <w:bCs/>
          <w:szCs w:val="16"/>
        </w:rPr>
      </w:pPr>
      <w:r w:rsidRPr="00210AC6">
        <w:rPr>
          <w:rFonts w:cs="Arial"/>
          <w:b/>
          <w:bCs/>
          <w:szCs w:val="16"/>
        </w:rPr>
        <w:t>2025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9358D4" w:rsidRPr="00210AC6" w14:paraId="3E9EE23D" w14:textId="77777777">
        <w:trPr>
          <w:tblHeader/>
        </w:trPr>
        <w:tc>
          <w:tcPr>
            <w:tcW w:w="2500" w:type="pct"/>
          </w:tcPr>
          <w:p w14:paraId="79BDA11E" w14:textId="77777777" w:rsidR="009358D4" w:rsidRPr="00210AC6" w:rsidRDefault="009358D4">
            <w:pPr>
              <w:rPr>
                <w:rFonts w:cs="Arial"/>
                <w:b/>
                <w:bCs/>
                <w:szCs w:val="16"/>
              </w:rPr>
            </w:pPr>
            <w:r w:rsidRPr="00210AC6">
              <w:rPr>
                <w:rFonts w:cs="Arial"/>
                <w:b/>
                <w:bCs/>
                <w:szCs w:val="16"/>
              </w:rPr>
              <w:t>Reading Assessment Elements</w:t>
            </w:r>
          </w:p>
        </w:tc>
        <w:tc>
          <w:tcPr>
            <w:tcW w:w="833" w:type="pct"/>
          </w:tcPr>
          <w:p w14:paraId="7ADAF069" w14:textId="77777777" w:rsidR="009358D4" w:rsidRPr="00210AC6" w:rsidRDefault="009358D4">
            <w:pPr>
              <w:jc w:val="center"/>
              <w:rPr>
                <w:rFonts w:cs="Arial"/>
                <w:b/>
                <w:bCs/>
                <w:szCs w:val="16"/>
              </w:rPr>
            </w:pPr>
            <w:r>
              <w:rPr>
                <w:rFonts w:cs="Arial"/>
                <w:b/>
                <w:bCs/>
                <w:szCs w:val="16"/>
              </w:rPr>
              <w:t>Grade</w:t>
            </w:r>
          </w:p>
        </w:tc>
        <w:tc>
          <w:tcPr>
            <w:tcW w:w="833" w:type="pct"/>
          </w:tcPr>
          <w:p w14:paraId="3C45D75E" w14:textId="77777777" w:rsidR="009358D4" w:rsidRPr="00210AC6" w:rsidRDefault="009358D4">
            <w:pPr>
              <w:rPr>
                <w:rFonts w:cs="Arial"/>
                <w:b/>
                <w:bCs/>
                <w:szCs w:val="16"/>
              </w:rPr>
            </w:pPr>
            <w:r w:rsidRPr="00210AC6">
              <w:rPr>
                <w:rFonts w:cs="Arial"/>
                <w:b/>
                <w:bCs/>
                <w:szCs w:val="16"/>
              </w:rPr>
              <w:t>Performance (%)</w:t>
            </w:r>
          </w:p>
        </w:tc>
        <w:tc>
          <w:tcPr>
            <w:tcW w:w="833" w:type="pct"/>
          </w:tcPr>
          <w:p w14:paraId="5E64084A" w14:textId="77777777" w:rsidR="009358D4" w:rsidRPr="00210AC6" w:rsidRDefault="009358D4">
            <w:pPr>
              <w:rPr>
                <w:rFonts w:cs="Arial"/>
                <w:b/>
                <w:bCs/>
                <w:szCs w:val="16"/>
              </w:rPr>
            </w:pPr>
            <w:r w:rsidRPr="00210AC6">
              <w:rPr>
                <w:rFonts w:cs="Arial"/>
                <w:b/>
                <w:bCs/>
                <w:szCs w:val="16"/>
              </w:rPr>
              <w:t>Score</w:t>
            </w:r>
          </w:p>
        </w:tc>
      </w:tr>
      <w:tr w:rsidR="009358D4" w:rsidRPr="008B60AB" w14:paraId="2F0BA565" w14:textId="77777777">
        <w:tc>
          <w:tcPr>
            <w:tcW w:w="2500" w:type="pct"/>
          </w:tcPr>
          <w:p w14:paraId="705A1274" w14:textId="77777777" w:rsidR="009358D4" w:rsidRPr="0089112C" w:rsidRDefault="009358D4">
            <w:pPr>
              <w:rPr>
                <w:rFonts w:cs="Arial"/>
                <w:szCs w:val="16"/>
              </w:rPr>
            </w:pPr>
            <w:r w:rsidRPr="002C44AD">
              <w:rPr>
                <w:b/>
                <w:bCs/>
              </w:rPr>
              <w:t>Percentage of Children with Disabilities Participating in Statewide Assessment</w:t>
            </w:r>
            <w:r>
              <w:t xml:space="preserve"> (2)</w:t>
            </w:r>
          </w:p>
        </w:tc>
        <w:tc>
          <w:tcPr>
            <w:tcW w:w="833" w:type="pct"/>
            <w:vAlign w:val="center"/>
          </w:tcPr>
          <w:p w14:paraId="4A82D33E" w14:textId="77777777" w:rsidR="009358D4" w:rsidRPr="00210AC6" w:rsidRDefault="009358D4">
            <w:pPr>
              <w:jc w:val="center"/>
              <w:rPr>
                <w:rFonts w:cs="Arial"/>
                <w:szCs w:val="16"/>
              </w:rPr>
            </w:pPr>
            <w:r w:rsidRPr="00781112">
              <w:rPr>
                <w:rFonts w:cs="Arial"/>
                <w:color w:val="000000" w:themeColor="text1"/>
                <w:szCs w:val="16"/>
              </w:rPr>
              <w:t>Grade 4</w:t>
            </w:r>
          </w:p>
        </w:tc>
        <w:tc>
          <w:tcPr>
            <w:tcW w:w="833" w:type="pct"/>
          </w:tcPr>
          <w:p w14:paraId="17EEC8F8" w14:textId="77777777" w:rsidR="009358D4" w:rsidRPr="00210AC6" w:rsidRDefault="009358D4">
            <w:pPr>
              <w:rPr>
                <w:rFonts w:cs="Arial"/>
                <w:szCs w:val="16"/>
              </w:rPr>
            </w:pPr>
            <w:r>
              <w:rPr>
                <w:rFonts w:cs="Arial"/>
                <w:szCs w:val="16"/>
              </w:rPr>
              <w:t>100%</w:t>
            </w:r>
          </w:p>
        </w:tc>
        <w:tc>
          <w:tcPr>
            <w:tcW w:w="833" w:type="pct"/>
          </w:tcPr>
          <w:p w14:paraId="3EA08499" w14:textId="77777777" w:rsidR="009358D4" w:rsidRPr="008B60AB" w:rsidRDefault="009358D4">
            <w:pPr>
              <w:rPr>
                <w:rFonts w:cs="Arial"/>
                <w:color w:val="000000"/>
                <w:szCs w:val="16"/>
              </w:rPr>
            </w:pPr>
            <w:r>
              <w:rPr>
                <w:rFonts w:cs="Arial"/>
                <w:color w:val="000000"/>
                <w:szCs w:val="16"/>
              </w:rPr>
              <w:t>1</w:t>
            </w:r>
          </w:p>
        </w:tc>
      </w:tr>
      <w:tr w:rsidR="009358D4" w:rsidRPr="008B60AB" w14:paraId="21195B63" w14:textId="77777777">
        <w:tc>
          <w:tcPr>
            <w:tcW w:w="2500" w:type="pct"/>
          </w:tcPr>
          <w:p w14:paraId="6CD4D5ED" w14:textId="77777777" w:rsidR="009358D4" w:rsidRPr="00210AC6" w:rsidRDefault="009358D4">
            <w:pPr>
              <w:rPr>
                <w:rFonts w:cs="Arial"/>
                <w:b/>
                <w:bCs/>
                <w:szCs w:val="16"/>
              </w:rPr>
            </w:pPr>
            <w:r w:rsidRPr="002C44AD">
              <w:rPr>
                <w:b/>
                <w:bCs/>
              </w:rPr>
              <w:t>Percentage of Children with Disabilities Participating in Statewide Assessment</w:t>
            </w:r>
          </w:p>
        </w:tc>
        <w:tc>
          <w:tcPr>
            <w:tcW w:w="833" w:type="pct"/>
            <w:vAlign w:val="center"/>
          </w:tcPr>
          <w:p w14:paraId="3C1FD4D1" w14:textId="77777777" w:rsidR="009358D4" w:rsidRPr="00210AC6" w:rsidRDefault="009358D4">
            <w:pPr>
              <w:jc w:val="center"/>
              <w:rPr>
                <w:rFonts w:cs="Arial"/>
                <w:szCs w:val="16"/>
              </w:rPr>
            </w:pPr>
            <w:r w:rsidRPr="00781112">
              <w:rPr>
                <w:rFonts w:cs="Arial"/>
                <w:color w:val="000000" w:themeColor="text1"/>
                <w:szCs w:val="16"/>
              </w:rPr>
              <w:t>Grade 8</w:t>
            </w:r>
          </w:p>
        </w:tc>
        <w:tc>
          <w:tcPr>
            <w:tcW w:w="833" w:type="pct"/>
          </w:tcPr>
          <w:p w14:paraId="2C34292C" w14:textId="77777777" w:rsidR="009358D4" w:rsidRPr="00210AC6" w:rsidRDefault="009358D4">
            <w:pPr>
              <w:rPr>
                <w:rFonts w:cs="Arial"/>
                <w:szCs w:val="16"/>
              </w:rPr>
            </w:pPr>
            <w:r>
              <w:rPr>
                <w:rFonts w:cs="Arial"/>
                <w:szCs w:val="16"/>
              </w:rPr>
              <w:t>99%</w:t>
            </w:r>
          </w:p>
        </w:tc>
        <w:tc>
          <w:tcPr>
            <w:tcW w:w="833" w:type="pct"/>
          </w:tcPr>
          <w:p w14:paraId="681C4F41" w14:textId="77777777" w:rsidR="009358D4" w:rsidRPr="008B60AB" w:rsidRDefault="009358D4">
            <w:pPr>
              <w:rPr>
                <w:rFonts w:cs="Arial"/>
                <w:color w:val="000000"/>
                <w:szCs w:val="16"/>
              </w:rPr>
            </w:pPr>
            <w:r>
              <w:rPr>
                <w:rFonts w:cs="Arial"/>
                <w:color w:val="000000"/>
                <w:szCs w:val="16"/>
              </w:rPr>
              <w:t>1</w:t>
            </w:r>
          </w:p>
        </w:tc>
      </w:tr>
      <w:tr w:rsidR="009358D4" w:rsidRPr="00210AC6" w14:paraId="0D922354" w14:textId="77777777">
        <w:tc>
          <w:tcPr>
            <w:tcW w:w="2500" w:type="pct"/>
          </w:tcPr>
          <w:p w14:paraId="64D3B895" w14:textId="77777777" w:rsidR="009358D4" w:rsidRPr="00210AC6" w:rsidRDefault="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295D213E" w14:textId="77777777" w:rsidR="009358D4" w:rsidRPr="00210AC6" w:rsidRDefault="009358D4">
            <w:pPr>
              <w:jc w:val="center"/>
              <w:rPr>
                <w:rFonts w:cs="Arial"/>
                <w:szCs w:val="16"/>
              </w:rPr>
            </w:pPr>
            <w:r>
              <w:rPr>
                <w:rFonts w:cs="Arial"/>
                <w:szCs w:val="16"/>
              </w:rPr>
              <w:t>Grade 4</w:t>
            </w:r>
          </w:p>
        </w:tc>
        <w:tc>
          <w:tcPr>
            <w:tcW w:w="833" w:type="pct"/>
          </w:tcPr>
          <w:p w14:paraId="74D11DB0" w14:textId="77777777" w:rsidR="009358D4" w:rsidRPr="00210AC6" w:rsidRDefault="009358D4">
            <w:pPr>
              <w:rPr>
                <w:rFonts w:cs="Arial"/>
                <w:szCs w:val="16"/>
              </w:rPr>
            </w:pPr>
            <w:r w:rsidRPr="00210AC6">
              <w:rPr>
                <w:rFonts w:cs="Arial"/>
                <w:szCs w:val="16"/>
              </w:rPr>
              <w:t>32%</w:t>
            </w:r>
          </w:p>
        </w:tc>
        <w:tc>
          <w:tcPr>
            <w:tcW w:w="833" w:type="pct"/>
          </w:tcPr>
          <w:p w14:paraId="156CE4CC" w14:textId="77777777" w:rsidR="009358D4" w:rsidRPr="00210AC6" w:rsidRDefault="009358D4">
            <w:pPr>
              <w:rPr>
                <w:rFonts w:cs="Arial"/>
                <w:szCs w:val="16"/>
              </w:rPr>
            </w:pPr>
            <w:r w:rsidRPr="00210AC6">
              <w:rPr>
                <w:rFonts w:cs="Arial"/>
                <w:szCs w:val="16"/>
              </w:rPr>
              <w:t>2</w:t>
            </w:r>
          </w:p>
        </w:tc>
      </w:tr>
      <w:tr w:rsidR="009358D4" w:rsidRPr="00210AC6" w14:paraId="7649C6B5" w14:textId="77777777">
        <w:tc>
          <w:tcPr>
            <w:tcW w:w="2500" w:type="pct"/>
          </w:tcPr>
          <w:p w14:paraId="3A62105A" w14:textId="77777777" w:rsidR="009358D4" w:rsidRPr="00210AC6" w:rsidRDefault="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5F1A276F" w14:textId="77777777" w:rsidR="009358D4" w:rsidRPr="00210AC6" w:rsidRDefault="009358D4">
            <w:pPr>
              <w:jc w:val="center"/>
              <w:rPr>
                <w:rFonts w:cs="Arial"/>
                <w:szCs w:val="16"/>
              </w:rPr>
            </w:pPr>
            <w:r>
              <w:rPr>
                <w:rFonts w:cs="Arial"/>
                <w:szCs w:val="16"/>
              </w:rPr>
              <w:t>Grade 4</w:t>
            </w:r>
          </w:p>
        </w:tc>
        <w:tc>
          <w:tcPr>
            <w:tcW w:w="833" w:type="pct"/>
          </w:tcPr>
          <w:p w14:paraId="0967A5E5" w14:textId="77777777" w:rsidR="009358D4" w:rsidRPr="00210AC6" w:rsidRDefault="009358D4">
            <w:pPr>
              <w:rPr>
                <w:rFonts w:cs="Arial"/>
                <w:szCs w:val="16"/>
              </w:rPr>
            </w:pPr>
            <w:r w:rsidRPr="00210AC6">
              <w:rPr>
                <w:rFonts w:cs="Arial"/>
                <w:szCs w:val="16"/>
              </w:rPr>
              <w:t>86%</w:t>
            </w:r>
          </w:p>
        </w:tc>
        <w:tc>
          <w:tcPr>
            <w:tcW w:w="833" w:type="pct"/>
          </w:tcPr>
          <w:p w14:paraId="6853EA20" w14:textId="77777777" w:rsidR="009358D4" w:rsidRPr="00210AC6" w:rsidRDefault="009358D4">
            <w:pPr>
              <w:rPr>
                <w:rFonts w:cs="Arial"/>
                <w:szCs w:val="16"/>
              </w:rPr>
            </w:pPr>
            <w:r w:rsidRPr="00210AC6">
              <w:rPr>
                <w:rFonts w:cs="Arial"/>
                <w:szCs w:val="16"/>
              </w:rPr>
              <w:t>1</w:t>
            </w:r>
          </w:p>
        </w:tc>
      </w:tr>
      <w:tr w:rsidR="009358D4" w:rsidRPr="00210AC6" w14:paraId="724E6E1A" w14:textId="77777777">
        <w:tc>
          <w:tcPr>
            <w:tcW w:w="2500" w:type="pct"/>
          </w:tcPr>
          <w:p w14:paraId="0758FBFA" w14:textId="77777777" w:rsidR="009358D4" w:rsidRPr="00210AC6" w:rsidRDefault="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7BC760C9" w14:textId="77777777" w:rsidR="009358D4" w:rsidRPr="00210AC6" w:rsidRDefault="009358D4">
            <w:pPr>
              <w:jc w:val="center"/>
              <w:rPr>
                <w:rFonts w:cs="Arial"/>
                <w:szCs w:val="16"/>
              </w:rPr>
            </w:pPr>
            <w:r>
              <w:rPr>
                <w:rFonts w:cs="Arial"/>
                <w:szCs w:val="16"/>
              </w:rPr>
              <w:t>Grade 8</w:t>
            </w:r>
          </w:p>
        </w:tc>
        <w:tc>
          <w:tcPr>
            <w:tcW w:w="833" w:type="pct"/>
          </w:tcPr>
          <w:p w14:paraId="2AD8FD5A" w14:textId="77777777" w:rsidR="009358D4" w:rsidRPr="00210AC6" w:rsidRDefault="009358D4">
            <w:pPr>
              <w:rPr>
                <w:rFonts w:cs="Arial"/>
                <w:szCs w:val="16"/>
              </w:rPr>
            </w:pPr>
            <w:r w:rsidRPr="00210AC6">
              <w:rPr>
                <w:rFonts w:cs="Arial"/>
                <w:szCs w:val="16"/>
              </w:rPr>
              <w:t>31%</w:t>
            </w:r>
          </w:p>
        </w:tc>
        <w:tc>
          <w:tcPr>
            <w:tcW w:w="833" w:type="pct"/>
          </w:tcPr>
          <w:p w14:paraId="617C22C3" w14:textId="77777777" w:rsidR="009358D4" w:rsidRPr="00210AC6" w:rsidRDefault="009358D4">
            <w:pPr>
              <w:rPr>
                <w:rFonts w:cs="Arial"/>
                <w:szCs w:val="16"/>
              </w:rPr>
            </w:pPr>
            <w:r w:rsidRPr="00210AC6">
              <w:rPr>
                <w:rFonts w:cs="Arial"/>
                <w:szCs w:val="16"/>
              </w:rPr>
              <w:t>2</w:t>
            </w:r>
          </w:p>
        </w:tc>
      </w:tr>
      <w:tr w:rsidR="009358D4" w:rsidRPr="00210AC6" w14:paraId="36EDA184" w14:textId="77777777">
        <w:tc>
          <w:tcPr>
            <w:tcW w:w="2500" w:type="pct"/>
          </w:tcPr>
          <w:p w14:paraId="45E2BE6D" w14:textId="77777777" w:rsidR="009358D4" w:rsidRPr="00210AC6" w:rsidRDefault="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26B0337E" w14:textId="77777777" w:rsidR="009358D4" w:rsidRPr="00210AC6" w:rsidRDefault="009358D4">
            <w:pPr>
              <w:jc w:val="center"/>
              <w:rPr>
                <w:rFonts w:cs="Arial"/>
                <w:szCs w:val="16"/>
              </w:rPr>
            </w:pPr>
            <w:r>
              <w:rPr>
                <w:rFonts w:cs="Arial"/>
                <w:szCs w:val="16"/>
              </w:rPr>
              <w:t>Grade 8</w:t>
            </w:r>
          </w:p>
        </w:tc>
        <w:tc>
          <w:tcPr>
            <w:tcW w:w="833" w:type="pct"/>
          </w:tcPr>
          <w:p w14:paraId="50B41EB9" w14:textId="77777777" w:rsidR="009358D4" w:rsidRPr="00210AC6" w:rsidRDefault="009358D4">
            <w:pPr>
              <w:rPr>
                <w:rFonts w:cs="Arial"/>
                <w:szCs w:val="16"/>
              </w:rPr>
            </w:pPr>
            <w:r w:rsidRPr="00210AC6">
              <w:rPr>
                <w:rFonts w:cs="Arial"/>
                <w:szCs w:val="16"/>
              </w:rPr>
              <w:t>79%</w:t>
            </w:r>
          </w:p>
        </w:tc>
        <w:tc>
          <w:tcPr>
            <w:tcW w:w="833" w:type="pct"/>
          </w:tcPr>
          <w:p w14:paraId="290B70A8" w14:textId="77777777" w:rsidR="009358D4" w:rsidRPr="00210AC6" w:rsidRDefault="009358D4">
            <w:pPr>
              <w:rPr>
                <w:rFonts w:cs="Arial"/>
                <w:szCs w:val="16"/>
              </w:rPr>
            </w:pPr>
            <w:r w:rsidRPr="00210AC6">
              <w:rPr>
                <w:rFonts w:cs="Arial"/>
                <w:szCs w:val="16"/>
              </w:rPr>
              <w:t>0</w:t>
            </w:r>
          </w:p>
        </w:tc>
      </w:tr>
    </w:tbl>
    <w:p w14:paraId="357E8A16" w14:textId="77777777" w:rsidR="008E3C06" w:rsidRPr="00FB3CF2" w:rsidRDefault="008E3C06" w:rsidP="00353EB1">
      <w:pPr>
        <w:rPr>
          <w:color w:val="000000" w:themeColor="text1"/>
        </w:rPr>
      </w:pPr>
    </w:p>
    <w:p w14:paraId="3668B7B3" w14:textId="32CDFC90" w:rsidR="008E3C06" w:rsidRDefault="008E3C06" w:rsidP="00BE0EEF">
      <w:pPr>
        <w:rPr>
          <w:rFonts w:cs="Arial"/>
          <w:b/>
          <w:bCs/>
          <w:szCs w:val="16"/>
        </w:rPr>
      </w:pPr>
    </w:p>
    <w:p w14:paraId="5C8DAF7F" w14:textId="59EE660A" w:rsidR="009358D4" w:rsidRPr="003160FB" w:rsidRDefault="009358D4">
      <w:pPr>
        <w:rPr>
          <w:color w:val="000000" w:themeColor="text1"/>
        </w:rPr>
      </w:pPr>
    </w:p>
    <w:p w14:paraId="60937675" w14:textId="20A54A41" w:rsidR="008E3C06" w:rsidRDefault="008E3C06">
      <w:pPr>
        <w:spacing w:before="0" w:after="200" w:line="276" w:lineRule="auto"/>
        <w:rPr>
          <w:rFonts w:cs="Arial"/>
          <w:b/>
          <w:bCs/>
          <w:szCs w:val="16"/>
        </w:rPr>
      </w:pPr>
      <w:r>
        <w:rPr>
          <w:rFonts w:cs="Arial"/>
          <w:b/>
          <w:bCs/>
          <w:szCs w:val="16"/>
        </w:rPr>
        <w:br w:type="page"/>
      </w:r>
    </w:p>
    <w:p w14:paraId="160341AB" w14:textId="77777777" w:rsidR="00D4744F" w:rsidRDefault="00D4744F" w:rsidP="00BE0EEF">
      <w:pPr>
        <w:rPr>
          <w:rFonts w:cs="Arial"/>
          <w:b/>
          <w:bCs/>
          <w:szCs w:val="16"/>
        </w:rPr>
      </w:pPr>
    </w:p>
    <w:p w14:paraId="07CD2882" w14:textId="6892BE1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210AC6" w14:paraId="469D669E" w14:textId="77777777" w:rsidTr="00440D29">
        <w:trPr>
          <w:tblHeader/>
        </w:trPr>
        <w:tc>
          <w:tcPr>
            <w:tcW w:w="2500" w:type="pct"/>
          </w:tcPr>
          <w:p w14:paraId="6D4794B6" w14:textId="77777777" w:rsidR="00440D29" w:rsidRPr="00210AC6" w:rsidRDefault="00440D29" w:rsidP="00EE6889">
            <w:pPr>
              <w:rPr>
                <w:rFonts w:cs="Arial"/>
                <w:b/>
                <w:bCs/>
                <w:szCs w:val="16"/>
              </w:rPr>
            </w:pPr>
            <w:r w:rsidRPr="00210AC6">
              <w:rPr>
                <w:rFonts w:cs="Arial"/>
                <w:b/>
                <w:bCs/>
                <w:szCs w:val="16"/>
              </w:rPr>
              <w:t>Math Assessment Elements</w:t>
            </w:r>
          </w:p>
        </w:tc>
        <w:tc>
          <w:tcPr>
            <w:tcW w:w="833" w:type="pct"/>
          </w:tcPr>
          <w:p w14:paraId="7ED216ED" w14:textId="543B82C9" w:rsidR="00440D29" w:rsidRPr="00210AC6" w:rsidRDefault="00440D29" w:rsidP="00440D29">
            <w:pPr>
              <w:jc w:val="center"/>
              <w:rPr>
                <w:rFonts w:cs="Arial"/>
                <w:b/>
                <w:bCs/>
                <w:szCs w:val="16"/>
              </w:rPr>
            </w:pPr>
            <w:r>
              <w:rPr>
                <w:rFonts w:cs="Arial"/>
                <w:b/>
                <w:bCs/>
                <w:szCs w:val="16"/>
              </w:rPr>
              <w:t>Grade</w:t>
            </w:r>
          </w:p>
        </w:tc>
        <w:tc>
          <w:tcPr>
            <w:tcW w:w="833" w:type="pct"/>
          </w:tcPr>
          <w:p w14:paraId="6E210526" w14:textId="3C0DF739" w:rsidR="00440D29" w:rsidRPr="00210AC6" w:rsidRDefault="00440D29" w:rsidP="00EE6889">
            <w:pPr>
              <w:rPr>
                <w:rFonts w:cs="Arial"/>
                <w:b/>
                <w:bCs/>
                <w:szCs w:val="16"/>
              </w:rPr>
            </w:pPr>
            <w:r w:rsidRPr="00210AC6">
              <w:rPr>
                <w:rFonts w:cs="Arial"/>
                <w:b/>
                <w:bCs/>
                <w:szCs w:val="16"/>
              </w:rPr>
              <w:t>Performance (%)</w:t>
            </w:r>
          </w:p>
        </w:tc>
        <w:tc>
          <w:tcPr>
            <w:tcW w:w="833" w:type="pct"/>
          </w:tcPr>
          <w:p w14:paraId="03CF668A" w14:textId="77777777" w:rsidR="00440D29" w:rsidRPr="00210AC6" w:rsidRDefault="00440D29" w:rsidP="00EE6889">
            <w:pPr>
              <w:rPr>
                <w:rFonts w:cs="Arial"/>
                <w:b/>
                <w:bCs/>
                <w:szCs w:val="16"/>
              </w:rPr>
            </w:pPr>
            <w:r w:rsidRPr="00210AC6">
              <w:rPr>
                <w:rFonts w:cs="Arial"/>
                <w:b/>
                <w:bCs/>
                <w:szCs w:val="16"/>
              </w:rPr>
              <w:t>Score</w:t>
            </w:r>
          </w:p>
        </w:tc>
      </w:tr>
      <w:tr w:rsidR="009358D4" w:rsidRPr="00210AC6" w14:paraId="715F4C9D" w14:textId="77777777" w:rsidTr="00440D29">
        <w:tc>
          <w:tcPr>
            <w:tcW w:w="2500" w:type="pct"/>
          </w:tcPr>
          <w:p w14:paraId="1318C25B" w14:textId="5052609F" w:rsidR="009358D4" w:rsidRPr="00210AC6" w:rsidRDefault="009358D4" w:rsidP="009358D4">
            <w:pPr>
              <w:rPr>
                <w:rFonts w:cs="Arial"/>
                <w:b/>
                <w:bCs/>
                <w:szCs w:val="16"/>
              </w:rPr>
            </w:pPr>
            <w:r w:rsidRPr="002C44AD">
              <w:rPr>
                <w:b/>
                <w:bCs/>
              </w:rPr>
              <w:t>Percentage of Children with Disabilities Participating in Statewide Assessment</w:t>
            </w:r>
          </w:p>
        </w:tc>
        <w:tc>
          <w:tcPr>
            <w:tcW w:w="833" w:type="pct"/>
            <w:vAlign w:val="center"/>
          </w:tcPr>
          <w:p w14:paraId="37E4E49E" w14:textId="03518D4E" w:rsidR="009358D4" w:rsidRPr="00210AC6" w:rsidRDefault="009358D4" w:rsidP="009358D4">
            <w:pPr>
              <w:jc w:val="center"/>
              <w:rPr>
                <w:rFonts w:cs="Arial"/>
                <w:szCs w:val="16"/>
              </w:rPr>
            </w:pPr>
            <w:r w:rsidRPr="00781112">
              <w:rPr>
                <w:rFonts w:cs="Arial"/>
                <w:color w:val="000000" w:themeColor="text1"/>
                <w:szCs w:val="16"/>
              </w:rPr>
              <w:t>Grade 4</w:t>
            </w:r>
          </w:p>
        </w:tc>
        <w:tc>
          <w:tcPr>
            <w:tcW w:w="833" w:type="pct"/>
          </w:tcPr>
          <w:p w14:paraId="632346C8" w14:textId="6AA69F22" w:rsidR="009358D4" w:rsidRPr="008B60AB" w:rsidRDefault="009358D4" w:rsidP="009358D4">
            <w:pPr>
              <w:rPr>
                <w:rFonts w:cs="Arial"/>
                <w:color w:val="000000"/>
                <w:szCs w:val="16"/>
              </w:rPr>
            </w:pPr>
            <w:r>
              <w:rPr>
                <w:rFonts w:cs="Arial"/>
                <w:color w:val="000000"/>
                <w:szCs w:val="16"/>
              </w:rPr>
              <w:t>100%</w:t>
            </w:r>
          </w:p>
        </w:tc>
        <w:tc>
          <w:tcPr>
            <w:tcW w:w="833" w:type="pct"/>
          </w:tcPr>
          <w:p w14:paraId="5B5F4823" w14:textId="1533C53B" w:rsidR="009358D4" w:rsidRPr="008B60AB" w:rsidRDefault="009358D4" w:rsidP="009358D4">
            <w:pPr>
              <w:rPr>
                <w:rFonts w:cs="Arial"/>
                <w:color w:val="000000"/>
                <w:szCs w:val="16"/>
              </w:rPr>
            </w:pPr>
            <w:r>
              <w:rPr>
                <w:rFonts w:cs="Arial"/>
                <w:color w:val="000000"/>
                <w:szCs w:val="16"/>
              </w:rPr>
              <w:t>1</w:t>
            </w:r>
          </w:p>
        </w:tc>
      </w:tr>
      <w:tr w:rsidR="009358D4" w:rsidRPr="00210AC6" w14:paraId="2E5CAE5E" w14:textId="77777777" w:rsidTr="00440D29">
        <w:tc>
          <w:tcPr>
            <w:tcW w:w="2500" w:type="pct"/>
          </w:tcPr>
          <w:p w14:paraId="700B246F" w14:textId="7E2225CC" w:rsidR="009358D4" w:rsidRPr="00210AC6" w:rsidRDefault="009358D4" w:rsidP="009358D4">
            <w:pPr>
              <w:rPr>
                <w:rFonts w:cs="Arial"/>
                <w:b/>
                <w:bCs/>
                <w:szCs w:val="16"/>
              </w:rPr>
            </w:pPr>
            <w:r w:rsidRPr="002C44AD">
              <w:rPr>
                <w:b/>
                <w:bCs/>
              </w:rPr>
              <w:t>Percentage of Children with Disabilities Participating in Statewide Assessment</w:t>
            </w:r>
          </w:p>
        </w:tc>
        <w:tc>
          <w:tcPr>
            <w:tcW w:w="833" w:type="pct"/>
            <w:vAlign w:val="center"/>
          </w:tcPr>
          <w:p w14:paraId="7681AAD6" w14:textId="7F10FA3E" w:rsidR="009358D4" w:rsidRPr="00210AC6" w:rsidRDefault="009358D4" w:rsidP="009358D4">
            <w:pPr>
              <w:jc w:val="center"/>
              <w:rPr>
                <w:rFonts w:cs="Arial"/>
                <w:szCs w:val="16"/>
              </w:rPr>
            </w:pPr>
            <w:r w:rsidRPr="00781112">
              <w:rPr>
                <w:rFonts w:cs="Arial"/>
                <w:color w:val="000000" w:themeColor="text1"/>
                <w:szCs w:val="16"/>
              </w:rPr>
              <w:t>Grade 8</w:t>
            </w:r>
          </w:p>
        </w:tc>
        <w:tc>
          <w:tcPr>
            <w:tcW w:w="833" w:type="pct"/>
          </w:tcPr>
          <w:p w14:paraId="6783BEF6" w14:textId="495D1588" w:rsidR="009358D4" w:rsidRPr="008B60AB" w:rsidRDefault="009358D4" w:rsidP="009358D4">
            <w:pPr>
              <w:rPr>
                <w:rFonts w:cs="Arial"/>
                <w:color w:val="000000"/>
                <w:szCs w:val="16"/>
              </w:rPr>
            </w:pPr>
            <w:r>
              <w:rPr>
                <w:rFonts w:cs="Arial"/>
                <w:color w:val="000000"/>
                <w:szCs w:val="16"/>
              </w:rPr>
              <w:t>99%</w:t>
            </w:r>
          </w:p>
        </w:tc>
        <w:tc>
          <w:tcPr>
            <w:tcW w:w="833" w:type="pct"/>
          </w:tcPr>
          <w:p w14:paraId="4441E0DF" w14:textId="130FE9BC" w:rsidR="009358D4" w:rsidRPr="008B60AB" w:rsidRDefault="009358D4" w:rsidP="009358D4">
            <w:pPr>
              <w:rPr>
                <w:rFonts w:cs="Arial"/>
                <w:color w:val="000000"/>
                <w:szCs w:val="16"/>
              </w:rPr>
            </w:pPr>
            <w:r>
              <w:rPr>
                <w:rFonts w:cs="Arial"/>
                <w:color w:val="000000"/>
                <w:szCs w:val="16"/>
              </w:rPr>
              <w:t>1</w:t>
            </w:r>
          </w:p>
        </w:tc>
      </w:tr>
      <w:tr w:rsidR="009358D4" w:rsidRPr="00210AC6" w14:paraId="2317DBF2" w14:textId="77777777">
        <w:tc>
          <w:tcPr>
            <w:tcW w:w="2500" w:type="pct"/>
          </w:tcPr>
          <w:p w14:paraId="349A2072" w14:textId="64869747" w:rsidR="009358D4" w:rsidRPr="00210AC6" w:rsidRDefault="009358D4" w:rsidP="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17DB7628" w14:textId="1A6671A9" w:rsidR="009358D4" w:rsidRPr="00210AC6" w:rsidRDefault="009358D4" w:rsidP="009358D4">
            <w:pPr>
              <w:jc w:val="center"/>
              <w:rPr>
                <w:rFonts w:cs="Arial"/>
                <w:szCs w:val="16"/>
              </w:rPr>
            </w:pPr>
            <w:r>
              <w:rPr>
                <w:rFonts w:cs="Arial"/>
                <w:szCs w:val="16"/>
              </w:rPr>
              <w:t>Grade 4</w:t>
            </w:r>
          </w:p>
        </w:tc>
        <w:tc>
          <w:tcPr>
            <w:tcW w:w="833" w:type="pct"/>
          </w:tcPr>
          <w:p w14:paraId="59508D9C" w14:textId="67232554" w:rsidR="009358D4" w:rsidRPr="008B60AB" w:rsidRDefault="009358D4" w:rsidP="009358D4">
            <w:pPr>
              <w:rPr>
                <w:rFonts w:cs="Arial"/>
                <w:color w:val="000000"/>
                <w:szCs w:val="16"/>
              </w:rPr>
            </w:pPr>
            <w:r w:rsidRPr="00210AC6">
              <w:rPr>
                <w:rFonts w:cs="Arial"/>
                <w:szCs w:val="16"/>
              </w:rPr>
              <w:t>42%</w:t>
            </w:r>
          </w:p>
        </w:tc>
        <w:tc>
          <w:tcPr>
            <w:tcW w:w="833" w:type="pct"/>
          </w:tcPr>
          <w:p w14:paraId="0255728A" w14:textId="4A5BE58D" w:rsidR="009358D4" w:rsidRPr="008B60AB" w:rsidRDefault="009358D4" w:rsidP="009358D4">
            <w:pPr>
              <w:rPr>
                <w:rFonts w:cs="Arial"/>
                <w:color w:val="000000"/>
                <w:szCs w:val="16"/>
              </w:rPr>
            </w:pPr>
            <w:r w:rsidRPr="00210AC6">
              <w:rPr>
                <w:rFonts w:cs="Arial"/>
                <w:szCs w:val="16"/>
              </w:rPr>
              <w:t>1</w:t>
            </w:r>
          </w:p>
        </w:tc>
      </w:tr>
      <w:tr w:rsidR="009358D4" w:rsidRPr="00210AC6" w14:paraId="64DF3CC7" w14:textId="77777777" w:rsidTr="00440D29">
        <w:tc>
          <w:tcPr>
            <w:tcW w:w="2500" w:type="pct"/>
          </w:tcPr>
          <w:p w14:paraId="1F7694DD" w14:textId="42822A7D" w:rsidR="009358D4" w:rsidRPr="00210AC6" w:rsidRDefault="009358D4" w:rsidP="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45EC1C72" w14:textId="16A4D634" w:rsidR="009358D4" w:rsidRPr="00210AC6" w:rsidRDefault="009358D4" w:rsidP="009358D4">
            <w:pPr>
              <w:jc w:val="center"/>
              <w:rPr>
                <w:rFonts w:cs="Arial"/>
                <w:szCs w:val="16"/>
              </w:rPr>
            </w:pPr>
            <w:r>
              <w:rPr>
                <w:rFonts w:cs="Arial"/>
                <w:szCs w:val="16"/>
              </w:rPr>
              <w:t>Grade 4</w:t>
            </w:r>
          </w:p>
        </w:tc>
        <w:tc>
          <w:tcPr>
            <w:tcW w:w="833" w:type="pct"/>
          </w:tcPr>
          <w:p w14:paraId="2339B77B" w14:textId="4CBA45BB" w:rsidR="009358D4" w:rsidRPr="00210AC6" w:rsidRDefault="009358D4" w:rsidP="009358D4">
            <w:pPr>
              <w:rPr>
                <w:rFonts w:cs="Arial"/>
                <w:szCs w:val="16"/>
              </w:rPr>
            </w:pPr>
            <w:r w:rsidRPr="00210AC6">
              <w:rPr>
                <w:rFonts w:cs="Arial"/>
                <w:szCs w:val="16"/>
              </w:rPr>
              <w:t>90%</w:t>
            </w:r>
          </w:p>
        </w:tc>
        <w:tc>
          <w:tcPr>
            <w:tcW w:w="833" w:type="pct"/>
          </w:tcPr>
          <w:p w14:paraId="7840B150" w14:textId="211203A8" w:rsidR="009358D4" w:rsidRPr="00210AC6" w:rsidRDefault="009358D4" w:rsidP="009358D4">
            <w:pPr>
              <w:rPr>
                <w:rFonts w:cs="Arial"/>
                <w:szCs w:val="16"/>
              </w:rPr>
            </w:pPr>
            <w:r w:rsidRPr="00210AC6">
              <w:rPr>
                <w:rFonts w:cs="Arial"/>
                <w:szCs w:val="16"/>
              </w:rPr>
              <w:t>1</w:t>
            </w:r>
          </w:p>
        </w:tc>
      </w:tr>
      <w:tr w:rsidR="009358D4" w:rsidRPr="00210AC6" w14:paraId="76362DFE" w14:textId="77777777" w:rsidTr="00440D29">
        <w:tc>
          <w:tcPr>
            <w:tcW w:w="2500" w:type="pct"/>
          </w:tcPr>
          <w:p w14:paraId="632B7BBA" w14:textId="4B230D03" w:rsidR="009358D4" w:rsidRPr="00210AC6" w:rsidRDefault="009358D4" w:rsidP="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0170E75" w14:textId="1AB702C9" w:rsidR="009358D4" w:rsidRPr="00210AC6" w:rsidRDefault="009358D4" w:rsidP="009358D4">
            <w:pPr>
              <w:jc w:val="center"/>
              <w:rPr>
                <w:rFonts w:cs="Arial"/>
                <w:szCs w:val="16"/>
              </w:rPr>
            </w:pPr>
            <w:r>
              <w:rPr>
                <w:rFonts w:cs="Arial"/>
                <w:szCs w:val="16"/>
              </w:rPr>
              <w:t>Grade 8</w:t>
            </w:r>
          </w:p>
        </w:tc>
        <w:tc>
          <w:tcPr>
            <w:tcW w:w="833" w:type="pct"/>
          </w:tcPr>
          <w:p w14:paraId="16367BD2" w14:textId="79F29290" w:rsidR="009358D4" w:rsidRPr="00210AC6" w:rsidRDefault="009358D4" w:rsidP="009358D4">
            <w:pPr>
              <w:rPr>
                <w:rFonts w:cs="Arial"/>
                <w:szCs w:val="16"/>
              </w:rPr>
            </w:pPr>
            <w:r w:rsidRPr="00210AC6">
              <w:rPr>
                <w:rFonts w:cs="Arial"/>
                <w:szCs w:val="16"/>
              </w:rPr>
              <w:t>22%</w:t>
            </w:r>
          </w:p>
        </w:tc>
        <w:tc>
          <w:tcPr>
            <w:tcW w:w="833" w:type="pct"/>
          </w:tcPr>
          <w:p w14:paraId="4338D452" w14:textId="69ED8B55" w:rsidR="009358D4" w:rsidRPr="00210AC6" w:rsidRDefault="009358D4" w:rsidP="009358D4">
            <w:pPr>
              <w:rPr>
                <w:rFonts w:cs="Arial"/>
                <w:szCs w:val="16"/>
              </w:rPr>
            </w:pPr>
            <w:r w:rsidRPr="00210AC6">
              <w:rPr>
                <w:rFonts w:cs="Arial"/>
                <w:szCs w:val="16"/>
              </w:rPr>
              <w:t>1</w:t>
            </w:r>
          </w:p>
        </w:tc>
      </w:tr>
      <w:tr w:rsidR="009358D4" w:rsidRPr="00210AC6" w14:paraId="6ACA5C8B" w14:textId="77777777" w:rsidTr="00440D29">
        <w:tc>
          <w:tcPr>
            <w:tcW w:w="2500" w:type="pct"/>
          </w:tcPr>
          <w:p w14:paraId="178F722C" w14:textId="590720CE" w:rsidR="009358D4" w:rsidRPr="00210AC6" w:rsidRDefault="009358D4" w:rsidP="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78046286" w14:textId="01827261" w:rsidR="009358D4" w:rsidRPr="00210AC6" w:rsidRDefault="009358D4" w:rsidP="009358D4">
            <w:pPr>
              <w:jc w:val="center"/>
              <w:rPr>
                <w:rFonts w:cs="Arial"/>
                <w:szCs w:val="16"/>
              </w:rPr>
            </w:pPr>
            <w:r>
              <w:rPr>
                <w:rFonts w:cs="Arial"/>
                <w:szCs w:val="16"/>
              </w:rPr>
              <w:t>Grade 8</w:t>
            </w:r>
          </w:p>
        </w:tc>
        <w:tc>
          <w:tcPr>
            <w:tcW w:w="833" w:type="pct"/>
          </w:tcPr>
          <w:p w14:paraId="751BB010" w14:textId="046AAA2A" w:rsidR="009358D4" w:rsidRPr="00210AC6" w:rsidRDefault="009358D4" w:rsidP="009358D4">
            <w:pPr>
              <w:rPr>
                <w:rFonts w:cs="Arial"/>
                <w:szCs w:val="16"/>
              </w:rPr>
            </w:pPr>
            <w:r w:rsidRPr="00210AC6">
              <w:rPr>
                <w:rFonts w:cs="Arial"/>
                <w:szCs w:val="16"/>
              </w:rPr>
              <w:t>88%</w:t>
            </w:r>
          </w:p>
        </w:tc>
        <w:tc>
          <w:tcPr>
            <w:tcW w:w="833" w:type="pct"/>
          </w:tcPr>
          <w:p w14:paraId="423E4ADA" w14:textId="0B0EC635" w:rsidR="009358D4" w:rsidRPr="00210AC6" w:rsidRDefault="009358D4" w:rsidP="009358D4">
            <w:pPr>
              <w:rPr>
                <w:rFonts w:cs="Arial"/>
                <w:szCs w:val="16"/>
              </w:rPr>
            </w:pPr>
            <w:r w:rsidRPr="00210AC6">
              <w:rPr>
                <w:rFonts w:cs="Arial"/>
                <w:szCs w:val="16"/>
              </w:rPr>
              <w:t>1</w:t>
            </w:r>
          </w:p>
        </w:tc>
      </w:tr>
    </w:tbl>
    <w:p w14:paraId="5A9BC4D5" w14:textId="77777777" w:rsidR="008E3C06" w:rsidRPr="00FB3CF2" w:rsidRDefault="008E3C06" w:rsidP="004613BA">
      <w:pPr>
        <w:rPr>
          <w:color w:val="000000" w:themeColor="text1"/>
        </w:rPr>
      </w:pPr>
    </w:p>
    <w:p w14:paraId="03ED391A" w14:textId="77777777" w:rsidR="008E3C06" w:rsidRDefault="008E3C06" w:rsidP="00BE0EEF">
      <w:pPr>
        <w:rPr>
          <w:color w:val="000000" w:themeColor="text1"/>
        </w:rPr>
      </w:pPr>
    </w:p>
    <w:p w14:paraId="14F425F4" w14:textId="6D59475D" w:rsidR="009358D4" w:rsidRPr="00FB3CF2" w:rsidRDefault="009358D4">
      <w:pPr>
        <w:rPr>
          <w:color w:val="000000" w:themeColor="text1"/>
        </w:rPr>
      </w:pPr>
    </w:p>
    <w:p w14:paraId="033F7943" w14:textId="66D89F58" w:rsidR="009358D4" w:rsidRDefault="009358D4" w:rsidP="009358D4">
      <w:pPr>
        <w:rPr>
          <w:rFonts w:cs="Arial"/>
          <w:b/>
          <w:bCs/>
          <w:szCs w:val="16"/>
        </w:rPr>
      </w:pPr>
    </w:p>
    <w:p w14:paraId="351BABEC" w14:textId="77777777" w:rsidR="009358D4" w:rsidRPr="00372273" w:rsidRDefault="009358D4" w:rsidP="009358D4">
      <w:pPr>
        <w:rPr>
          <w:b/>
          <w:bCs/>
          <w:color w:val="000000" w:themeColor="text1"/>
        </w:rPr>
      </w:pPr>
      <w:r w:rsidRPr="00372273">
        <w:rPr>
          <w:b/>
          <w:bCs/>
          <w:color w:val="000000" w:themeColor="text1"/>
        </w:rPr>
        <w:t>(2) Statewide assessments include the regular assessment and the alternate assessment.</w:t>
      </w:r>
    </w:p>
    <w:p w14:paraId="26B2A12B" w14:textId="1B0A42CF" w:rsidR="00570930" w:rsidRPr="0007196B" w:rsidRDefault="00570930">
      <w:pPr>
        <w:spacing w:before="0" w:after="200" w:line="276" w:lineRule="auto"/>
        <w:rPr>
          <w:rFonts w:cs="Arial"/>
          <w:b/>
          <w:bCs/>
          <w:szCs w:val="16"/>
        </w:rPr>
      </w:pPr>
      <w:r w:rsidRPr="0007196B">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20</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1</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3D603B14"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65</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0</w:t>
            </w:r>
          </w:p>
        </w:tc>
      </w:tr>
    </w:tbl>
    <w:p w14:paraId="16202BCE" w14:textId="2732BCE2" w:rsidR="006868A2" w:rsidRDefault="006868A2" w:rsidP="006868A2">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w:t>
      </w:r>
      <w:r w:rsidR="00240447">
        <w:rPr>
          <w:rFonts w:eastAsia="Calibri"/>
        </w:rPr>
        <w:t> </w:t>
      </w:r>
      <w:r>
        <w:rPr>
          <w:rFonts w:cstheme="minorHAnsi"/>
          <w:szCs w:val="16"/>
        </w:rPr>
        <w:t>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0F9F6077" w14:textId="77777777" w:rsidR="00D12506" w:rsidRDefault="00D12506" w:rsidP="00BE0EEF">
      <w:pPr>
        <w:rPr>
          <w:rFonts w:cs="Arial"/>
          <w:b/>
          <w:bCs/>
          <w:szCs w:val="16"/>
        </w:rPr>
      </w:pPr>
    </w:p>
    <w:p w14:paraId="472B8AF6" w14:textId="4C72820A"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lastRenderedPageBreak/>
        <w:t>2025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73964D45"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6868A2">
              <w:rPr>
                <w:rFonts w:cs="Arial"/>
                <w:szCs w:val="16"/>
              </w:rPr>
              <w:t>3</w:t>
            </w:r>
            <w:r w:rsidR="0007196B">
              <w:rPr>
                <w:rFonts w:cs="Arial"/>
                <w:szCs w:val="16"/>
              </w:rPr>
              <w:t>)</w:t>
            </w:r>
          </w:p>
        </w:tc>
        <w:tc>
          <w:tcPr>
            <w:tcW w:w="832" w:type="pct"/>
          </w:tcPr>
          <w:p w14:paraId="580F470E"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D25D35A" w14:textId="5FF38E26" w:rsidR="00BE0EEF" w:rsidRPr="00210AC6" w:rsidRDefault="00BE0EEF" w:rsidP="00EE6889">
            <w:pPr>
              <w:rPr>
                <w:rFonts w:cs="Arial"/>
                <w:b/>
                <w:bCs/>
                <w:szCs w:val="16"/>
              </w:rPr>
            </w:pPr>
            <w:r w:rsidRPr="00210AC6">
              <w:rPr>
                <w:rFonts w:cs="Arial"/>
                <w:b/>
                <w:bCs/>
                <w:szCs w:val="16"/>
              </w:rPr>
              <w:t xml:space="preserve">Full Correction of Findings of Noncompliance Identified in FFY 2022 </w:t>
            </w:r>
            <w:r w:rsidR="0007196B">
              <w:rPr>
                <w:rFonts w:cs="Arial"/>
                <w:szCs w:val="16"/>
              </w:rPr>
              <w:t>(</w:t>
            </w:r>
            <w:r w:rsidR="006868A2">
              <w:rPr>
                <w:rFonts w:cs="Arial"/>
                <w:szCs w:val="16"/>
              </w:rPr>
              <w:t>4</w:t>
            </w:r>
            <w:r w:rsidR="0007196B">
              <w:rPr>
                <w:rFonts w:cs="Arial"/>
                <w:szCs w:val="16"/>
              </w:rPr>
              <w:t>)</w:t>
            </w:r>
          </w:p>
        </w:tc>
        <w:tc>
          <w:tcPr>
            <w:tcW w:w="832" w:type="pct"/>
          </w:tcPr>
          <w:p w14:paraId="0F2A19C9"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0.00%</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2</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0.00%</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99.37%</w:t>
            </w:r>
          </w:p>
        </w:tc>
        <w:tc>
          <w:tcPr>
            <w:tcW w:w="832" w:type="pct"/>
          </w:tcPr>
          <w:p w14:paraId="379B6676" w14:textId="76488CD7" w:rsidR="00AA1152" w:rsidRPr="00210AC6" w:rsidRDefault="00AA1152" w:rsidP="00AA1152">
            <w:pPr>
              <w:rPr>
                <w:rFonts w:cs="Arial"/>
                <w:szCs w:val="16"/>
              </w:rPr>
            </w:pPr>
            <w:r w:rsidRPr="00210AC6">
              <w:rPr>
                <w:rFonts w:cs="Arial"/>
                <w:szCs w:val="16"/>
              </w:rPr>
              <w:t>YES</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99.37%</w:t>
            </w:r>
          </w:p>
        </w:tc>
        <w:tc>
          <w:tcPr>
            <w:tcW w:w="832" w:type="pct"/>
          </w:tcPr>
          <w:p w14:paraId="6054F9DF" w14:textId="274B8111"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79.46%</w:t>
            </w:r>
          </w:p>
        </w:tc>
        <w:tc>
          <w:tcPr>
            <w:tcW w:w="832" w:type="pct"/>
          </w:tcPr>
          <w:p w14:paraId="3F499F14" w14:textId="09C97ADF" w:rsidR="00AA1152" w:rsidRPr="00210AC6" w:rsidRDefault="00AA1152" w:rsidP="00AA1152">
            <w:pPr>
              <w:rPr>
                <w:rFonts w:cs="Arial"/>
                <w:szCs w:val="16"/>
              </w:rPr>
            </w:pPr>
            <w:r w:rsidRPr="00210AC6">
              <w:rPr>
                <w:rFonts w:cs="Arial"/>
                <w:szCs w:val="16"/>
              </w:rPr>
              <w:t>YES</w:t>
            </w:r>
          </w:p>
        </w:tc>
        <w:tc>
          <w:tcPr>
            <w:tcW w:w="832" w:type="pct"/>
          </w:tcPr>
          <w:p w14:paraId="06689058" w14:textId="117B6780" w:rsidR="00AA1152" w:rsidRPr="00210AC6" w:rsidRDefault="00AA1152" w:rsidP="00AA1152">
            <w:pPr>
              <w:rPr>
                <w:rFonts w:cs="Arial"/>
                <w:szCs w:val="16"/>
              </w:rPr>
            </w:pPr>
            <w:r w:rsidRPr="00210AC6">
              <w:rPr>
                <w:rFonts w:cs="Arial"/>
                <w:szCs w:val="16"/>
              </w:rPr>
              <w:t>1</w:t>
            </w:r>
          </w:p>
        </w:tc>
      </w:tr>
      <w:tr w:rsidR="000120DA" w:rsidRPr="00210AC6" w14:paraId="46E06F08" w14:textId="77777777" w:rsidTr="00FB3F34">
        <w:tc>
          <w:tcPr>
            <w:tcW w:w="2504" w:type="pct"/>
          </w:tcPr>
          <w:p w14:paraId="0A3EDEC0" w14:textId="059C83BE" w:rsidR="000120DA" w:rsidRPr="00210AC6" w:rsidRDefault="000120DA" w:rsidP="00AA1152">
            <w:pPr>
              <w:rPr>
                <w:rFonts w:cs="Arial"/>
                <w:b/>
                <w:bCs/>
                <w:szCs w:val="16"/>
              </w:rPr>
            </w:pPr>
            <w:r>
              <w:rPr>
                <w:rFonts w:cs="Arial"/>
                <w:b/>
                <w:bCs/>
                <w:szCs w:val="16"/>
              </w:rPr>
              <w:t>Indicator 18: General Supervision</w:t>
            </w:r>
          </w:p>
        </w:tc>
        <w:tc>
          <w:tcPr>
            <w:tcW w:w="832" w:type="pct"/>
          </w:tcPr>
          <w:p w14:paraId="28F421ED" w14:textId="5AD3F7C3" w:rsidR="000120DA" w:rsidRPr="00210AC6" w:rsidRDefault="004918B3" w:rsidP="00AA1152">
            <w:pPr>
              <w:rPr>
                <w:rFonts w:cs="Arial"/>
                <w:szCs w:val="16"/>
              </w:rPr>
            </w:pPr>
            <w:r w:rsidRPr="00210AC6">
              <w:rPr>
                <w:rFonts w:cs="Arial"/>
                <w:szCs w:val="16"/>
              </w:rPr>
              <w:t>100.00%</w:t>
            </w:r>
          </w:p>
        </w:tc>
        <w:tc>
          <w:tcPr>
            <w:tcW w:w="832" w:type="pct"/>
          </w:tcPr>
          <w:p w14:paraId="38C64116" w14:textId="4ACB1259" w:rsidR="000120DA" w:rsidRPr="00210AC6" w:rsidRDefault="004918B3" w:rsidP="00AA1152">
            <w:pPr>
              <w:rPr>
                <w:rFonts w:cs="Arial"/>
                <w:szCs w:val="16"/>
              </w:rPr>
            </w:pPr>
            <w:r w:rsidRPr="00210AC6">
              <w:rPr>
                <w:rFonts w:cs="Arial"/>
                <w:szCs w:val="16"/>
              </w:rPr>
              <w:t>YES</w:t>
            </w:r>
          </w:p>
        </w:tc>
        <w:tc>
          <w:tcPr>
            <w:tcW w:w="832" w:type="pct"/>
          </w:tcPr>
          <w:p w14:paraId="28BBC77A" w14:textId="6E4C402E" w:rsidR="000120DA" w:rsidRPr="00210AC6" w:rsidRDefault="004918B3" w:rsidP="00AA1152">
            <w:pPr>
              <w:rPr>
                <w:rFonts w:cs="Arial"/>
                <w:szCs w:val="16"/>
              </w:rPr>
            </w:pPr>
            <w:r w:rsidRPr="00210AC6">
              <w:rPr>
                <w:rFonts w:cs="Arial"/>
                <w:szCs w:val="16"/>
              </w:rPr>
              <w:t>2</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97.62%</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2</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0.00%</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0</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N/A</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N/A</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2</w:t>
            </w:r>
          </w:p>
        </w:tc>
      </w:tr>
      <w:tr w:rsidR="00210AC6" w:rsidRPr="00210AC6" w14:paraId="37FD1A53" w14:textId="77777777" w:rsidTr="00AA1152">
        <w:tc>
          <w:tcPr>
            <w:tcW w:w="2504" w:type="pct"/>
          </w:tcPr>
          <w:p w14:paraId="3FB1DF49" w14:textId="3CF86348" w:rsidR="00AA1152" w:rsidRPr="00210AC6" w:rsidRDefault="00AF1F7D" w:rsidP="00FB3CF2">
            <w:pPr>
              <w:ind w:left="720"/>
              <w:rPr>
                <w:rFonts w:cs="Arial"/>
                <w:b/>
                <w:bCs/>
                <w:szCs w:val="16"/>
              </w:rPr>
            </w:pPr>
            <w:r>
              <w:rPr>
                <w:rFonts w:cs="Arial"/>
                <w:b/>
                <w:bCs/>
                <w:szCs w:val="16"/>
              </w:rPr>
              <w:t>Programmatic 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4BDEF506" w14:textId="09323CA3" w:rsidR="006868A2" w:rsidRDefault="006868A2" w:rsidP="006868A2">
      <w:pPr>
        <w:spacing w:before="0" w:after="120" w:line="276" w:lineRule="auto"/>
        <w:rPr>
          <w:b/>
          <w:bCs/>
          <w:szCs w:val="16"/>
        </w:rPr>
      </w:pPr>
      <w:r w:rsidRPr="00845B9B">
        <w:rPr>
          <w:b/>
          <w:bCs/>
          <w:szCs w:val="16"/>
        </w:rPr>
        <w:t xml:space="preserve">(3) The complete language for each indicator is located in the Part B SPP/APR Indicator Measurement Table at: </w:t>
      </w:r>
      <w:hyperlink w:history="1"/>
      <w:hyperlink r:id="rId14" w:history="1">
        <w:r w:rsidR="008F7972" w:rsidRPr="00351886">
          <w:rPr>
            <w:rStyle w:val="Hyperlink"/>
          </w:rPr>
          <w:t>https://sites.ed.gov/idea/files/FFY2023-Part-B-SPP-APR-Reformatted-Measurement-Table.pdf</w:t>
        </w:r>
      </w:hyperlink>
    </w:p>
    <w:p w14:paraId="436AB63B" w14:textId="40D0EF0F" w:rsidR="006868A2" w:rsidRDefault="006868A2" w:rsidP="006868A2">
      <w:pPr>
        <w:spacing w:before="0" w:after="120" w:line="276" w:lineRule="auto"/>
        <w:rPr>
          <w:b/>
          <w:bCs/>
        </w:rPr>
      </w:pPr>
      <w:r>
        <w:rPr>
          <w:b/>
          <w:bCs/>
          <w:szCs w:val="16"/>
        </w:rPr>
        <w:t>(</w:t>
      </w:r>
      <w:r>
        <w:rPr>
          <w:b/>
          <w:bCs/>
        </w:rPr>
        <w:t xml:space="preserve">4) </w:t>
      </w:r>
      <w:r>
        <w:rPr>
          <w:b/>
        </w:rPr>
        <w:t>This column reflects full correction, which is factored into the scoring only when the compliance data are &gt;=5% and &lt;10% for Indicators 4B, 9, and 10, and &gt;=90% and &lt;95% for Indicators 11, 12, 13</w:t>
      </w:r>
      <w:r w:rsidR="003C6A5B">
        <w:rPr>
          <w:b/>
          <w:bCs/>
        </w:rPr>
        <w:t xml:space="preserve"> and 18</w:t>
      </w:r>
      <w:r w:rsidR="008F7972">
        <w:rPr>
          <w:b/>
          <w:bCs/>
        </w:rPr>
        <w:t>.</w:t>
      </w:r>
    </w:p>
    <w:p w14:paraId="089CABA4" w14:textId="1E1C8E8E" w:rsidR="00D1413B" w:rsidRPr="00D1413B" w:rsidRDefault="00D1413B" w:rsidP="00D1413B">
      <w:pPr>
        <w:spacing w:before="0" w:after="120" w:line="276" w:lineRule="auto"/>
        <w:rPr>
          <w:b/>
          <w:bCs/>
        </w:rPr>
      </w:pPr>
      <w:r>
        <w:rPr>
          <w:rFonts w:cs="Arial"/>
          <w:b/>
          <w:bCs/>
          <w:szCs w:val="16"/>
        </w:rPr>
        <w:br w:type="page"/>
      </w:r>
    </w:p>
    <w:p w14:paraId="21D0B112" w14:textId="38C1A016" w:rsidR="00FF25CA" w:rsidRDefault="00FF25CA">
      <w:pPr>
        <w:spacing w:before="0" w:after="200" w:line="276" w:lineRule="auto"/>
        <w:rPr>
          <w:rFonts w:cs="Arial"/>
          <w:b/>
          <w:szCs w:val="16"/>
        </w:rPr>
      </w:pPr>
      <w:r>
        <w:rPr>
          <w:rFonts w:cs="Arial"/>
          <w:b/>
          <w:szCs w:val="16"/>
        </w:rPr>
        <w:lastRenderedPageBreak/>
        <w:br w:type="page"/>
      </w:r>
    </w:p>
    <w:p w14:paraId="78EC037B" w14:textId="77777777" w:rsidR="006868A2" w:rsidRDefault="006868A2" w:rsidP="006868A2">
      <w:pPr>
        <w:rPr>
          <w:rFonts w:cs="Arial"/>
          <w:color w:val="C00000"/>
          <w:szCs w:val="16"/>
        </w:rPr>
      </w:pPr>
    </w:p>
    <w:p w14:paraId="114E74CE" w14:textId="77777777" w:rsidR="006868A2" w:rsidRDefault="006868A2" w:rsidP="006868A2">
      <w:pPr>
        <w:spacing w:before="0" w:after="200" w:line="276" w:lineRule="auto"/>
        <w:rPr>
          <w:rFonts w:cs="Arial"/>
          <w:b/>
          <w:szCs w:val="16"/>
        </w:rPr>
      </w:pPr>
      <w:r>
        <w:rPr>
          <w:rFonts w:cs="Arial"/>
          <w:b/>
          <w:szCs w:val="16"/>
        </w:rPr>
        <w:br w:type="page"/>
      </w:r>
    </w:p>
    <w:p w14:paraId="329F2F2C" w14:textId="63E09295" w:rsidR="006A44D8" w:rsidRPr="00845B9B" w:rsidRDefault="006A44D8" w:rsidP="00845B9B">
      <w:pPr>
        <w:spacing w:before="0" w:after="120" w:line="276" w:lineRule="auto"/>
        <w:rPr>
          <w:b/>
          <w:bCs/>
          <w:szCs w:val="16"/>
        </w:rPr>
      </w:pPr>
      <w:r w:rsidRPr="00845B9B">
        <w:rPr>
          <w:b/>
          <w:bCs/>
        </w:rPr>
        <w:lastRenderedPageBreak/>
        <w:br w:type="page"/>
      </w:r>
    </w:p>
    <w:p w14:paraId="594193B2" w14:textId="16D7A99F" w:rsidR="00BE0EEF" w:rsidRDefault="00BE0EEF" w:rsidP="00BE0EEF">
      <w:pPr>
        <w:pStyle w:val="Heading2"/>
      </w:pPr>
      <w:r w:rsidRPr="003E43D9">
        <w:lastRenderedPageBreak/>
        <w:t>Data Rubric</w:t>
      </w:r>
    </w:p>
    <w:p w14:paraId="174BC165" w14:textId="02F99E88" w:rsidR="00D1413B" w:rsidRPr="00D1413B" w:rsidRDefault="00D1413B" w:rsidP="00D1413B">
      <w:pPr>
        <w:rPr>
          <w:b/>
          <w:bCs/>
          <w:sz w:val="18"/>
          <w:szCs w:val="18"/>
        </w:rPr>
      </w:pPr>
      <w:r w:rsidRPr="00D1413B">
        <w:rPr>
          <w:b/>
          <w:bCs/>
          <w:sz w:val="18"/>
          <w:szCs w:val="18"/>
        </w:rPr>
        <w:t>Louisiana</w:t>
      </w:r>
    </w:p>
    <w:p w14:paraId="24531E0C" w14:textId="77777777" w:rsidR="006B6EF0" w:rsidRDefault="006B6EF0" w:rsidP="006B6EF0"/>
    <w:p w14:paraId="27E7D5D5" w14:textId="371BE3C2" w:rsidR="00110BB6" w:rsidRPr="00845B9B" w:rsidRDefault="00110BB6" w:rsidP="006B6EF0">
      <w:pPr>
        <w:rPr>
          <w:b/>
          <w:bCs/>
        </w:rPr>
      </w:pPr>
      <w:r w:rsidRPr="00845B9B">
        <w:rPr>
          <w:b/>
          <w:bCs/>
        </w:rPr>
        <w:t>FFY 2023 APR</w:t>
      </w:r>
      <w:r w:rsidR="006B6EF0">
        <w:t xml:space="preserve"> (1)</w:t>
      </w:r>
    </w:p>
    <w:p w14:paraId="09616E16" w14:textId="66FAE548"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3A3A0C16" w14:textId="77777777" w:rsidTr="00845B9B">
        <w:trPr>
          <w:trHeight w:val="432"/>
        </w:trPr>
        <w:tc>
          <w:tcPr>
            <w:tcW w:w="1866" w:type="dxa"/>
            <w:vAlign w:val="center"/>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845B9B">
        <w:trPr>
          <w:trHeight w:val="432"/>
        </w:trPr>
        <w:tc>
          <w:tcPr>
            <w:tcW w:w="1866" w:type="dxa"/>
            <w:vAlign w:val="center"/>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845B9B">
        <w:trPr>
          <w:trHeight w:val="432"/>
        </w:trPr>
        <w:tc>
          <w:tcPr>
            <w:tcW w:w="1866" w:type="dxa"/>
            <w:vAlign w:val="center"/>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845B9B">
        <w:trPr>
          <w:trHeight w:val="432"/>
        </w:trPr>
        <w:tc>
          <w:tcPr>
            <w:tcW w:w="1866" w:type="dxa"/>
            <w:vAlign w:val="center"/>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B04E7EB" w14:textId="77777777" w:rsidTr="00845B9B">
        <w:trPr>
          <w:trHeight w:val="432"/>
        </w:trPr>
        <w:tc>
          <w:tcPr>
            <w:tcW w:w="1866" w:type="dxa"/>
            <w:vAlign w:val="center"/>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E4959E" w14:textId="77777777" w:rsidTr="00845B9B">
        <w:trPr>
          <w:trHeight w:val="432"/>
        </w:trPr>
        <w:tc>
          <w:tcPr>
            <w:tcW w:w="1866" w:type="dxa"/>
            <w:vAlign w:val="center"/>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844CEDC" w14:textId="77777777" w:rsidTr="00845B9B">
        <w:trPr>
          <w:trHeight w:val="432"/>
        </w:trPr>
        <w:tc>
          <w:tcPr>
            <w:tcW w:w="1866" w:type="dxa"/>
            <w:vAlign w:val="center"/>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88C09" w14:textId="77777777" w:rsidTr="00845B9B">
        <w:trPr>
          <w:trHeight w:val="432"/>
        </w:trPr>
        <w:tc>
          <w:tcPr>
            <w:tcW w:w="1866" w:type="dxa"/>
            <w:vAlign w:val="center"/>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845B9B">
        <w:trPr>
          <w:trHeight w:val="432"/>
        </w:trPr>
        <w:tc>
          <w:tcPr>
            <w:tcW w:w="1866" w:type="dxa"/>
            <w:vAlign w:val="center"/>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06E39B" w14:textId="77777777" w:rsidTr="00845B9B">
        <w:trPr>
          <w:trHeight w:val="432"/>
        </w:trPr>
        <w:tc>
          <w:tcPr>
            <w:tcW w:w="1866" w:type="dxa"/>
            <w:vAlign w:val="center"/>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845B9B">
        <w:trPr>
          <w:trHeight w:val="432"/>
        </w:trPr>
        <w:tc>
          <w:tcPr>
            <w:tcW w:w="1866" w:type="dxa"/>
            <w:vAlign w:val="center"/>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845B9B">
        <w:trPr>
          <w:trHeight w:val="432"/>
        </w:trPr>
        <w:tc>
          <w:tcPr>
            <w:tcW w:w="1866" w:type="dxa"/>
            <w:vAlign w:val="center"/>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845B9B">
        <w:trPr>
          <w:trHeight w:val="432"/>
        </w:trPr>
        <w:tc>
          <w:tcPr>
            <w:tcW w:w="1866" w:type="dxa"/>
            <w:vAlign w:val="center"/>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845B9B">
        <w:trPr>
          <w:trHeight w:val="432"/>
        </w:trPr>
        <w:tc>
          <w:tcPr>
            <w:tcW w:w="1866" w:type="dxa"/>
            <w:vAlign w:val="center"/>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845B9B">
        <w:trPr>
          <w:trHeight w:val="432"/>
        </w:trPr>
        <w:tc>
          <w:tcPr>
            <w:tcW w:w="1866" w:type="dxa"/>
            <w:vAlign w:val="center"/>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845B9B">
        <w:trPr>
          <w:trHeight w:val="432"/>
        </w:trPr>
        <w:tc>
          <w:tcPr>
            <w:tcW w:w="1866" w:type="dxa"/>
            <w:vAlign w:val="center"/>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845B9B">
        <w:trPr>
          <w:trHeight w:val="432"/>
        </w:trPr>
        <w:tc>
          <w:tcPr>
            <w:tcW w:w="1866" w:type="dxa"/>
            <w:vAlign w:val="center"/>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845B9B">
        <w:trPr>
          <w:trHeight w:val="432"/>
        </w:trPr>
        <w:tc>
          <w:tcPr>
            <w:tcW w:w="1866" w:type="dxa"/>
            <w:vAlign w:val="center"/>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845B9B">
        <w:trPr>
          <w:trHeight w:val="432"/>
        </w:trPr>
        <w:tc>
          <w:tcPr>
            <w:tcW w:w="1866" w:type="dxa"/>
            <w:vAlign w:val="center"/>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845B9B">
        <w:trPr>
          <w:trHeight w:val="432"/>
        </w:trPr>
        <w:tc>
          <w:tcPr>
            <w:tcW w:w="1866" w:type="dxa"/>
            <w:vAlign w:val="center"/>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845B9B">
        <w:trPr>
          <w:trHeight w:val="432"/>
        </w:trPr>
        <w:tc>
          <w:tcPr>
            <w:tcW w:w="1866" w:type="dxa"/>
            <w:vAlign w:val="center"/>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845B9B">
        <w:trPr>
          <w:trHeight w:val="432"/>
        </w:trPr>
        <w:tc>
          <w:tcPr>
            <w:tcW w:w="1866" w:type="dxa"/>
            <w:vAlign w:val="center"/>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r w:rsidR="008420E4" w:rsidRPr="00210AC6" w14:paraId="78C4B1A5" w14:textId="77777777" w:rsidTr="00845B9B">
        <w:trPr>
          <w:trHeight w:val="432"/>
        </w:trPr>
        <w:tc>
          <w:tcPr>
            <w:tcW w:w="1866" w:type="dxa"/>
            <w:vAlign w:val="center"/>
          </w:tcPr>
          <w:p w14:paraId="5D07E4F2" w14:textId="416ECB16" w:rsidR="008420E4" w:rsidRPr="00210AC6" w:rsidRDefault="008420E4" w:rsidP="006620B0">
            <w:pPr>
              <w:spacing w:before="0" w:after="0"/>
              <w:jc w:val="center"/>
              <w:rPr>
                <w:rFonts w:eastAsia="Times New Roman" w:cs="Arial"/>
                <w:b/>
                <w:bCs/>
                <w:szCs w:val="16"/>
              </w:rPr>
            </w:pPr>
            <w:r>
              <w:rPr>
                <w:rFonts w:eastAsia="Times New Roman" w:cs="Arial"/>
                <w:b/>
                <w:bCs/>
                <w:szCs w:val="16"/>
              </w:rPr>
              <w:t>18</w:t>
            </w:r>
          </w:p>
        </w:tc>
        <w:tc>
          <w:tcPr>
            <w:tcW w:w="5260" w:type="dxa"/>
            <w:vAlign w:val="center"/>
          </w:tcPr>
          <w:p w14:paraId="12E6FBDF" w14:textId="7DA0C7EC" w:rsidR="008420E4" w:rsidRPr="00210AC6" w:rsidRDefault="008420E4" w:rsidP="006620B0">
            <w:pPr>
              <w:spacing w:before="0" w:after="0"/>
              <w:jc w:val="center"/>
              <w:rPr>
                <w:rFonts w:cs="Arial"/>
                <w:szCs w:val="16"/>
              </w:rPr>
            </w:pPr>
            <w:r>
              <w:rPr>
                <w:rFonts w:cs="Arial"/>
                <w:szCs w:val="16"/>
              </w:rPr>
              <w:t>1</w:t>
            </w:r>
          </w:p>
        </w:tc>
        <w:tc>
          <w:tcPr>
            <w:tcW w:w="2698" w:type="dxa"/>
            <w:vAlign w:val="center"/>
          </w:tcPr>
          <w:p w14:paraId="42595954" w14:textId="351B32A9" w:rsidR="008420E4" w:rsidRPr="00210AC6" w:rsidRDefault="008420E4" w:rsidP="006620B0">
            <w:pPr>
              <w:spacing w:before="0" w:after="0"/>
              <w:jc w:val="center"/>
              <w:rPr>
                <w:rFonts w:cs="Arial"/>
                <w:szCs w:val="16"/>
              </w:rPr>
            </w:pPr>
            <w:r>
              <w:rPr>
                <w:rFonts w:cs="Arial"/>
                <w:szCs w:val="16"/>
              </w:rPr>
              <w:t>1</w:t>
            </w:r>
          </w:p>
        </w:tc>
      </w:tr>
    </w:tbl>
    <w:p w14:paraId="4B6D9F0C" w14:textId="295BC79F" w:rsidR="00570930" w:rsidRDefault="00570930" w:rsidP="00BE0EEF">
      <w:pPr>
        <w:rPr>
          <w:rFonts w:cs="Arial"/>
          <w:szCs w:val="16"/>
        </w:rPr>
      </w:pPr>
    </w:p>
    <w:p w14:paraId="02F3B0C9" w14:textId="2D9C5F68"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7AD3A98" w14:textId="77777777" w:rsidTr="00845B9B">
        <w:trPr>
          <w:trHeight w:val="432"/>
        </w:trPr>
        <w:tc>
          <w:tcPr>
            <w:tcW w:w="5260" w:type="dxa"/>
            <w:vAlign w:val="center"/>
            <w:hideMark/>
          </w:tcPr>
          <w:p w14:paraId="145B239F"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0772517F" w14:textId="77777777" w:rsidR="006B6EF0" w:rsidRPr="00210AC6" w:rsidRDefault="006B6EF0" w:rsidP="00EE6889">
            <w:pPr>
              <w:spacing w:before="0" w:after="0"/>
              <w:jc w:val="center"/>
              <w:rPr>
                <w:rFonts w:eastAsia="Times New Roman" w:cs="Arial"/>
                <w:szCs w:val="16"/>
              </w:rPr>
            </w:pPr>
            <w:r w:rsidRPr="00210AC6">
              <w:rPr>
                <w:rFonts w:cs="Arial"/>
                <w:szCs w:val="16"/>
              </w:rPr>
              <w:t>22</w:t>
            </w:r>
          </w:p>
        </w:tc>
      </w:tr>
      <w:tr w:rsidR="006B6EF0" w:rsidRPr="00210AC6" w14:paraId="713BDF54" w14:textId="77777777" w:rsidTr="00845B9B">
        <w:trPr>
          <w:trHeight w:val="701"/>
        </w:trPr>
        <w:tc>
          <w:tcPr>
            <w:tcW w:w="5260" w:type="dxa"/>
            <w:vAlign w:val="center"/>
            <w:hideMark/>
          </w:tcPr>
          <w:p w14:paraId="5BADC1AB" w14:textId="39272375"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sidR="00D215D5">
              <w:rPr>
                <w:rFonts w:eastAsia="Times New Roman" w:cs="Arial"/>
                <w:szCs w:val="16"/>
              </w:rPr>
              <w:t>3</w:t>
            </w:r>
            <w:r w:rsidRPr="00210AC6">
              <w:rPr>
                <w:rFonts w:eastAsia="Times New Roman" w:cs="Arial"/>
                <w:szCs w:val="16"/>
              </w:rPr>
              <w:t xml:space="preserve"> APR was submitted on-time, place the number 5 in the cell on the right.</w:t>
            </w:r>
          </w:p>
        </w:tc>
        <w:tc>
          <w:tcPr>
            <w:tcW w:w="2698" w:type="dxa"/>
            <w:vAlign w:val="center"/>
            <w:hideMark/>
          </w:tcPr>
          <w:p w14:paraId="33EB9EE7"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75C39484" w14:textId="77777777" w:rsidTr="00845B9B">
        <w:trPr>
          <w:trHeight w:val="432"/>
        </w:trPr>
        <w:tc>
          <w:tcPr>
            <w:tcW w:w="5260" w:type="dxa"/>
            <w:vAlign w:val="center"/>
            <w:hideMark/>
          </w:tcPr>
          <w:p w14:paraId="20F38A6F"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3A1293F9" w14:textId="77777777" w:rsidR="006B6EF0" w:rsidRPr="00210AC6" w:rsidRDefault="006B6EF0" w:rsidP="00EE6889">
            <w:pPr>
              <w:spacing w:before="0" w:after="0"/>
              <w:jc w:val="center"/>
              <w:rPr>
                <w:rFonts w:eastAsia="Times New Roman" w:cs="Arial"/>
                <w:szCs w:val="16"/>
              </w:rPr>
            </w:pPr>
            <w:r w:rsidRPr="00210AC6">
              <w:rPr>
                <w:rFonts w:cs="Arial"/>
                <w:szCs w:val="16"/>
              </w:rPr>
              <w:t>27</w:t>
            </w:r>
          </w:p>
        </w:tc>
      </w:tr>
    </w:tbl>
    <w:p w14:paraId="64E8A13E" w14:textId="77777777" w:rsidR="006B6EF0" w:rsidRDefault="006B6EF0" w:rsidP="00BE0EEF">
      <w:pPr>
        <w:rPr>
          <w:rFonts w:cs="Arial"/>
          <w:szCs w:val="16"/>
        </w:rPr>
      </w:pPr>
    </w:p>
    <w:p w14:paraId="0B899F42" w14:textId="20D25269" w:rsidR="006B6EF0" w:rsidRPr="00845B9B" w:rsidRDefault="006B6EF0" w:rsidP="00BE0EEF">
      <w:pPr>
        <w:rPr>
          <w:rFonts w:cs="Arial"/>
          <w:b/>
          <w:bCs/>
          <w:szCs w:val="16"/>
        </w:rPr>
      </w:pPr>
      <w:r w:rsidRPr="00845B9B">
        <w:rPr>
          <w:rFonts w:eastAsia="Times New Roman" w:cs="Arial"/>
          <w:b/>
          <w:bCs/>
          <w:szCs w:val="16"/>
        </w:rPr>
        <w:lastRenderedPageBreak/>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14:paraId="4105F8D3" w14:textId="77777777" w:rsidR="00570930" w:rsidRDefault="00570930">
      <w:pPr>
        <w:spacing w:before="0" w:after="200" w:line="276" w:lineRule="auto"/>
        <w:rPr>
          <w:rFonts w:cs="Arial"/>
          <w:szCs w:val="16"/>
        </w:rPr>
      </w:pPr>
      <w:r>
        <w:rPr>
          <w:rFonts w:cs="Arial"/>
          <w:szCs w:val="16"/>
        </w:rPr>
        <w:br w:type="page"/>
      </w:r>
    </w:p>
    <w:p w14:paraId="0BF0A0F6" w14:textId="727DF3E9"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1B30C60F" w14:textId="77777777" w:rsidTr="00845B9B">
        <w:trPr>
          <w:trHeight w:val="576"/>
        </w:trPr>
        <w:tc>
          <w:tcPr>
            <w:tcW w:w="1968" w:type="dxa"/>
            <w:vAlign w:val="center"/>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845B9B">
        <w:trPr>
          <w:trHeight w:val="576"/>
        </w:trPr>
        <w:tc>
          <w:tcPr>
            <w:tcW w:w="1968" w:type="dxa"/>
            <w:vAlign w:val="center"/>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DFA570D"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Envs </w:t>
            </w:r>
          </w:p>
          <w:p w14:paraId="392AF408" w14:textId="2D88201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7/31/24</w:t>
            </w:r>
          </w:p>
        </w:tc>
        <w:tc>
          <w:tcPr>
            <w:tcW w:w="1968" w:type="dxa"/>
            <w:vAlign w:val="center"/>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845B9B">
        <w:trPr>
          <w:trHeight w:val="576"/>
        </w:trPr>
        <w:tc>
          <w:tcPr>
            <w:tcW w:w="1968" w:type="dxa"/>
            <w:vAlign w:val="center"/>
            <w:hideMark/>
          </w:tcPr>
          <w:p w14:paraId="49555A24" w14:textId="77777777" w:rsidR="00957C31" w:rsidRDefault="00934DC4" w:rsidP="006620B0">
            <w:pPr>
              <w:spacing w:before="0" w:after="0"/>
              <w:jc w:val="center"/>
              <w:rPr>
                <w:rFonts w:eastAsia="Times New Roman" w:cs="Arial"/>
                <w:b/>
                <w:bCs/>
                <w:szCs w:val="16"/>
              </w:rPr>
            </w:pPr>
            <w:r w:rsidRPr="00210AC6">
              <w:rPr>
                <w:rFonts w:eastAsia="Times New Roman" w:cs="Arial"/>
                <w:b/>
                <w:bCs/>
                <w:szCs w:val="16"/>
              </w:rPr>
              <w:t xml:space="preserve">Personnel </w:t>
            </w:r>
          </w:p>
          <w:p w14:paraId="688FF6D9" w14:textId="1FB507FE"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845B9B">
        <w:trPr>
          <w:trHeight w:val="576"/>
        </w:trPr>
        <w:tc>
          <w:tcPr>
            <w:tcW w:w="1968" w:type="dxa"/>
            <w:vAlign w:val="center"/>
            <w:hideMark/>
          </w:tcPr>
          <w:p w14:paraId="10838BF4"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Exiting </w:t>
            </w:r>
          </w:p>
          <w:p w14:paraId="360C4627" w14:textId="4C46D17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74E0C51" w14:textId="77777777" w:rsidTr="00845B9B">
        <w:trPr>
          <w:trHeight w:val="576"/>
        </w:trPr>
        <w:tc>
          <w:tcPr>
            <w:tcW w:w="1968" w:type="dxa"/>
            <w:vAlign w:val="center"/>
            <w:hideMark/>
          </w:tcPr>
          <w:p w14:paraId="1B45D506"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Discipline </w:t>
            </w:r>
          </w:p>
          <w:p w14:paraId="21194B2E" w14:textId="3F5E30E4"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845B9B">
        <w:trPr>
          <w:trHeight w:val="576"/>
        </w:trPr>
        <w:tc>
          <w:tcPr>
            <w:tcW w:w="1968" w:type="dxa"/>
            <w:vAlign w:val="center"/>
            <w:hideMark/>
          </w:tcPr>
          <w:p w14:paraId="5FBF6AF7"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State Assessment </w:t>
            </w:r>
          </w:p>
          <w:p w14:paraId="383B7AAF" w14:textId="7CC150CB"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1/8/25</w:t>
            </w:r>
          </w:p>
        </w:tc>
        <w:tc>
          <w:tcPr>
            <w:tcW w:w="1968" w:type="dxa"/>
            <w:vAlign w:val="center"/>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4565B1AE" w14:textId="77777777" w:rsidTr="00845B9B">
        <w:trPr>
          <w:trHeight w:val="576"/>
        </w:trPr>
        <w:tc>
          <w:tcPr>
            <w:tcW w:w="1968" w:type="dxa"/>
            <w:vAlign w:val="center"/>
            <w:hideMark/>
          </w:tcPr>
          <w:p w14:paraId="6794BDFC"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Dispute Resolution</w:t>
            </w:r>
          </w:p>
          <w:p w14:paraId="60A0C4C6" w14:textId="440D94E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11/13/24</w:t>
            </w:r>
          </w:p>
        </w:tc>
        <w:tc>
          <w:tcPr>
            <w:tcW w:w="1968" w:type="dxa"/>
            <w:vAlign w:val="center"/>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845B9B">
        <w:trPr>
          <w:trHeight w:val="576"/>
        </w:trPr>
        <w:tc>
          <w:tcPr>
            <w:tcW w:w="1968" w:type="dxa"/>
            <w:vAlign w:val="center"/>
            <w:hideMark/>
          </w:tcPr>
          <w:p w14:paraId="093F29B0"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MOE/CEIS </w:t>
            </w:r>
          </w:p>
          <w:p w14:paraId="695E41FD" w14:textId="0A58678B"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9/4/24</w:t>
            </w:r>
          </w:p>
        </w:tc>
        <w:tc>
          <w:tcPr>
            <w:tcW w:w="1968" w:type="dxa"/>
            <w:vAlign w:val="center"/>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0</w:t>
            </w:r>
          </w:p>
        </w:tc>
        <w:tc>
          <w:tcPr>
            <w:tcW w:w="1968" w:type="dxa"/>
            <w:vAlign w:val="center"/>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2</w:t>
            </w:r>
          </w:p>
        </w:tc>
      </w:tr>
    </w:tbl>
    <w:p w14:paraId="19908CB5" w14:textId="6E565737" w:rsidR="00570930" w:rsidRDefault="00570930" w:rsidP="00BE0EEF">
      <w:pPr>
        <w:rPr>
          <w:rFonts w:cs="Arial"/>
          <w:color w:val="000000" w:themeColor="text1"/>
          <w:szCs w:val="16"/>
        </w:rPr>
      </w:pPr>
    </w:p>
    <w:p w14:paraId="6353AB86" w14:textId="55E3F0FB" w:rsidR="006B6EF0" w:rsidRDefault="006B6EF0" w:rsidP="00BE0EEF">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DFF335E" w14:textId="77777777" w:rsidTr="00845B9B">
        <w:trPr>
          <w:trHeight w:val="576"/>
        </w:trPr>
        <w:tc>
          <w:tcPr>
            <w:tcW w:w="7877" w:type="dxa"/>
            <w:vAlign w:val="center"/>
            <w:hideMark/>
          </w:tcPr>
          <w:p w14:paraId="4419B771"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299F43F7" w14:textId="77777777" w:rsidR="006B6EF0" w:rsidRPr="00210AC6" w:rsidRDefault="006B6EF0" w:rsidP="00EE6889">
            <w:pPr>
              <w:spacing w:before="0" w:after="0"/>
              <w:jc w:val="center"/>
              <w:rPr>
                <w:rFonts w:eastAsia="Times New Roman" w:cs="Arial"/>
                <w:szCs w:val="16"/>
              </w:rPr>
            </w:pPr>
            <w:r w:rsidRPr="00210AC6">
              <w:rPr>
                <w:rFonts w:cs="Arial"/>
                <w:szCs w:val="16"/>
              </w:rPr>
              <w:t>20</w:t>
            </w:r>
          </w:p>
        </w:tc>
      </w:tr>
      <w:tr w:rsidR="006B6EF0" w:rsidRPr="00210AC6" w14:paraId="04CC4F36" w14:textId="77777777" w:rsidTr="00845B9B">
        <w:trPr>
          <w:trHeight w:val="576"/>
        </w:trPr>
        <w:tc>
          <w:tcPr>
            <w:tcW w:w="7877" w:type="dxa"/>
            <w:vAlign w:val="center"/>
            <w:hideMark/>
          </w:tcPr>
          <w:p w14:paraId="226298C8" w14:textId="7C8901BB"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w:t>
            </w:r>
            <w:r w:rsidR="00B429D3">
              <w:rPr>
                <w:rFonts w:eastAsia="Times New Roman" w:cs="Arial"/>
                <w:szCs w:val="16"/>
              </w:rPr>
              <w:t>28571429</w:t>
            </w:r>
            <w:r w:rsidRPr="00210AC6">
              <w:rPr>
                <w:rFonts w:eastAsia="Times New Roman" w:cs="Arial"/>
                <w:szCs w:val="16"/>
              </w:rPr>
              <w:t>) =</w:t>
            </w:r>
          </w:p>
        </w:tc>
        <w:tc>
          <w:tcPr>
            <w:tcW w:w="2016" w:type="dxa"/>
            <w:noWrap/>
            <w:vAlign w:val="center"/>
            <w:hideMark/>
          </w:tcPr>
          <w:p w14:paraId="3B8BFF42" w14:textId="77777777" w:rsidR="006B6EF0" w:rsidRPr="00210AC6" w:rsidRDefault="006B6EF0" w:rsidP="00EE6889">
            <w:pPr>
              <w:spacing w:before="0" w:after="0"/>
              <w:jc w:val="center"/>
              <w:rPr>
                <w:rFonts w:eastAsia="Times New Roman" w:cs="Arial"/>
                <w:szCs w:val="16"/>
              </w:rPr>
            </w:pPr>
            <w:r w:rsidRPr="00210AC6">
              <w:rPr>
                <w:rFonts w:cs="Arial"/>
                <w:szCs w:val="16"/>
              </w:rPr>
              <w:t>25.71</w:t>
            </w:r>
          </w:p>
        </w:tc>
      </w:tr>
    </w:tbl>
    <w:p w14:paraId="1144AD44" w14:textId="77777777" w:rsidR="006B6EF0" w:rsidRDefault="006B6EF0" w:rsidP="00BE0EEF">
      <w:pPr>
        <w:rPr>
          <w:rFonts w:cs="Arial"/>
          <w:color w:val="000000" w:themeColor="text1"/>
          <w:szCs w:val="16"/>
        </w:rPr>
      </w:pPr>
    </w:p>
    <w:p w14:paraId="015CC089" w14:textId="39B3A3EA"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In the 618 Data table, when calculating the value in the Total column, any N/As in the Timely, Complete Data, or Passed Edit Checks columns are treated as a ‘0’. An N/A does not negatively affect a State's score; this is because 1.</w:t>
      </w:r>
      <w:r w:rsidR="00B429D3">
        <w:rPr>
          <w:b/>
          <w:bCs/>
          <w:color w:val="000000" w:themeColor="text1"/>
          <w:szCs w:val="16"/>
        </w:rPr>
        <w:t>28571429</w:t>
      </w:r>
      <w:r w:rsidRPr="00845B9B">
        <w:rPr>
          <w:b/>
          <w:bCs/>
          <w:color w:val="000000" w:themeColor="text1"/>
          <w:szCs w:val="16"/>
        </w:rPr>
        <w:t xml:space="preserve"> points </w:t>
      </w:r>
      <w:r w:rsidR="0070077A">
        <w:rPr>
          <w:b/>
          <w:bCs/>
          <w:color w:val="000000" w:themeColor="text1"/>
          <w:szCs w:val="16"/>
        </w:rPr>
        <w:t>are</w:t>
      </w:r>
      <w:r w:rsidR="0070077A" w:rsidRPr="00845B9B">
        <w:rPr>
          <w:b/>
          <w:bCs/>
          <w:color w:val="000000" w:themeColor="text1"/>
          <w:szCs w:val="16"/>
        </w:rPr>
        <w:t xml:space="preserve"> </w:t>
      </w:r>
      <w:r w:rsidRPr="00845B9B">
        <w:rPr>
          <w:b/>
          <w:bCs/>
          <w:color w:val="000000" w:themeColor="text1"/>
          <w:szCs w:val="16"/>
        </w:rPr>
        <w:t>subtracted from the Denominator in the Indicator Calculation table for each cell marked as N/A in the 618 Data table.</w:t>
      </w:r>
      <w:r w:rsidR="00570930" w:rsidRPr="00845B9B">
        <w:rPr>
          <w:rFonts w:cs="Arial"/>
          <w:b/>
          <w:bCs/>
          <w:color w:val="000000" w:themeColor="text1"/>
          <w:szCs w:val="16"/>
        </w:rPr>
        <w:br w:type="page"/>
      </w:r>
    </w:p>
    <w:p w14:paraId="13C7AD77" w14:textId="4441E409"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2A6102B0" w14:textId="77777777" w:rsidTr="003E5D5A">
        <w:trPr>
          <w:trHeight w:val="432"/>
        </w:trPr>
        <w:tc>
          <w:tcPr>
            <w:tcW w:w="6475" w:type="dxa"/>
            <w:vAlign w:val="center"/>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0825BA19" w14:textId="54223086" w:rsidR="00435E51" w:rsidRPr="00210AC6" w:rsidRDefault="00435E51" w:rsidP="003E5D5A">
            <w:pPr>
              <w:spacing w:before="0" w:after="0"/>
              <w:jc w:val="center"/>
              <w:rPr>
                <w:rFonts w:eastAsia="Times New Roman" w:cs="Arial"/>
                <w:szCs w:val="16"/>
              </w:rPr>
            </w:pPr>
            <w:r w:rsidRPr="00210AC6">
              <w:rPr>
                <w:rFonts w:cs="Arial"/>
                <w:szCs w:val="16"/>
              </w:rPr>
              <w:t>27</w:t>
            </w:r>
          </w:p>
        </w:tc>
      </w:tr>
      <w:tr w:rsidR="00435E51" w:rsidRPr="00210AC6" w14:paraId="190B3554" w14:textId="77777777" w:rsidTr="003E5D5A">
        <w:trPr>
          <w:trHeight w:val="432"/>
        </w:trPr>
        <w:tc>
          <w:tcPr>
            <w:tcW w:w="6475" w:type="dxa"/>
            <w:vAlign w:val="center"/>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292F5CE3" w14:textId="3D2DF12B" w:rsidR="00435E51" w:rsidRPr="00210AC6" w:rsidRDefault="00435E51" w:rsidP="003E5D5A">
            <w:pPr>
              <w:spacing w:before="0" w:after="0"/>
              <w:jc w:val="center"/>
              <w:rPr>
                <w:rFonts w:eastAsia="Times New Roman" w:cs="Arial"/>
                <w:szCs w:val="16"/>
              </w:rPr>
            </w:pPr>
            <w:r w:rsidRPr="00435E51">
              <w:t>25.71</w:t>
            </w:r>
          </w:p>
        </w:tc>
      </w:tr>
      <w:tr w:rsidR="00435E51" w:rsidRPr="00210AC6" w14:paraId="7044E659" w14:textId="77777777" w:rsidTr="003E5D5A">
        <w:trPr>
          <w:trHeight w:val="432"/>
        </w:trPr>
        <w:tc>
          <w:tcPr>
            <w:tcW w:w="6475" w:type="dxa"/>
            <w:vAlign w:val="center"/>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EBBA8BB" w14:textId="582D281B" w:rsidR="00435E51" w:rsidRPr="00210AC6" w:rsidRDefault="00435E51" w:rsidP="003E5D5A">
            <w:pPr>
              <w:spacing w:before="0" w:after="0"/>
              <w:jc w:val="center"/>
              <w:rPr>
                <w:rFonts w:eastAsia="Times New Roman" w:cs="Arial"/>
                <w:szCs w:val="16"/>
              </w:rPr>
            </w:pPr>
            <w:r w:rsidRPr="00C1283C">
              <w:t>52.71</w:t>
            </w:r>
          </w:p>
        </w:tc>
      </w:tr>
      <w:tr w:rsidR="00435E51" w:rsidRPr="00210AC6" w14:paraId="6E235E7C" w14:textId="77777777" w:rsidTr="003E5D5A">
        <w:trPr>
          <w:trHeight w:val="432"/>
        </w:trPr>
        <w:tc>
          <w:tcPr>
            <w:tcW w:w="6475" w:type="dxa"/>
            <w:vAlign w:val="center"/>
            <w:hideMark/>
          </w:tcPr>
          <w:p w14:paraId="1E45CB10" w14:textId="17EA6D69"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68BD97C" w14:textId="60485CAD" w:rsidR="00435E51" w:rsidRPr="00210AC6" w:rsidRDefault="00435E51" w:rsidP="003E5D5A">
            <w:pPr>
              <w:spacing w:before="0" w:after="0"/>
              <w:jc w:val="center"/>
              <w:rPr>
                <w:rFonts w:eastAsia="Times New Roman" w:cs="Arial"/>
                <w:szCs w:val="16"/>
              </w:rPr>
            </w:pPr>
            <w:r w:rsidRPr="00C1283C">
              <w:t>0</w:t>
            </w:r>
          </w:p>
        </w:tc>
      </w:tr>
      <w:tr w:rsidR="00435E51" w:rsidRPr="00210AC6" w14:paraId="1162D2AC" w14:textId="77777777" w:rsidTr="003E5D5A">
        <w:trPr>
          <w:trHeight w:val="432"/>
        </w:trPr>
        <w:tc>
          <w:tcPr>
            <w:tcW w:w="6475" w:type="dxa"/>
            <w:vAlign w:val="center"/>
            <w:hideMark/>
          </w:tcPr>
          <w:p w14:paraId="5DEC9F60" w14:textId="1774125D"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59AB081B" w14:textId="0EC0F562" w:rsidR="00435E51" w:rsidRPr="00210AC6" w:rsidRDefault="00435E51" w:rsidP="003E5D5A">
            <w:pPr>
              <w:spacing w:before="0" w:after="0"/>
              <w:jc w:val="center"/>
              <w:rPr>
                <w:rFonts w:eastAsia="Times New Roman" w:cs="Arial"/>
                <w:szCs w:val="16"/>
              </w:rPr>
            </w:pPr>
            <w:r w:rsidRPr="00C1283C">
              <w:t>0.00</w:t>
            </w:r>
          </w:p>
        </w:tc>
      </w:tr>
      <w:tr w:rsidR="00435E51" w:rsidRPr="00210AC6" w14:paraId="028FED6F" w14:textId="77777777" w:rsidTr="003E5D5A">
        <w:trPr>
          <w:trHeight w:val="432"/>
        </w:trPr>
        <w:tc>
          <w:tcPr>
            <w:tcW w:w="6475" w:type="dxa"/>
            <w:vAlign w:val="center"/>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78348E2" w14:textId="6564F030" w:rsidR="00435E51" w:rsidRPr="00210AC6" w:rsidRDefault="00435E51" w:rsidP="003E5D5A">
            <w:pPr>
              <w:spacing w:before="0" w:after="0"/>
              <w:jc w:val="center"/>
              <w:rPr>
                <w:rFonts w:eastAsia="Times New Roman" w:cs="Arial"/>
                <w:szCs w:val="16"/>
              </w:rPr>
            </w:pPr>
            <w:r w:rsidRPr="00C1283C">
              <w:t>54.00</w:t>
            </w:r>
          </w:p>
        </w:tc>
      </w:tr>
      <w:tr w:rsidR="00435E51" w:rsidRPr="00210AC6" w14:paraId="6982C8B2" w14:textId="77777777" w:rsidTr="003E5D5A">
        <w:trPr>
          <w:trHeight w:val="432"/>
        </w:trPr>
        <w:tc>
          <w:tcPr>
            <w:tcW w:w="6475" w:type="dxa"/>
            <w:vAlign w:val="center"/>
            <w:hideMark/>
          </w:tcPr>
          <w:p w14:paraId="66945B04" w14:textId="200619E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474A249" w14:textId="2043387F" w:rsidR="00435E51" w:rsidRPr="00210AC6" w:rsidRDefault="00435E51" w:rsidP="003E5D5A">
            <w:pPr>
              <w:spacing w:before="0" w:after="0"/>
              <w:jc w:val="center"/>
              <w:rPr>
                <w:rFonts w:eastAsia="Times New Roman" w:cs="Arial"/>
                <w:szCs w:val="16"/>
              </w:rPr>
            </w:pPr>
            <w:r w:rsidRPr="00C1283C">
              <w:t>0.9762</w:t>
            </w:r>
          </w:p>
        </w:tc>
      </w:tr>
      <w:tr w:rsidR="00435E51" w:rsidRPr="00210AC6" w14:paraId="7D8A43BC" w14:textId="77777777" w:rsidTr="003E5D5A">
        <w:trPr>
          <w:trHeight w:val="432"/>
        </w:trPr>
        <w:tc>
          <w:tcPr>
            <w:tcW w:w="6475" w:type="dxa"/>
            <w:vAlign w:val="center"/>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78CA2214" w14:textId="6B3E20AB" w:rsidR="00435E51" w:rsidRPr="00210AC6" w:rsidRDefault="00435E51" w:rsidP="003E5D5A">
            <w:pPr>
              <w:spacing w:before="0" w:after="0"/>
              <w:jc w:val="center"/>
              <w:rPr>
                <w:rFonts w:eastAsia="Times New Roman" w:cs="Arial"/>
                <w:szCs w:val="16"/>
              </w:rPr>
            </w:pPr>
            <w:r w:rsidRPr="00C1283C">
              <w:t>97.62</w:t>
            </w:r>
          </w:p>
        </w:tc>
      </w:tr>
    </w:tbl>
    <w:p w14:paraId="769E196A" w14:textId="77777777" w:rsidR="001853BF" w:rsidRDefault="001853BF" w:rsidP="00B42C5F">
      <w:pPr>
        <w:rPr>
          <w:rFonts w:eastAsia="Times New Roman" w:cs="Arial"/>
          <w:b/>
          <w:bCs/>
          <w:szCs w:val="16"/>
        </w:rPr>
      </w:pPr>
    </w:p>
    <w:p w14:paraId="5EFBC357" w14:textId="3E8638ED"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1.28571429.</w:t>
      </w:r>
    </w:p>
    <w:p w14:paraId="78EE533A" w14:textId="77777777" w:rsidR="0078594A" w:rsidRDefault="0078594A" w:rsidP="00D12506">
      <w:pPr>
        <w:rPr>
          <w:rFonts w:eastAsia="Times New Roman" w:cs="Arial"/>
          <w:b/>
          <w:bCs/>
          <w:szCs w:val="16"/>
        </w:rPr>
      </w:pP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6C84D9C5" w14:textId="77777777" w:rsidR="004777CA" w:rsidRDefault="004777CA" w:rsidP="004777CA"/>
    <w:p w14:paraId="3FA33DFF" w14:textId="3E42AA79" w:rsidR="004777CA" w:rsidRPr="008A41E6" w:rsidRDefault="004777CA" w:rsidP="004777CA">
      <w:pPr>
        <w:rPr>
          <w:b/>
          <w:bCs/>
        </w:rPr>
      </w:pPr>
      <w:r w:rsidRPr="008A41E6">
        <w:rPr>
          <w:b/>
          <w:bCs/>
        </w:rPr>
        <w:t>DATE: February 2025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7E824D09" w:rsidR="004777CA" w:rsidRPr="004777CA" w:rsidRDefault="004777CA" w:rsidP="004777CA">
      <w:r w:rsidRPr="004777CA">
        <w:rPr>
          <w:b/>
          <w:bCs/>
        </w:rPr>
        <w:t xml:space="preserve">1) Timely </w:t>
      </w:r>
      <w:r w:rsidRPr="004777CA">
        <w:t>–   A State will receive one point if it submits all ED</w:t>
      </w:r>
      <w:r w:rsidRPr="00BA3DBE">
        <w:rPr>
          <w:i/>
          <w:iCs/>
        </w:rPr>
        <w:t>Facts</w:t>
      </w:r>
      <w:r w:rsidRPr="004777CA">
        <w:t xml:space="preserve"> files or the entire E</w:t>
      </w:r>
      <w:r w:rsidRPr="00BA3DBE">
        <w:rPr>
          <w:i/>
          <w:iCs/>
        </w:rPr>
        <w:t>MAPS</w:t>
      </w:r>
      <w:r w:rsidRPr="004777CA">
        <w:t xml:space="preserve"> survey associated with the IDEA Section 618 data collection to ED by the initial due date for that collection (as described </w:t>
      </w:r>
      <w:r w:rsidR="006A47E8">
        <w:t xml:space="preserve">in </w:t>
      </w:r>
      <w:r w:rsidRPr="004777CA">
        <w:t>the table below)</w:t>
      </w:r>
      <w:r w:rsidR="00D23004" w:rsidRPr="004777CA">
        <w:t xml:space="preserve">.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w:t>
            </w:r>
            <w:r w:rsidRPr="00BA3DBE">
              <w:rPr>
                <w:b/>
                <w:bCs/>
                <w:i/>
                <w:iCs/>
              </w:rPr>
              <w:t>Facts</w:t>
            </w:r>
            <w:r w:rsidRPr="004777CA">
              <w:rPr>
                <w:b/>
                <w:bCs/>
              </w:rPr>
              <w:t xml:space="preserve"> Files/ E</w:t>
            </w:r>
            <w:r w:rsidRPr="00BA3DBE">
              <w:rPr>
                <w:b/>
                <w:bCs/>
                <w:i/>
                <w:iCs/>
              </w:rPr>
              <w:t>MAPS</w:t>
            </w:r>
            <w:r w:rsidRPr="004777CA">
              <w:rPr>
                <w:b/>
                <w:bCs/>
              </w:rPr>
              <w:t xml:space="preserve">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0BDDB042" w:rsidR="004777CA" w:rsidRPr="004777CA" w:rsidRDefault="0054187F">
            <w:r>
              <w:t>FS</w:t>
            </w:r>
            <w:r w:rsidR="004777CA" w:rsidRPr="004777CA">
              <w:t xml:space="preserve">002 &amp; </w:t>
            </w:r>
            <w:r>
              <w:t>FS</w:t>
            </w:r>
            <w:r w:rsidR="004777CA" w:rsidRPr="004777CA">
              <w:t>089</w:t>
            </w:r>
          </w:p>
        </w:tc>
        <w:tc>
          <w:tcPr>
            <w:tcW w:w="3618" w:type="dxa"/>
            <w:hideMark/>
          </w:tcPr>
          <w:p w14:paraId="1A5219CD" w14:textId="1A7C2110" w:rsidR="004777CA" w:rsidRPr="004777CA" w:rsidRDefault="00BD4FA2">
            <w:r>
              <w:t>7</w:t>
            </w:r>
            <w:r w:rsidR="006B068C">
              <w:t>/3</w:t>
            </w:r>
            <w:r>
              <w:t>1</w:t>
            </w:r>
            <w:r w:rsidR="006B068C">
              <w:t>/202</w:t>
            </w:r>
            <w:r>
              <w:t>4</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5C97487D" w:rsidR="004777CA" w:rsidRPr="004777CA" w:rsidRDefault="0054187F">
            <w:r>
              <w:t>FS</w:t>
            </w:r>
            <w:r w:rsidR="004777CA" w:rsidRPr="004777CA">
              <w:t xml:space="preserve">070, </w:t>
            </w:r>
            <w:r>
              <w:t>FS</w:t>
            </w:r>
            <w:r w:rsidR="004777CA" w:rsidRPr="004777CA">
              <w:t xml:space="preserve">099, </w:t>
            </w:r>
            <w:r>
              <w:t>FS</w:t>
            </w:r>
            <w:r w:rsidR="004777CA" w:rsidRPr="004777CA">
              <w:t>112</w:t>
            </w:r>
          </w:p>
        </w:tc>
        <w:tc>
          <w:tcPr>
            <w:tcW w:w="3618" w:type="dxa"/>
            <w:hideMark/>
          </w:tcPr>
          <w:p w14:paraId="4E9B4012" w14:textId="0DDAF0F4" w:rsidR="004777CA" w:rsidRPr="004777CA" w:rsidRDefault="000C6C6A">
            <w:r>
              <w:t>3</w:t>
            </w:r>
            <w:r w:rsidR="006B068C">
              <w:t>/</w:t>
            </w:r>
            <w:r>
              <w:t>5</w:t>
            </w:r>
            <w:r w:rsidR="006B068C">
              <w:t>/202</w:t>
            </w:r>
            <w:r w:rsidR="00BD4FA2">
              <w:t>5</w:t>
            </w:r>
          </w:p>
        </w:tc>
      </w:tr>
      <w:tr w:rsidR="006B068C" w:rsidRPr="004777CA" w14:paraId="2A4CEB99" w14:textId="77777777" w:rsidTr="004777CA">
        <w:trPr>
          <w:trHeight w:val="20"/>
        </w:trPr>
        <w:tc>
          <w:tcPr>
            <w:tcW w:w="2605" w:type="dxa"/>
            <w:hideMark/>
          </w:tcPr>
          <w:p w14:paraId="54105E06" w14:textId="77777777" w:rsidR="006B068C" w:rsidRPr="004777CA" w:rsidRDefault="006B068C" w:rsidP="006B068C">
            <w:r w:rsidRPr="004777CA">
              <w:t>Part B Exiting</w:t>
            </w:r>
          </w:p>
        </w:tc>
        <w:tc>
          <w:tcPr>
            <w:tcW w:w="3617" w:type="dxa"/>
            <w:hideMark/>
          </w:tcPr>
          <w:p w14:paraId="12F3E20D" w14:textId="1DBFEE95" w:rsidR="006B068C" w:rsidRPr="004777CA" w:rsidRDefault="0054187F" w:rsidP="006B068C">
            <w:r>
              <w:t>FS</w:t>
            </w:r>
            <w:r w:rsidR="006B068C" w:rsidRPr="004777CA">
              <w:t>009</w:t>
            </w:r>
          </w:p>
        </w:tc>
        <w:tc>
          <w:tcPr>
            <w:tcW w:w="3618" w:type="dxa"/>
            <w:hideMark/>
          </w:tcPr>
          <w:p w14:paraId="3133C658" w14:textId="634A505B" w:rsidR="006B068C" w:rsidRPr="004777CA" w:rsidRDefault="000C6C6A" w:rsidP="006B068C">
            <w:r>
              <w:t>3</w:t>
            </w:r>
            <w:r w:rsidR="006B068C" w:rsidRPr="00546C82">
              <w:t>/</w:t>
            </w:r>
            <w:r>
              <w:t>5</w:t>
            </w:r>
            <w:r w:rsidR="006B068C" w:rsidRPr="00546C82">
              <w:t>/202</w:t>
            </w:r>
            <w:r w:rsidR="00BD4FA2">
              <w:t>5</w:t>
            </w:r>
          </w:p>
        </w:tc>
      </w:tr>
      <w:tr w:rsidR="006B068C" w:rsidRPr="004777CA" w14:paraId="31D5C68C" w14:textId="77777777" w:rsidTr="004777CA">
        <w:trPr>
          <w:trHeight w:val="20"/>
        </w:trPr>
        <w:tc>
          <w:tcPr>
            <w:tcW w:w="2605" w:type="dxa"/>
            <w:hideMark/>
          </w:tcPr>
          <w:p w14:paraId="63F706F3" w14:textId="77777777" w:rsidR="006B068C" w:rsidRPr="004777CA" w:rsidRDefault="006B068C" w:rsidP="006B068C">
            <w:r w:rsidRPr="004777CA">
              <w:t xml:space="preserve">Part B Discipline </w:t>
            </w:r>
          </w:p>
        </w:tc>
        <w:tc>
          <w:tcPr>
            <w:tcW w:w="3617" w:type="dxa"/>
            <w:hideMark/>
          </w:tcPr>
          <w:p w14:paraId="16D2853A" w14:textId="0C161168" w:rsidR="006B068C" w:rsidRPr="003E5D5A" w:rsidRDefault="0054187F" w:rsidP="006B068C">
            <w:pPr>
              <w:rPr>
                <w:lang w:val="fr-FR"/>
              </w:rPr>
            </w:pPr>
            <w:r w:rsidRPr="003E5D5A">
              <w:rPr>
                <w:lang w:val="fr-FR"/>
              </w:rPr>
              <w:t>FS005, FS006, FS007, FS088, FS143, FS144</w:t>
            </w:r>
          </w:p>
        </w:tc>
        <w:tc>
          <w:tcPr>
            <w:tcW w:w="3618" w:type="dxa"/>
            <w:hideMark/>
          </w:tcPr>
          <w:p w14:paraId="254DB998" w14:textId="69DAA8F5" w:rsidR="006B068C" w:rsidRPr="004777CA" w:rsidRDefault="000C6C6A" w:rsidP="006B068C">
            <w:r>
              <w:t>3</w:t>
            </w:r>
            <w:r w:rsidR="006B068C" w:rsidRPr="00546C82">
              <w:t>/</w:t>
            </w:r>
            <w:r>
              <w:t>5</w:t>
            </w:r>
            <w:r w:rsidR="006B068C" w:rsidRPr="00546C82">
              <w:t>/202</w:t>
            </w:r>
            <w:r w:rsidR="00BD4FA2">
              <w:t>5</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09E179FD" w:rsidR="004777CA" w:rsidRPr="004777CA" w:rsidRDefault="0054187F">
            <w:r>
              <w:t>FS</w:t>
            </w:r>
            <w:r w:rsidR="004777CA" w:rsidRPr="004777CA">
              <w:t xml:space="preserve">175, </w:t>
            </w:r>
            <w:r>
              <w:t>FS</w:t>
            </w:r>
            <w:r w:rsidR="004777CA" w:rsidRPr="004777CA">
              <w:t xml:space="preserve">178, </w:t>
            </w:r>
            <w:r>
              <w:t>FS</w:t>
            </w:r>
            <w:r w:rsidR="004777CA" w:rsidRPr="004777CA">
              <w:t xml:space="preserve">185, </w:t>
            </w:r>
            <w:r>
              <w:t>FS</w:t>
            </w:r>
            <w:r w:rsidR="004777CA" w:rsidRPr="004777CA">
              <w:t>188</w:t>
            </w:r>
          </w:p>
        </w:tc>
        <w:tc>
          <w:tcPr>
            <w:tcW w:w="3618" w:type="dxa"/>
            <w:hideMark/>
          </w:tcPr>
          <w:p w14:paraId="563E4812" w14:textId="0193B5D6" w:rsidR="004777CA" w:rsidRPr="004777CA" w:rsidRDefault="006B068C">
            <w:r>
              <w:t>1/</w:t>
            </w:r>
            <w:r w:rsidR="00BD4FA2">
              <w:t>8</w:t>
            </w:r>
            <w:r>
              <w:t>/202</w:t>
            </w:r>
            <w:r w:rsidR="00BD4FA2">
              <w:t>5</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w:t>
            </w:r>
            <w:r w:rsidRPr="00CC5489">
              <w:rPr>
                <w:i/>
                <w:iCs/>
              </w:rPr>
              <w:t>MAPS</w:t>
            </w:r>
          </w:p>
        </w:tc>
        <w:tc>
          <w:tcPr>
            <w:tcW w:w="3618" w:type="dxa"/>
            <w:hideMark/>
          </w:tcPr>
          <w:p w14:paraId="379E394B" w14:textId="7392CB20" w:rsidR="004777CA" w:rsidRPr="004777CA" w:rsidRDefault="006B068C">
            <w:r>
              <w:t>11/</w:t>
            </w:r>
            <w:r w:rsidR="00BD4FA2">
              <w:t>13</w:t>
            </w:r>
            <w:r>
              <w:t>/202</w:t>
            </w:r>
            <w:r w:rsidR="00BD4FA2">
              <w:t>4</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w:t>
            </w:r>
            <w:r w:rsidRPr="00CC5489">
              <w:rPr>
                <w:i/>
                <w:iCs/>
              </w:rPr>
              <w:t>MAPS</w:t>
            </w:r>
          </w:p>
        </w:tc>
        <w:tc>
          <w:tcPr>
            <w:tcW w:w="3618" w:type="dxa"/>
            <w:hideMark/>
          </w:tcPr>
          <w:p w14:paraId="22308BA5" w14:textId="7D911345" w:rsidR="004777CA" w:rsidRPr="004777CA" w:rsidRDefault="004E6797">
            <w:r>
              <w:t>9</w:t>
            </w:r>
            <w:r w:rsidR="006B068C">
              <w:t>/</w:t>
            </w:r>
            <w:r>
              <w:t>4</w:t>
            </w:r>
            <w:r w:rsidR="006B068C">
              <w:t>/202</w:t>
            </w:r>
            <w:r w:rsidR="00BD4FA2">
              <w:t>4</w:t>
            </w:r>
          </w:p>
        </w:tc>
      </w:tr>
    </w:tbl>
    <w:p w14:paraId="52ACECA5" w14:textId="77777777" w:rsidR="004777CA" w:rsidRDefault="004777CA" w:rsidP="004777CA"/>
    <w:p w14:paraId="4EFF5866" w14:textId="04640FDA"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w:t>
      </w:r>
      <w:r w:rsidR="00030F5E">
        <w:t>.</w:t>
      </w:r>
      <w:r w:rsidR="00351F26" w:rsidRPr="00351F26">
        <w:t xml:space="preserve"> The data and metadata responses submitted to ED</w:t>
      </w:r>
      <w:r w:rsidR="00351F26" w:rsidRPr="003E5D5A">
        <w:rPr>
          <w:i/>
          <w:iCs/>
        </w:rPr>
        <w:t>Facts</w:t>
      </w:r>
      <w:r w:rsidR="00351F26" w:rsidRPr="00351F26">
        <w:t xml:space="preserve"> align</w:t>
      </w:r>
      <w:r w:rsidR="00857A31" w:rsidRPr="004777CA">
        <w:t xml:space="preserve">. </w:t>
      </w:r>
      <w:r w:rsidRPr="004777CA">
        <w:t>State-level data include data from all districts or agencies</w:t>
      </w:r>
      <w:r w:rsidRPr="008A41E6">
        <w:t>.</w:t>
      </w:r>
    </w:p>
    <w:p w14:paraId="34EF2576" w14:textId="77777777" w:rsidR="004777CA" w:rsidRDefault="004777CA" w:rsidP="004777CA"/>
    <w:p w14:paraId="557CE2A1" w14:textId="6F9EE6FD" w:rsidR="004777CA" w:rsidRPr="008A41E6" w:rsidRDefault="004777CA" w:rsidP="004777CA">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00B517B0">
        <w:t>.</w:t>
      </w:r>
      <w:r w:rsidRPr="008A41E6">
        <w:t xml:space="preserve">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lastRenderedPageBreak/>
        <w:t>Dispute Resolution</w:t>
      </w:r>
    </w:p>
    <w:p w14:paraId="02996E50" w14:textId="77777777" w:rsidR="00EE2E01" w:rsidRPr="007367EC" w:rsidRDefault="00EE2E01" w:rsidP="00EE2E01">
      <w:pPr>
        <w:rPr>
          <w:b/>
          <w:bCs/>
          <w:sz w:val="18"/>
          <w:szCs w:val="24"/>
        </w:rPr>
      </w:pPr>
      <w:r w:rsidRPr="007367EC">
        <w:rPr>
          <w:b/>
          <w:bCs/>
          <w:sz w:val="18"/>
          <w:szCs w:val="24"/>
        </w:rPr>
        <w:t>IDEA Part B</w:t>
      </w:r>
    </w:p>
    <w:p w14:paraId="53299F7E" w14:textId="77777777" w:rsidR="00EE2E01" w:rsidRPr="007367EC" w:rsidRDefault="00EE2E01" w:rsidP="00EE2E01">
      <w:pPr>
        <w:rPr>
          <w:b/>
          <w:bCs/>
          <w:sz w:val="18"/>
          <w:szCs w:val="24"/>
        </w:rPr>
      </w:pPr>
      <w:r w:rsidRPr="007367EC">
        <w:rPr>
          <w:b/>
          <w:bCs/>
          <w:sz w:val="18"/>
          <w:szCs w:val="24"/>
        </w:rPr>
        <w:t>Louisiana</w:t>
      </w:r>
    </w:p>
    <w:p w14:paraId="7ED899F6" w14:textId="3A3579C7" w:rsidR="00EE2E01" w:rsidRPr="007367EC" w:rsidRDefault="00EE2E01" w:rsidP="00EE2E01">
      <w:pPr>
        <w:rPr>
          <w:b/>
          <w:bCs/>
          <w:sz w:val="18"/>
          <w:szCs w:val="24"/>
        </w:rPr>
      </w:pPr>
      <w:r>
        <w:rPr>
          <w:b/>
          <w:bCs/>
          <w:sz w:val="18"/>
          <w:szCs w:val="24"/>
        </w:rPr>
        <w:t>School Year: 2023-24</w:t>
      </w:r>
    </w:p>
    <w:p w14:paraId="56976681" w14:textId="77777777" w:rsidR="00EE2E01" w:rsidRPr="00320834" w:rsidRDefault="00EE2E01" w:rsidP="00EE2E01"/>
    <w:p w14:paraId="1CFE72DB"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35E1D8F8"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6888EB96" w14:textId="77777777" w:rsidR="00EE2E01" w:rsidRPr="00A21F84" w:rsidRDefault="00EE2E01">
            <w:pPr>
              <w:rPr>
                <w:rFonts w:cs="Arial"/>
                <w:b/>
                <w:bCs/>
                <w:szCs w:val="16"/>
              </w:rPr>
            </w:pPr>
            <w:r>
              <w:rPr>
                <w:rFonts w:cs="Arial"/>
                <w:b/>
                <w:bCs/>
                <w:szCs w:val="16"/>
              </w:rPr>
              <w:t>(1) 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67C2C3E3" w14:textId="77777777" w:rsidR="00EE2E01" w:rsidRDefault="00EE2E01">
            <w:pPr>
              <w:rPr>
                <w:rFonts w:cs="Arial"/>
                <w:szCs w:val="16"/>
              </w:rPr>
            </w:pPr>
            <w:r>
              <w:rPr>
                <w:rFonts w:cs="Arial"/>
                <w:szCs w:val="16"/>
              </w:rPr>
              <w:t>59</w:t>
            </w:r>
          </w:p>
        </w:tc>
      </w:tr>
      <w:tr w:rsidR="00EE2E01" w14:paraId="7269D6A3"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344D8573"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1D056113" w14:textId="77777777" w:rsidR="00EE2E01" w:rsidRDefault="00EE2E01">
            <w:pPr>
              <w:rPr>
                <w:rFonts w:cs="Arial"/>
                <w:szCs w:val="16"/>
              </w:rPr>
            </w:pPr>
            <w:r>
              <w:rPr>
                <w:rFonts w:cs="Arial"/>
                <w:szCs w:val="16"/>
              </w:rPr>
              <w:t>23</w:t>
            </w:r>
          </w:p>
        </w:tc>
      </w:tr>
      <w:tr w:rsidR="00EE2E01" w14:paraId="064B4642" w14:textId="77777777" w:rsidTr="007F76DD">
        <w:trPr>
          <w:trHeight w:val="278"/>
        </w:trPr>
        <w:tc>
          <w:tcPr>
            <w:tcW w:w="3695" w:type="pct"/>
            <w:tcBorders>
              <w:top w:val="single" w:sz="4" w:space="0" w:color="auto"/>
              <w:left w:val="single" w:sz="4" w:space="0" w:color="auto"/>
              <w:bottom w:val="single" w:sz="4" w:space="0" w:color="auto"/>
              <w:right w:val="single" w:sz="4" w:space="0" w:color="auto"/>
            </w:tcBorders>
            <w:hideMark/>
          </w:tcPr>
          <w:p w14:paraId="615C2905"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279E7DC2" w14:textId="77777777" w:rsidR="00EE2E01" w:rsidRDefault="00EE2E01">
            <w:pPr>
              <w:rPr>
                <w:rFonts w:cs="Arial"/>
                <w:szCs w:val="16"/>
              </w:rPr>
            </w:pPr>
            <w:r>
              <w:rPr>
                <w:rFonts w:cs="Arial"/>
                <w:szCs w:val="16"/>
              </w:rPr>
              <w:t>9</w:t>
            </w:r>
          </w:p>
        </w:tc>
      </w:tr>
      <w:tr w:rsidR="00EE2E01" w14:paraId="5725356D"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10D31018" w14:textId="77777777" w:rsidR="00EE2E01" w:rsidRPr="002E5FC0" w:rsidRDefault="00EE2E01">
            <w:pPr>
              <w:rPr>
                <w:rFonts w:cs="Arial"/>
                <w:szCs w:val="16"/>
              </w:rPr>
            </w:pPr>
            <w:r>
              <w:rPr>
                <w:rFonts w:cs="Arial"/>
                <w:szCs w:val="16"/>
              </w:rPr>
              <w:t>(1.1) (b) Reports within timelines</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0C1D3274" w14:textId="77777777" w:rsidR="00EE2E01" w:rsidRDefault="00EE2E01">
            <w:pPr>
              <w:rPr>
                <w:rFonts w:cs="Arial"/>
                <w:szCs w:val="16"/>
              </w:rPr>
            </w:pPr>
            <w:r>
              <w:rPr>
                <w:rFonts w:cs="Arial"/>
                <w:szCs w:val="16"/>
              </w:rPr>
              <w:t>0</w:t>
            </w:r>
          </w:p>
        </w:tc>
      </w:tr>
      <w:tr w:rsidR="00EE2E01" w14:paraId="3A4A4E1C"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97F73A9" w14:textId="77777777" w:rsidR="00EE2E01" w:rsidRPr="00E21765" w:rsidRDefault="00EE2E01">
            <w:pPr>
              <w:pStyle w:val="ListParagraph"/>
              <w:numPr>
                <w:ilvl w:val="1"/>
                <w:numId w:val="6"/>
              </w:numPr>
              <w:rPr>
                <w:rFonts w:cs="Arial"/>
                <w:szCs w:val="16"/>
              </w:rPr>
            </w:pPr>
            <w:r>
              <w:rPr>
                <w:rFonts w:cs="Arial"/>
                <w:szCs w:val="16"/>
              </w:rPr>
              <w:t>(c) Reports within extended timelines</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3984E4CD" w14:textId="77777777" w:rsidR="00EE2E01" w:rsidRDefault="00EE2E01">
            <w:pPr>
              <w:rPr>
                <w:rFonts w:cs="Arial"/>
                <w:szCs w:val="16"/>
              </w:rPr>
            </w:pPr>
            <w:r>
              <w:rPr>
                <w:rFonts w:cs="Arial"/>
                <w:szCs w:val="16"/>
              </w:rPr>
              <w:t>0</w:t>
            </w:r>
          </w:p>
        </w:tc>
      </w:tr>
      <w:tr w:rsidR="00EE2E01" w14:paraId="043689AC"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FA36682"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4AA05700" w14:textId="77777777" w:rsidR="00EE2E01" w:rsidRDefault="00EE2E01">
            <w:pPr>
              <w:rPr>
                <w:rFonts w:cs="Arial"/>
                <w:szCs w:val="16"/>
              </w:rPr>
            </w:pPr>
            <w:r>
              <w:rPr>
                <w:rFonts w:cs="Arial"/>
                <w:szCs w:val="16"/>
              </w:rPr>
              <w:t>14</w:t>
            </w:r>
          </w:p>
        </w:tc>
      </w:tr>
      <w:tr w:rsidR="00EE2E01" w14:paraId="6C99942B"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3B4C49D3" w14:textId="77777777" w:rsidR="00EE2E01" w:rsidRPr="00E21765" w:rsidRDefault="00EE2E01">
            <w:pPr>
              <w:rPr>
                <w:rFonts w:cs="Arial"/>
                <w:szCs w:val="16"/>
              </w:rPr>
            </w:pPr>
            <w:r w:rsidRPr="00E21765">
              <w:rPr>
                <w:rFonts w:cs="Arial"/>
                <w:szCs w:val="16"/>
              </w:rPr>
              <w:t xml:space="preserve">(1.2) (a) Complaints pending a due process hearing.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78B90249" w14:textId="77777777" w:rsidR="00EE2E01" w:rsidRDefault="00EE2E01">
            <w:pPr>
              <w:rPr>
                <w:rFonts w:cs="Arial"/>
                <w:szCs w:val="16"/>
              </w:rPr>
            </w:pPr>
            <w:r>
              <w:rPr>
                <w:rFonts w:cs="Arial"/>
                <w:szCs w:val="16"/>
              </w:rPr>
              <w:t>1</w:t>
            </w:r>
          </w:p>
        </w:tc>
      </w:tr>
      <w:tr w:rsidR="00EE2E01" w14:paraId="60DE7FD5"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5AD613F4"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61C86BDA" w14:textId="77777777" w:rsidR="00EE2E01" w:rsidRDefault="00EE2E01">
            <w:pPr>
              <w:rPr>
                <w:rFonts w:cs="Arial"/>
                <w:szCs w:val="16"/>
              </w:rPr>
            </w:pPr>
            <w:r>
              <w:rPr>
                <w:rFonts w:cs="Arial"/>
                <w:szCs w:val="16"/>
              </w:rPr>
              <w:t>22</w:t>
            </w:r>
          </w:p>
        </w:tc>
      </w:tr>
    </w:tbl>
    <w:p w14:paraId="52DAEEF6" w14:textId="77777777" w:rsidR="00EE2E01" w:rsidRDefault="00EE2E01" w:rsidP="00EE2E01">
      <w:pPr>
        <w:rPr>
          <w:rFonts w:cs="Arial"/>
          <w:b/>
          <w:bCs/>
          <w:szCs w:val="16"/>
        </w:rPr>
      </w:pPr>
    </w:p>
    <w:p w14:paraId="340E3261"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100623A1"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1FAF7301" w14:textId="77777777" w:rsidR="00EE2E01" w:rsidRPr="00A21F84" w:rsidRDefault="00EE2E01">
            <w:pPr>
              <w:rPr>
                <w:rFonts w:cs="Arial"/>
                <w:b/>
                <w:bCs/>
                <w:szCs w:val="16"/>
              </w:rPr>
            </w:pPr>
            <w:r>
              <w:rPr>
                <w:rFonts w:cs="Arial"/>
                <w:b/>
                <w:bCs/>
                <w:szCs w:val="16"/>
              </w:rPr>
              <w:t xml:space="preserve">(2) 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8DBB6F2" w14:textId="77777777" w:rsidR="00EE2E01" w:rsidRDefault="00EE2E01">
            <w:pPr>
              <w:rPr>
                <w:rFonts w:cs="Arial"/>
                <w:szCs w:val="16"/>
              </w:rPr>
            </w:pPr>
            <w:r>
              <w:rPr>
                <w:rFonts w:cs="Arial"/>
                <w:szCs w:val="16"/>
              </w:rPr>
              <w:t>45</w:t>
            </w:r>
          </w:p>
        </w:tc>
      </w:tr>
      <w:tr w:rsidR="00EE2E01" w14:paraId="2B114D15"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5691966D" w14:textId="77777777" w:rsidR="00EE2E01" w:rsidRDefault="00EE2E01">
            <w:pPr>
              <w:rPr>
                <w:rFonts w:cs="Arial"/>
                <w:szCs w:val="16"/>
              </w:rPr>
            </w:pPr>
            <w:r>
              <w:rPr>
                <w:rFonts w:cs="Arial"/>
                <w:szCs w:val="16"/>
              </w:rPr>
              <w:t xml:space="preserve">(2.1) Mediations held.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A44C39E" w14:textId="77777777" w:rsidR="00EE2E01" w:rsidRDefault="00EE2E01">
            <w:pPr>
              <w:rPr>
                <w:rFonts w:cs="Arial"/>
                <w:szCs w:val="16"/>
              </w:rPr>
            </w:pPr>
            <w:r>
              <w:rPr>
                <w:rFonts w:cs="Arial"/>
                <w:szCs w:val="16"/>
              </w:rPr>
              <w:t>20</w:t>
            </w:r>
          </w:p>
        </w:tc>
      </w:tr>
      <w:tr w:rsidR="00EE2E01" w14:paraId="5426FC5B" w14:textId="77777777" w:rsidTr="007F76DD">
        <w:trPr>
          <w:trHeight w:val="278"/>
        </w:trPr>
        <w:tc>
          <w:tcPr>
            <w:tcW w:w="3599" w:type="pct"/>
            <w:tcBorders>
              <w:top w:val="single" w:sz="4" w:space="0" w:color="auto"/>
              <w:left w:val="single" w:sz="4" w:space="0" w:color="auto"/>
              <w:bottom w:val="single" w:sz="4" w:space="0" w:color="auto"/>
              <w:right w:val="single" w:sz="4" w:space="0" w:color="auto"/>
            </w:tcBorders>
            <w:hideMark/>
          </w:tcPr>
          <w:p w14:paraId="51C6D972" w14:textId="77777777" w:rsidR="00EE2E01" w:rsidRDefault="00EE2E01">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490DACE" w14:textId="77777777" w:rsidR="00EE2E01" w:rsidRDefault="00EE2E01">
            <w:pPr>
              <w:rPr>
                <w:rFonts w:cs="Arial"/>
                <w:szCs w:val="16"/>
              </w:rPr>
            </w:pPr>
            <w:r>
              <w:rPr>
                <w:rFonts w:cs="Arial"/>
                <w:szCs w:val="16"/>
              </w:rPr>
              <w:t>1</w:t>
            </w:r>
          </w:p>
        </w:tc>
      </w:tr>
      <w:tr w:rsidR="00EE2E01" w14:paraId="7537E8E7"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6AC21FF" w14:textId="77777777" w:rsidR="00EE2E01" w:rsidRDefault="00EE2E01">
            <w:pPr>
              <w:rPr>
                <w:rFonts w:cs="Arial"/>
                <w:szCs w:val="16"/>
              </w:rPr>
            </w:pPr>
            <w:r>
              <w:rPr>
                <w:rFonts w:cs="Arial"/>
                <w:szCs w:val="16"/>
              </w:rPr>
              <w:t xml:space="preserve">(2.1) (a) (i)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44A125E7" w14:textId="77777777" w:rsidR="00EE2E01" w:rsidRDefault="00EE2E01">
            <w:pPr>
              <w:rPr>
                <w:rFonts w:cs="Arial"/>
                <w:szCs w:val="16"/>
              </w:rPr>
            </w:pPr>
            <w:r>
              <w:rPr>
                <w:rFonts w:cs="Arial"/>
                <w:szCs w:val="16"/>
              </w:rPr>
              <w:t>0</w:t>
            </w:r>
          </w:p>
        </w:tc>
      </w:tr>
      <w:tr w:rsidR="00EE2E01" w14:paraId="449AF7DF"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CEEEBE3" w14:textId="77777777" w:rsidR="00EE2E01" w:rsidRDefault="00EE2E01">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74DC5AF9" w14:textId="77777777" w:rsidR="00EE2E01" w:rsidRDefault="00EE2E01">
            <w:pPr>
              <w:rPr>
                <w:rFonts w:cs="Arial"/>
                <w:szCs w:val="16"/>
              </w:rPr>
            </w:pPr>
            <w:r>
              <w:rPr>
                <w:rFonts w:cs="Arial"/>
                <w:szCs w:val="16"/>
              </w:rPr>
              <w:t>19</w:t>
            </w:r>
          </w:p>
        </w:tc>
      </w:tr>
      <w:tr w:rsidR="00EE2E01" w14:paraId="77EC9D97"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0823F1C5" w14:textId="77777777" w:rsidR="00EE2E01" w:rsidRDefault="00EE2E01">
            <w:pPr>
              <w:rPr>
                <w:rFonts w:cs="Arial"/>
                <w:szCs w:val="16"/>
              </w:rPr>
            </w:pPr>
            <w:r>
              <w:rPr>
                <w:rFonts w:cs="Arial"/>
                <w:szCs w:val="16"/>
              </w:rPr>
              <w:t xml:space="preserve">(2.1) (b) (i)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65FEB82E" w14:textId="77777777" w:rsidR="00EE2E01" w:rsidRDefault="00EE2E01">
            <w:pPr>
              <w:rPr>
                <w:rFonts w:cs="Arial"/>
                <w:szCs w:val="16"/>
              </w:rPr>
            </w:pPr>
            <w:r>
              <w:rPr>
                <w:rFonts w:cs="Arial"/>
                <w:szCs w:val="16"/>
              </w:rPr>
              <w:t>15</w:t>
            </w:r>
          </w:p>
        </w:tc>
      </w:tr>
      <w:tr w:rsidR="00EE2E01" w14:paraId="6BA6C769"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4B66A4BD" w14:textId="77777777" w:rsidR="00EE2E01" w:rsidRDefault="00EE2E01">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3BCABC4E" w14:textId="77777777" w:rsidR="00EE2E01" w:rsidRDefault="00EE2E01">
            <w:pPr>
              <w:rPr>
                <w:rFonts w:cs="Arial"/>
                <w:szCs w:val="16"/>
              </w:rPr>
            </w:pPr>
            <w:r>
              <w:rPr>
                <w:rFonts w:cs="Arial"/>
                <w:szCs w:val="16"/>
              </w:rPr>
              <w:t>3</w:t>
            </w:r>
          </w:p>
        </w:tc>
      </w:tr>
      <w:tr w:rsidR="00EE2E01" w14:paraId="6122BA7A"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83D077E" w14:textId="77777777" w:rsidR="00EE2E01" w:rsidRDefault="00EE2E01">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85572D2" w14:textId="6C062142" w:rsidR="00EE2E01" w:rsidRDefault="00EE2E01">
            <w:pPr>
              <w:rPr>
                <w:rFonts w:cs="Arial"/>
                <w:szCs w:val="16"/>
              </w:rPr>
            </w:pPr>
            <w:r>
              <w:rPr>
                <w:rFonts w:cs="Arial"/>
                <w:szCs w:val="16"/>
              </w:rPr>
              <w:t>22</w:t>
            </w:r>
          </w:p>
        </w:tc>
      </w:tr>
    </w:tbl>
    <w:p w14:paraId="0C58D282" w14:textId="77777777" w:rsidR="00EE2E01" w:rsidRDefault="00EE2E01" w:rsidP="00EE2E01">
      <w:pPr>
        <w:rPr>
          <w:rFonts w:cs="Arial"/>
          <w:b/>
          <w:bCs/>
          <w:szCs w:val="16"/>
        </w:rPr>
      </w:pPr>
    </w:p>
    <w:p w14:paraId="46908630"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53509B9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3178CBC9" w14:textId="77777777" w:rsidR="00EE2E01" w:rsidRPr="00A21F84" w:rsidRDefault="00EE2E01">
            <w:pPr>
              <w:rPr>
                <w:rFonts w:cs="Arial"/>
                <w:b/>
                <w:bCs/>
                <w:szCs w:val="16"/>
              </w:rPr>
            </w:pPr>
            <w:r>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22EAA87" w14:textId="77777777" w:rsidR="00EE2E01" w:rsidRDefault="00EE2E01">
            <w:pPr>
              <w:rPr>
                <w:rFonts w:cs="Arial"/>
                <w:szCs w:val="16"/>
              </w:rPr>
            </w:pPr>
            <w:r>
              <w:rPr>
                <w:rFonts w:cs="Arial"/>
                <w:szCs w:val="16"/>
              </w:rPr>
              <w:t>29</w:t>
            </w:r>
          </w:p>
        </w:tc>
      </w:tr>
      <w:tr w:rsidR="00EE2E01" w14:paraId="258EA5E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566EB412" w14:textId="77777777" w:rsidR="00EE2E01" w:rsidRDefault="00EE2E01">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FFF05CE" w14:textId="77777777" w:rsidR="00EE2E01" w:rsidRDefault="00EE2E01">
            <w:pPr>
              <w:rPr>
                <w:rFonts w:cs="Arial"/>
                <w:szCs w:val="16"/>
              </w:rPr>
            </w:pPr>
            <w:r>
              <w:rPr>
                <w:rFonts w:cs="Arial"/>
                <w:szCs w:val="16"/>
              </w:rPr>
              <w:t>18</w:t>
            </w:r>
          </w:p>
        </w:tc>
      </w:tr>
      <w:tr w:rsidR="00EE2E01" w14:paraId="5E7E3092"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6C8032C3" w14:textId="77777777" w:rsidR="00EE2E01" w:rsidRDefault="00EE2E01">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D284F7D" w14:textId="77777777" w:rsidR="00EE2E01" w:rsidRDefault="00EE2E01">
            <w:pPr>
              <w:rPr>
                <w:rFonts w:cs="Arial"/>
                <w:szCs w:val="16"/>
              </w:rPr>
            </w:pPr>
            <w:r>
              <w:rPr>
                <w:rFonts w:cs="Arial"/>
                <w:szCs w:val="16"/>
              </w:rPr>
              <w:t>7</w:t>
            </w:r>
          </w:p>
        </w:tc>
      </w:tr>
      <w:tr w:rsidR="00EE2E01" w14:paraId="51A3A4C6"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2A1A39CA" w14:textId="77777777" w:rsidR="00EE2E01" w:rsidRDefault="00EE2E01">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B27D1AD" w14:textId="77777777" w:rsidR="00EE2E01" w:rsidRDefault="00EE2E01">
            <w:pPr>
              <w:rPr>
                <w:rFonts w:cs="Arial"/>
                <w:szCs w:val="16"/>
              </w:rPr>
            </w:pPr>
            <w:r>
              <w:rPr>
                <w:rFonts w:cs="Arial"/>
                <w:szCs w:val="16"/>
              </w:rPr>
              <w:t>0</w:t>
            </w:r>
          </w:p>
        </w:tc>
      </w:tr>
      <w:tr w:rsidR="00EE2E01" w14:paraId="1C7EE5B1"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0DF53259" w14:textId="77777777" w:rsidR="00EE2E01" w:rsidRDefault="00EE2E01">
            <w:pPr>
              <w:rPr>
                <w:rFonts w:cs="Arial"/>
                <w:szCs w:val="16"/>
              </w:rPr>
            </w:pPr>
            <w:r>
              <w:rPr>
                <w:rFonts w:cs="Arial"/>
                <w:szCs w:val="16"/>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29941D3" w14:textId="77777777" w:rsidR="00EE2E01" w:rsidRDefault="00EE2E01">
            <w:pPr>
              <w:rPr>
                <w:rFonts w:cs="Arial"/>
                <w:szCs w:val="16"/>
              </w:rPr>
            </w:pPr>
            <w:r>
              <w:rPr>
                <w:rFonts w:cs="Arial"/>
                <w:szCs w:val="16"/>
              </w:rPr>
              <w:t>0</w:t>
            </w:r>
          </w:p>
        </w:tc>
      </w:tr>
      <w:tr w:rsidR="00EE2E01" w14:paraId="141D35B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B3E66F4" w14:textId="77777777" w:rsidR="00EE2E01" w:rsidRDefault="00EE2E01">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4008C90" w14:textId="77777777" w:rsidR="00EE2E01" w:rsidRDefault="00EE2E01">
            <w:pPr>
              <w:rPr>
                <w:rFonts w:cs="Arial"/>
                <w:szCs w:val="16"/>
              </w:rPr>
            </w:pPr>
            <w:r>
              <w:rPr>
                <w:rFonts w:cs="Arial"/>
                <w:szCs w:val="16"/>
              </w:rPr>
              <w:t>0</w:t>
            </w:r>
          </w:p>
        </w:tc>
      </w:tr>
      <w:tr w:rsidR="00EE2E01" w14:paraId="0A719F0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3FA1CF25" w14:textId="308D8F4D" w:rsidR="00EE2E01" w:rsidRDefault="00EE2E01">
            <w:pPr>
              <w:rPr>
                <w:rFonts w:cs="Arial"/>
                <w:szCs w:val="16"/>
              </w:rPr>
            </w:pPr>
            <w:r>
              <w:rPr>
                <w:rFonts w:cs="Arial"/>
                <w:szCs w:val="16"/>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D94A458" w14:textId="48256C2E" w:rsidR="00EE2E01" w:rsidRDefault="00EE2E01">
            <w:pPr>
              <w:rPr>
                <w:rFonts w:cs="Arial"/>
                <w:szCs w:val="16"/>
              </w:rPr>
            </w:pPr>
            <w:r>
              <w:rPr>
                <w:rFonts w:cs="Arial"/>
                <w:szCs w:val="16"/>
              </w:rPr>
              <w:t>11</w:t>
            </w:r>
          </w:p>
        </w:tc>
      </w:tr>
      <w:tr w:rsidR="00EE2E01" w14:paraId="48110BE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3EDDDCD" w14:textId="77777777" w:rsidR="00EE2E01" w:rsidRDefault="00EE2E01">
            <w:pPr>
              <w:rPr>
                <w:rFonts w:cs="Arial"/>
                <w:szCs w:val="16"/>
              </w:rPr>
            </w:pPr>
            <w:r>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762E5A8" w14:textId="77777777" w:rsidR="00EE2E01" w:rsidRDefault="00EE2E01">
            <w:pPr>
              <w:rPr>
                <w:rFonts w:cs="Arial"/>
                <w:szCs w:val="16"/>
              </w:rPr>
            </w:pPr>
            <w:r>
              <w:rPr>
                <w:rFonts w:cs="Arial"/>
                <w:szCs w:val="16"/>
              </w:rPr>
              <w:t>18</w:t>
            </w:r>
          </w:p>
        </w:tc>
      </w:tr>
    </w:tbl>
    <w:p w14:paraId="5101E399" w14:textId="77777777" w:rsidR="00EE2E01" w:rsidRDefault="00EE2E01" w:rsidP="00EE2E01">
      <w:pPr>
        <w:rPr>
          <w:rFonts w:cs="Arial"/>
          <w:b/>
          <w:bCs/>
          <w:szCs w:val="16"/>
        </w:rPr>
      </w:pPr>
    </w:p>
    <w:p w14:paraId="50854025"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8004"/>
        <w:gridCol w:w="2786"/>
      </w:tblGrid>
      <w:tr w:rsidR="00EE2E01" w14:paraId="506B085F"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22FAA3EF" w14:textId="77777777" w:rsidR="00EE2E01" w:rsidRPr="00A21F84" w:rsidRDefault="00EE2E01">
            <w:pPr>
              <w:rPr>
                <w:rFonts w:cs="Arial"/>
                <w:b/>
                <w:bCs/>
                <w:szCs w:val="16"/>
              </w:rPr>
            </w:pPr>
            <w:r>
              <w:rPr>
                <w:rFonts w:cs="Arial"/>
                <w:b/>
                <w:bCs/>
                <w:szCs w:val="16"/>
              </w:rPr>
              <w:t xml:space="preserve">(4) 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46FCF29" w14:textId="77777777" w:rsidR="00EE2E01" w:rsidRDefault="00EE2E01">
            <w:pPr>
              <w:rPr>
                <w:rFonts w:cs="Arial"/>
                <w:szCs w:val="16"/>
              </w:rPr>
            </w:pPr>
            <w:r>
              <w:rPr>
                <w:rFonts w:cs="Arial"/>
                <w:szCs w:val="16"/>
              </w:rPr>
              <w:t>2</w:t>
            </w:r>
          </w:p>
        </w:tc>
      </w:tr>
      <w:tr w:rsidR="00EE2E01" w14:paraId="5887245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352D125C" w14:textId="77777777" w:rsidR="00EE2E01" w:rsidRPr="007F7054" w:rsidRDefault="00EE2E01">
            <w:pPr>
              <w:rPr>
                <w:rFonts w:cs="Arial"/>
                <w:szCs w:val="16"/>
              </w:rPr>
            </w:pPr>
            <w:r>
              <w:rPr>
                <w:rFonts w:cs="Arial"/>
                <w:szCs w:val="16"/>
              </w:rPr>
              <w:t xml:space="preserve">(4.1) Expedited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D2611D7" w14:textId="77777777" w:rsidR="00EE2E01" w:rsidRDefault="00EE2E01">
            <w:pPr>
              <w:rPr>
                <w:rFonts w:cs="Arial"/>
                <w:szCs w:val="16"/>
              </w:rPr>
            </w:pPr>
            <w:r>
              <w:rPr>
                <w:rFonts w:cs="Arial"/>
                <w:szCs w:val="16"/>
              </w:rPr>
              <w:t>2</w:t>
            </w:r>
          </w:p>
        </w:tc>
      </w:tr>
      <w:tr w:rsidR="00EE2E01" w14:paraId="60A14E5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538A297F" w14:textId="77777777" w:rsidR="00EE2E01" w:rsidRPr="007F7054" w:rsidRDefault="00EE2E01">
            <w:pPr>
              <w:rPr>
                <w:rFonts w:cs="Arial"/>
                <w:szCs w:val="16"/>
              </w:rPr>
            </w:pPr>
            <w:r>
              <w:rPr>
                <w:rFonts w:cs="Arial"/>
                <w:szCs w:val="16"/>
              </w:rPr>
              <w:t xml:space="preserve">(4.1) (a) Expedited written settlement agreements.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666CBB1" w14:textId="77777777" w:rsidR="00EE2E01" w:rsidRDefault="00EE2E01">
            <w:pPr>
              <w:rPr>
                <w:rFonts w:cs="Arial"/>
                <w:szCs w:val="16"/>
              </w:rPr>
            </w:pPr>
            <w:r>
              <w:rPr>
                <w:rFonts w:cs="Arial"/>
                <w:szCs w:val="16"/>
              </w:rPr>
              <w:t>1</w:t>
            </w:r>
          </w:p>
        </w:tc>
      </w:tr>
      <w:tr w:rsidR="00EE2E01" w14:paraId="0066C0F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2747685A" w14:textId="77777777" w:rsidR="00EE2E01" w:rsidRPr="007F7054" w:rsidRDefault="00EE2E01">
            <w:pPr>
              <w:rPr>
                <w:rFonts w:cs="Arial"/>
                <w:szCs w:val="16"/>
              </w:rPr>
            </w:pPr>
            <w:r>
              <w:rPr>
                <w:rFonts w:cs="Arial"/>
                <w:szCs w:val="16"/>
              </w:rPr>
              <w:t xml:space="preserve">(4.2) Expedited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97B0B20" w14:textId="77777777" w:rsidR="00EE2E01" w:rsidRDefault="00EE2E01">
            <w:pPr>
              <w:rPr>
                <w:rFonts w:cs="Arial"/>
                <w:szCs w:val="16"/>
              </w:rPr>
            </w:pPr>
            <w:r>
              <w:rPr>
                <w:rFonts w:cs="Arial"/>
                <w:szCs w:val="16"/>
              </w:rPr>
              <w:t>0</w:t>
            </w:r>
          </w:p>
        </w:tc>
      </w:tr>
      <w:tr w:rsidR="00EE2E01" w14:paraId="7E4DEF3C"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10489D6" w14:textId="77777777" w:rsidR="00EE2E01" w:rsidRPr="007F7054" w:rsidRDefault="00EE2E01">
            <w:pPr>
              <w:rPr>
                <w:rFonts w:cs="Arial"/>
                <w:szCs w:val="16"/>
              </w:rPr>
            </w:pPr>
            <w:r>
              <w:rPr>
                <w:rFonts w:cs="Arial"/>
                <w:szCs w:val="16"/>
              </w:rPr>
              <w:t>(4.2) (a) Change of placement ordered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62897A2" w14:textId="77777777" w:rsidR="00EE2E01" w:rsidRDefault="00EE2E01">
            <w:pPr>
              <w:rPr>
                <w:rFonts w:cs="Arial"/>
                <w:szCs w:val="16"/>
              </w:rPr>
            </w:pPr>
            <w:r>
              <w:rPr>
                <w:rFonts w:cs="Arial"/>
                <w:szCs w:val="16"/>
              </w:rPr>
              <w:t>0</w:t>
            </w:r>
          </w:p>
        </w:tc>
      </w:tr>
      <w:tr w:rsidR="00EE2E01" w14:paraId="357234F6"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EDFDDF7" w14:textId="77777777" w:rsidR="00EE2E01" w:rsidRPr="007F7054" w:rsidRDefault="00EE2E01">
            <w:pPr>
              <w:rPr>
                <w:rFonts w:cs="Arial"/>
                <w:szCs w:val="16"/>
              </w:rPr>
            </w:pPr>
            <w:r>
              <w:rPr>
                <w:rFonts w:cs="Arial"/>
                <w:szCs w:val="16"/>
              </w:rPr>
              <w:t xml:space="preserve">(4.3) Expedited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D53084D" w14:textId="77777777" w:rsidR="00EE2E01" w:rsidRDefault="00EE2E01">
            <w:pPr>
              <w:rPr>
                <w:rFonts w:cs="Arial"/>
                <w:szCs w:val="16"/>
              </w:rPr>
            </w:pPr>
            <w:r>
              <w:rPr>
                <w:rFonts w:cs="Arial"/>
                <w:szCs w:val="16"/>
              </w:rPr>
              <w:t>1</w:t>
            </w:r>
          </w:p>
        </w:tc>
      </w:tr>
      <w:tr w:rsidR="00EE2E01" w14:paraId="7B27A8D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796683AD" w14:textId="77777777" w:rsidR="00EE2E01" w:rsidRPr="007F7054" w:rsidRDefault="00EE2E01">
            <w:pPr>
              <w:rPr>
                <w:rFonts w:cs="Arial"/>
                <w:szCs w:val="16"/>
              </w:rPr>
            </w:pPr>
            <w:r>
              <w:rPr>
                <w:rFonts w:cs="Arial"/>
                <w:szCs w:val="16"/>
              </w:rPr>
              <w:t xml:space="preserve">(4.4) 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CD67A88" w14:textId="77777777" w:rsidR="00EE2E01" w:rsidRDefault="00EE2E01">
            <w:pPr>
              <w:rPr>
                <w:rFonts w:cs="Arial"/>
                <w:szCs w:val="16"/>
              </w:rPr>
            </w:pPr>
            <w:r>
              <w:rPr>
                <w:rFonts w:cs="Arial"/>
                <w:szCs w:val="16"/>
              </w:rPr>
              <w:t>1</w:t>
            </w:r>
          </w:p>
        </w:tc>
      </w:tr>
    </w:tbl>
    <w:p w14:paraId="3B844C0B" w14:textId="77777777" w:rsidR="00EE2E01" w:rsidRDefault="00EE2E01" w:rsidP="00EE2E01">
      <w:pPr>
        <w:spacing w:before="0" w:after="200" w:line="276" w:lineRule="auto"/>
      </w:pPr>
    </w:p>
    <w:p w14:paraId="111BE8E8" w14:textId="77777777" w:rsidR="00EE2E01" w:rsidRDefault="00EE2E01" w:rsidP="00EE2E01">
      <w:pPr>
        <w:spacing w:before="0" w:after="0"/>
      </w:pPr>
      <w:r>
        <w:t xml:space="preserve">This report shows the most recent data that was entered by: </w:t>
      </w:r>
    </w:p>
    <w:p w14:paraId="76C2C60C" w14:textId="77777777" w:rsidR="00EE2E01" w:rsidRDefault="00EE2E01" w:rsidP="00EE2E01">
      <w:pPr>
        <w:spacing w:before="0" w:after="0"/>
      </w:pPr>
      <w:r>
        <w:t>Louisiana</w:t>
      </w:r>
    </w:p>
    <w:p w14:paraId="27CA88FF" w14:textId="77777777" w:rsidR="00D372DD" w:rsidRDefault="00D372DD" w:rsidP="00EE2E01">
      <w:pPr>
        <w:spacing w:before="0" w:after="0"/>
      </w:pPr>
    </w:p>
    <w:p w14:paraId="2934BC49" w14:textId="7250FB6D" w:rsidR="00EE2E01" w:rsidRDefault="00EE2E01" w:rsidP="00EE2E01">
      <w:pPr>
        <w:spacing w:before="0" w:after="0"/>
      </w:pPr>
      <w:r>
        <w:lastRenderedPageBreak/>
        <w:t>These data were extracted on the close date:</w:t>
      </w:r>
    </w:p>
    <w:p w14:paraId="67281528" w14:textId="77777777" w:rsidR="00EE2E01" w:rsidRDefault="00EE2E01" w:rsidP="00EE2E01">
      <w:pPr>
        <w:spacing w:before="0" w:after="0"/>
      </w:pPr>
      <w:r>
        <w:t>11/13/2024</w:t>
      </w:r>
    </w:p>
    <w:p w14:paraId="657C451C" w14:textId="77777777" w:rsidR="00EE2E01" w:rsidRPr="00EE2E01" w:rsidRDefault="00EE2E01" w:rsidP="00EE2E01"/>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lastRenderedPageBreak/>
        <w:t>How the Department Made Determinations</w:t>
      </w:r>
    </w:p>
    <w:p w14:paraId="0972CDF2" w14:textId="77777777" w:rsidR="00085B13" w:rsidRPr="00D733C3" w:rsidRDefault="00085B13" w:rsidP="00085B13">
      <w:pPr>
        <w:rPr>
          <w:szCs w:val="16"/>
        </w:rPr>
      </w:pPr>
    </w:p>
    <w:p w14:paraId="0E00D438" w14:textId="44B51F7F" w:rsidR="00EE2E01" w:rsidRPr="00D733C3" w:rsidRDefault="00EE2E01" w:rsidP="00EE2E01">
      <w:pPr>
        <w:rPr>
          <w:rFonts w:cs="Arial"/>
          <w:szCs w:val="16"/>
        </w:rPr>
      </w:pPr>
      <w:bookmarkStart w:id="104" w:name="Introduction"/>
      <w:bookmarkStart w:id="105" w:name="_Hlk124349373"/>
      <w:bookmarkEnd w:id="3"/>
      <w:bookmarkEnd w:id="104"/>
      <w:bookmarkEnd w:id="105"/>
      <w:r w:rsidRPr="00D733C3">
        <w:rPr>
          <w:rFonts w:cs="Arial"/>
          <w:szCs w:val="16"/>
        </w:rPr>
        <w:t>Below is the location of How the Department Made Determinations (HTDMD) on OSEP’s IDEA Website. How the Department Made Determinations in 2025 will be posted in June 2025. Copy and paste the link below into a browser to view.</w:t>
      </w:r>
    </w:p>
    <w:p w14:paraId="50DA1C7E" w14:textId="77777777" w:rsidR="00EE2E01" w:rsidRPr="00D733C3" w:rsidRDefault="00EE2E01" w:rsidP="00EE2E01">
      <w:pPr>
        <w:pStyle w:val="BodyText"/>
        <w:spacing w:before="7"/>
        <w:rPr>
          <w:rFonts w:ascii="Arial" w:eastAsia="Calibri" w:hAnsi="Arial" w:cs="Arial"/>
          <w:sz w:val="16"/>
          <w:szCs w:val="16"/>
        </w:rPr>
      </w:pPr>
    </w:p>
    <w:p w14:paraId="5A83F7CC" w14:textId="77777777" w:rsidR="00EE2E01" w:rsidRDefault="00673DB5" w:rsidP="008B71EA">
      <w:pPr>
        <w:spacing w:before="0" w:after="0" w:line="276" w:lineRule="auto"/>
        <w:rPr>
          <w:rStyle w:val="Hyperlink"/>
          <w:szCs w:val="16"/>
        </w:rPr>
      </w:pPr>
      <w:hyperlink r:id="rId15" w:history="1">
        <w:r w:rsidR="00EE2E01" w:rsidRPr="00D733C3">
          <w:rPr>
            <w:rStyle w:val="Hyperlink"/>
            <w:szCs w:val="16"/>
          </w:rPr>
          <w:t>https://sites.ed.gov/idea/how-the-department-made-determinations/</w:t>
        </w:r>
      </w:hyperlink>
    </w:p>
    <w:p w14:paraId="0D3B65EF" w14:textId="77777777" w:rsidR="008B71EA" w:rsidRDefault="008B71EA" w:rsidP="008B71EA">
      <w:pPr>
        <w:spacing w:before="0" w:after="0" w:line="276" w:lineRule="auto"/>
        <w:rPr>
          <w:rStyle w:val="Hyperlink"/>
          <w:szCs w:val="16"/>
        </w:rPr>
      </w:pPr>
    </w:p>
    <w:p w14:paraId="1A24AEB8" w14:textId="77777777" w:rsidR="00400F58" w:rsidRDefault="00400F58" w:rsidP="008B71EA">
      <w:pPr>
        <w:spacing w:before="0" w:after="0" w:line="276" w:lineRule="auto"/>
        <w:rPr>
          <w:rStyle w:val="Hyperlink"/>
          <w:szCs w:val="16"/>
        </w:rPr>
        <w:sectPr w:rsidR="00400F58" w:rsidSect="00AE4731">
          <w:type w:val="continuous"/>
          <w:pgSz w:w="12240" w:h="15840"/>
          <w:pgMar w:top="720" w:right="720" w:bottom="720" w:left="720" w:header="763" w:footer="432" w:gutter="0"/>
          <w:cols w:space="720"/>
          <w:docGrid w:linePitch="218"/>
        </w:sectPr>
      </w:pPr>
    </w:p>
    <w:p w14:paraId="501736B2" w14:textId="3E8934C5" w:rsidR="003749F7" w:rsidRDefault="003749F7" w:rsidP="008B71EA">
      <w:pPr>
        <w:spacing w:before="0" w:after="0" w:line="276" w:lineRule="auto"/>
        <w:rPr>
          <w:rStyle w:val="Hyperlink"/>
          <w:szCs w:val="16"/>
        </w:rPr>
      </w:pPr>
      <w:r>
        <w:rPr>
          <w:rStyle w:val="Hyperlink"/>
          <w:szCs w:val="16"/>
        </w:rPr>
        <w:br w:type="page"/>
      </w:r>
    </w:p>
    <w:p w14:paraId="04FAD08A" w14:textId="77777777" w:rsidR="008F7972" w:rsidRDefault="008F7972" w:rsidP="00174D28">
      <w:pPr>
        <w:pStyle w:val="Heading2"/>
        <w:sectPr w:rsidR="008F7972" w:rsidSect="00AE4731">
          <w:headerReference w:type="default" r:id="rId16"/>
          <w:footerReference w:type="default" r:id="rId17"/>
          <w:type w:val="continuous"/>
          <w:pgSz w:w="12240" w:h="15840" w:code="1"/>
          <w:pgMar w:top="720" w:right="720" w:bottom="720" w:left="720" w:header="763" w:footer="432" w:gutter="0"/>
          <w:cols w:space="720"/>
          <w:docGrid w:linePitch="218"/>
        </w:sectPr>
      </w:pPr>
    </w:p>
    <w:p w14:paraId="10F49D6D" w14:textId="77777777" w:rsidR="00174D28" w:rsidRPr="00B6363A" w:rsidRDefault="00174D28" w:rsidP="00174D28">
      <w:pPr>
        <w:pStyle w:val="Heading2"/>
      </w:pPr>
      <w:r w:rsidRPr="00B6363A">
        <w:lastRenderedPageBreak/>
        <w:t>Final Determination Letter</w:t>
      </w:r>
    </w:p>
    <w:p w14:paraId="13481EE4" w14:textId="77777777" w:rsidR="00174D28" w:rsidRDefault="00174D28" w:rsidP="00174D28">
      <w:pPr>
        <w:spacing w:before="0" w:after="200" w:line="276" w:lineRule="auto"/>
        <w:rPr>
          <w:rFonts w:cs="Arial"/>
          <w:b/>
          <w:bCs/>
          <w:szCs w:val="16"/>
        </w:rPr>
      </w:pPr>
    </w:p>
    <w:p w14:paraId="50D5BE75" w14:textId="77777777" w:rsidR="00174D28" w:rsidRDefault="00174D28" w:rsidP="00174D28">
      <w:pPr>
        <w:spacing w:before="0"/>
        <w:jc w:val="center"/>
        <w:rPr>
          <w:rFonts w:ascii="Times New Roman" w:hAnsi="Times New Roman"/>
          <w:sz w:val="24"/>
        </w:rPr>
      </w:pPr>
      <w:r>
        <w:t>June 20, 2025</w:t>
      </w:r>
    </w:p>
    <w:p w14:paraId="32F88019" w14:textId="77777777" w:rsidR="00174D28" w:rsidRPr="001B1007" w:rsidRDefault="00174D28" w:rsidP="00174D28">
      <w:pPr>
        <w:rPr>
          <w:szCs w:val="24"/>
        </w:rPr>
      </w:pPr>
      <w:r w:rsidRPr="001B1007">
        <w:rPr>
          <w:szCs w:val="24"/>
        </w:rPr>
        <w:t>Honorable Cade Brumley</w:t>
      </w:r>
    </w:p>
    <w:p w14:paraId="025700A6" w14:textId="77777777" w:rsidR="00174D28" w:rsidRPr="001B1007" w:rsidRDefault="00174D28" w:rsidP="00174D28">
      <w:pPr>
        <w:spacing w:before="0"/>
        <w:rPr>
          <w:szCs w:val="24"/>
        </w:rPr>
      </w:pPr>
      <w:r w:rsidRPr="001B1007">
        <w:rPr>
          <w:szCs w:val="24"/>
        </w:rPr>
        <w:t>State Superintendent</w:t>
      </w:r>
    </w:p>
    <w:p w14:paraId="5EC0914E" w14:textId="77777777" w:rsidR="00174D28" w:rsidRPr="001B1007" w:rsidRDefault="00174D28" w:rsidP="00174D28">
      <w:pPr>
        <w:spacing w:before="0"/>
        <w:rPr>
          <w:szCs w:val="24"/>
        </w:rPr>
      </w:pPr>
      <w:r w:rsidRPr="001B1007">
        <w:rPr>
          <w:szCs w:val="24"/>
        </w:rPr>
        <w:t>Louisiana Department of Education</w:t>
      </w:r>
    </w:p>
    <w:p w14:paraId="1C93559A" w14:textId="77777777" w:rsidR="00174D28" w:rsidRPr="001B1007" w:rsidRDefault="00174D28" w:rsidP="00174D28">
      <w:pPr>
        <w:spacing w:before="0"/>
        <w:rPr>
          <w:szCs w:val="24"/>
        </w:rPr>
      </w:pPr>
      <w:r w:rsidRPr="001B1007">
        <w:rPr>
          <w:szCs w:val="24"/>
        </w:rPr>
        <w:t>1201 North 3rd Street</w:t>
      </w:r>
    </w:p>
    <w:p w14:paraId="5B47AD84" w14:textId="77777777" w:rsidR="00174D28" w:rsidRPr="001B1007" w:rsidRDefault="00174D28" w:rsidP="00174D28">
      <w:pPr>
        <w:spacing w:before="0"/>
        <w:rPr>
          <w:szCs w:val="24"/>
        </w:rPr>
      </w:pPr>
      <w:r w:rsidRPr="001B1007">
        <w:rPr>
          <w:szCs w:val="24"/>
        </w:rPr>
        <w:t>Baton Rouge, LA 70802</w:t>
      </w:r>
    </w:p>
    <w:p w14:paraId="20D177F7" w14:textId="77777777" w:rsidR="00174D28" w:rsidRDefault="00174D28" w:rsidP="00174D28">
      <w:pPr>
        <w:rPr>
          <w:szCs w:val="24"/>
        </w:rPr>
      </w:pPr>
    </w:p>
    <w:p w14:paraId="1049454C" w14:textId="70D96228" w:rsidR="00174D28" w:rsidRDefault="00174D28" w:rsidP="00903BFD">
      <w:pPr>
        <w:rPr>
          <w:rStyle w:val="ui-provider"/>
        </w:rPr>
      </w:pPr>
      <w:r w:rsidRPr="001B1007">
        <w:rPr>
          <w:szCs w:val="24"/>
        </w:rPr>
        <w:t>Dear Superintendent</w:t>
      </w:r>
      <w:r>
        <w:rPr>
          <w:szCs w:val="24"/>
        </w:rPr>
        <w:t xml:space="preserve"> </w:t>
      </w:r>
      <w:r w:rsidRPr="00457F3C">
        <w:rPr>
          <w:szCs w:val="24"/>
        </w:rPr>
        <w:t>Brumley</w:t>
      </w:r>
      <w:r w:rsidRPr="001B1007">
        <w:rPr>
          <w:szCs w:val="24"/>
        </w:rPr>
        <w:t>:</w:t>
      </w:r>
    </w:p>
    <w:p w14:paraId="55C2089C" w14:textId="77777777" w:rsidR="00174D28" w:rsidRPr="001B1007" w:rsidRDefault="00174D28" w:rsidP="00174D28">
      <w:r w:rsidRPr="001B1007">
        <w:t>I am writing to advise you of the U.S. Department of Education’s (Department) 202</w:t>
      </w:r>
      <w:r>
        <w:t>5</w:t>
      </w:r>
      <w:r w:rsidRPr="001B1007">
        <w:t xml:space="preserve"> determination under Section 616 of the Individuals with Disabilities Education Act (IDEA). The Department has determined that </w:t>
      </w:r>
      <w:r>
        <w:t>Louisiana</w:t>
      </w:r>
      <w:r w:rsidRPr="001B1007">
        <w:t xml:space="preserve"> needs assistance in implementing the requirements of Part B of the IDEA. This determination is based on the totality of </w:t>
      </w:r>
      <w:r w:rsidRPr="00BE0983">
        <w:t>Louisiana's</w:t>
      </w:r>
      <w:r w:rsidRPr="001B1007">
        <w:t xml:space="preserve"> data and information, including the Federal fiscal year (FFY) 202</w:t>
      </w:r>
      <w:r>
        <w:t>3</w:t>
      </w:r>
      <w:r w:rsidRPr="001B1007">
        <w:t xml:space="preserve"> State Performance Plan/Annual Performance Report (SPP/APR), other State-reported data, and other publicly available information.</w:t>
      </w:r>
    </w:p>
    <w:p w14:paraId="2524468A" w14:textId="77777777" w:rsidR="00174D28" w:rsidRPr="001B1007" w:rsidRDefault="00174D28" w:rsidP="00174D28">
      <w:r w:rsidRPr="00BE0983">
        <w:t>Louisiana's</w:t>
      </w:r>
      <w:r w:rsidRPr="001B1007">
        <w:t xml:space="preserve"> 202</w:t>
      </w:r>
      <w:r>
        <w:t>5</w:t>
      </w:r>
      <w:r w:rsidRPr="001B1007">
        <w:t xml:space="preserve"> determination is based on the data reflected in its “202</w:t>
      </w:r>
      <w:r>
        <w:t>5</w:t>
      </w:r>
      <w:r w:rsidRPr="001B1007">
        <w:t xml:space="preserve"> Part B Results-Driven Accountability Matrix” (RDA Matrix). The RDA Matrix is individualized for each State and Entity and consists of: </w:t>
      </w:r>
    </w:p>
    <w:p w14:paraId="7BB2D872" w14:textId="77777777" w:rsidR="00174D28" w:rsidRPr="001B1007" w:rsidRDefault="00174D28" w:rsidP="00174D28">
      <w:pPr>
        <w:pStyle w:val="ListParagraph"/>
        <w:numPr>
          <w:ilvl w:val="0"/>
          <w:numId w:val="9"/>
        </w:numPr>
        <w:spacing w:before="120" w:after="0"/>
        <w:contextualSpacing w:val="0"/>
      </w:pPr>
      <w:r w:rsidRPr="001B1007">
        <w:t xml:space="preserve">a Compliance Matrix that includes scoring on Compliance Indicators and other compliance factors; </w:t>
      </w:r>
    </w:p>
    <w:p w14:paraId="17269616" w14:textId="77777777" w:rsidR="00174D28" w:rsidRPr="001B1007" w:rsidRDefault="00174D28" w:rsidP="00174D28">
      <w:pPr>
        <w:pStyle w:val="ListParagraph"/>
        <w:numPr>
          <w:ilvl w:val="0"/>
          <w:numId w:val="9"/>
        </w:numPr>
        <w:spacing w:before="120" w:after="0"/>
        <w:contextualSpacing w:val="0"/>
      </w:pPr>
      <w:r w:rsidRPr="001B1007">
        <w:t>a Results Matrix that includes scoring on Results Elements;</w:t>
      </w:r>
    </w:p>
    <w:p w14:paraId="3E588975" w14:textId="77777777" w:rsidR="00174D28" w:rsidRPr="001B1007" w:rsidRDefault="00174D28" w:rsidP="00174D28">
      <w:pPr>
        <w:pStyle w:val="ListParagraph"/>
        <w:numPr>
          <w:ilvl w:val="0"/>
          <w:numId w:val="9"/>
        </w:numPr>
        <w:spacing w:before="120" w:after="0"/>
        <w:contextualSpacing w:val="0"/>
      </w:pPr>
      <w:r w:rsidRPr="001B1007">
        <w:t>a Compliance Score and a Results Score;</w:t>
      </w:r>
    </w:p>
    <w:p w14:paraId="63292C6B" w14:textId="5E979463" w:rsidR="008F7972" w:rsidRPr="001B1007" w:rsidRDefault="00174D28" w:rsidP="00174D28">
      <w:pPr>
        <w:pStyle w:val="ListParagraph"/>
        <w:numPr>
          <w:ilvl w:val="0"/>
          <w:numId w:val="9"/>
        </w:numPr>
        <w:spacing w:before="120" w:after="0"/>
        <w:contextualSpacing w:val="0"/>
      </w:pPr>
      <w:r w:rsidRPr="001B1007">
        <w:t>an RDA Percentage based on both the Compliance Score and the Results Score; and</w:t>
      </w:r>
    </w:p>
    <w:p w14:paraId="012D865E" w14:textId="0AA5BB80" w:rsidR="00424C95" w:rsidRDefault="00174D28" w:rsidP="00903BFD">
      <w:pPr>
        <w:pStyle w:val="ListParagraph"/>
        <w:numPr>
          <w:ilvl w:val="0"/>
          <w:numId w:val="9"/>
        </w:numPr>
        <w:spacing w:before="120" w:after="0"/>
        <w:contextualSpacing w:val="0"/>
        <w:sectPr w:rsidR="00424C95" w:rsidSect="00AE4731">
          <w:headerReference w:type="default" r:id="rId18"/>
          <w:footerReference w:type="default" r:id="rId19"/>
          <w:type w:val="continuous"/>
          <w:pgSz w:w="12240" w:h="15840" w:code="1"/>
          <w:pgMar w:top="720" w:right="720" w:bottom="720" w:left="720" w:header="763" w:footer="432" w:gutter="0"/>
          <w:cols w:space="720"/>
          <w:docGrid w:linePitch="218"/>
        </w:sectPr>
      </w:pPr>
      <w:r w:rsidRPr="001B1007">
        <w:t>the State</w:t>
      </w:r>
      <w:r>
        <w:t>’s or Entity</w:t>
      </w:r>
      <w:r w:rsidRPr="001B1007">
        <w:t>’s Determination</w:t>
      </w:r>
    </w:p>
    <w:p w14:paraId="7094A0B4" w14:textId="77777777" w:rsidR="00174D28" w:rsidRDefault="00174D28" w:rsidP="00174D28">
      <w:r w:rsidRPr="001B1007">
        <w:t>The RDA Matrix is further explained in a document, entitled “</w:t>
      </w:r>
      <w:hyperlink r:id="rId20" w:history="1">
        <w:r w:rsidRPr="00512718">
          <w:rPr>
            <w:rStyle w:val="Hyperlink"/>
            <w:szCs w:val="24"/>
          </w:rPr>
          <w:t>How the Department Made Determinations under Section 616(d) of the Individuals with Disabilities Education Act in 202</w:t>
        </w:r>
        <w:r>
          <w:rPr>
            <w:rStyle w:val="Hyperlink"/>
            <w:szCs w:val="24"/>
          </w:rPr>
          <w:t>5</w:t>
        </w:r>
        <w:r w:rsidRPr="00512718">
          <w:rPr>
            <w:rStyle w:val="Hyperlink"/>
            <w:szCs w:val="24"/>
          </w:rPr>
          <w:t>: Part B</w:t>
        </w:r>
      </w:hyperlink>
      <w:r w:rsidRPr="001B1007">
        <w:t xml:space="preserve">” (HTDMD). </w:t>
      </w:r>
    </w:p>
    <w:p w14:paraId="0F8FBDF0" w14:textId="77777777" w:rsidR="007A48DF" w:rsidRDefault="00174D28" w:rsidP="00174D28">
      <w:bookmarkStart w:id="106" w:name="_Hlk155263664"/>
      <w:r w:rsidRPr="001B1007">
        <w:t>The Office of Special Education Programs (OSEP) is continuing to use both results data and compliance data in making determinations in 202</w:t>
      </w:r>
      <w:r>
        <w:t>5</w:t>
      </w:r>
      <w:r w:rsidRPr="001B1007">
        <w:t>, as it did for Part B determinations in 201</w:t>
      </w:r>
      <w:r>
        <w:t>5</w:t>
      </w:r>
      <w:r w:rsidRPr="001B1007">
        <w:t>-202</w:t>
      </w:r>
      <w:r>
        <w:t>4</w:t>
      </w:r>
      <w:r w:rsidRPr="001B1007">
        <w:t xml:space="preserve">. </w:t>
      </w:r>
      <w:bookmarkEnd w:id="106"/>
      <w:r>
        <w:t>(</w:t>
      </w:r>
      <w:r w:rsidRPr="001B1007">
        <w:t xml:space="preserve">The specifics of the determination procedures and criteria are set forth in the HTDMD document and reflected in the RDA Matrix for </w:t>
      </w:r>
      <w:r>
        <w:t>Louisiana</w:t>
      </w:r>
      <w:r w:rsidRPr="001B1007">
        <w:t xml:space="preserve">). </w:t>
      </w:r>
    </w:p>
    <w:p w14:paraId="7C8155F2" w14:textId="77777777" w:rsidR="00174D28" w:rsidRPr="001B1007" w:rsidRDefault="00174D28" w:rsidP="00174D28">
      <w:r w:rsidRPr="001B1007">
        <w:t>In making Part B determinations in 202</w:t>
      </w:r>
      <w:r>
        <w:t>5</w:t>
      </w:r>
      <w:r w:rsidRPr="001B1007">
        <w:t xml:space="preserve">, OSEP continued to use results data related to: </w:t>
      </w:r>
    </w:p>
    <w:p w14:paraId="24A4BE5A" w14:textId="56ABD79D" w:rsidR="007C689C" w:rsidRDefault="007C689C" w:rsidP="007C689C">
      <w:pPr>
        <w:pStyle w:val="ListParagraph"/>
        <w:numPr>
          <w:ilvl w:val="0"/>
          <w:numId w:val="10"/>
        </w:numPr>
        <w:spacing w:before="120" w:after="0"/>
        <w:contextualSpacing w:val="0"/>
      </w:pPr>
      <w:bookmarkStart w:id="107" w:name="_Hlk6923073"/>
      <w:r>
        <w:t>the participation of children with disabilities (CWD) on Statewide assessments (which include the regular assessment and the alternate assessment);</w:t>
      </w:r>
    </w:p>
    <w:p w14:paraId="08CB1FCD" w14:textId="0F45A16E" w:rsidR="00174D28" w:rsidRPr="001B1007" w:rsidRDefault="00174D28" w:rsidP="00174D28">
      <w:pPr>
        <w:pStyle w:val="ListParagraph"/>
        <w:numPr>
          <w:ilvl w:val="0"/>
          <w:numId w:val="10"/>
        </w:numPr>
        <w:spacing w:before="120" w:after="0"/>
        <w:contextualSpacing w:val="0"/>
      </w:pPr>
      <w:r w:rsidRPr="001B1007">
        <w:t>the participation and performance of CWD on the most recently administered (school year 202</w:t>
      </w:r>
      <w:r w:rsidR="008F7972">
        <w:t>3</w:t>
      </w:r>
      <w:r w:rsidRPr="001B1007">
        <w:t>-202</w:t>
      </w:r>
      <w:r w:rsidR="008F7972">
        <w:t>4</w:t>
      </w:r>
      <w:r w:rsidRPr="001B1007">
        <w:t>) National Assessment of Educational Progress (NAEP)</w:t>
      </w:r>
      <w:r>
        <w:t xml:space="preserve">, </w:t>
      </w:r>
      <w:r w:rsidR="001871DC">
        <w:t xml:space="preserve">as applicable </w:t>
      </w:r>
      <w:r w:rsidR="001871DC" w:rsidRPr="001B1007">
        <w:t>(For the 202</w:t>
      </w:r>
      <w:r w:rsidR="001871DC">
        <w:t>5</w:t>
      </w:r>
      <w:r w:rsidR="001871DC" w:rsidRPr="001B1007">
        <w:t xml:space="preserve"> </w:t>
      </w:r>
      <w:r w:rsidRPr="001B1007">
        <w:t>determinations, OSEP</w:t>
      </w:r>
      <w:r>
        <w:t xml:space="preserve"> is</w:t>
      </w:r>
      <w:r w:rsidRPr="001B1007">
        <w:t xml:space="preserve"> using results data on the participation and performance of children with disabilities on the NAEP for the 50 States, the District of Columbia, </w:t>
      </w:r>
      <w:r w:rsidR="007C689C">
        <w:t xml:space="preserve">the Bureau of Indian Education, </w:t>
      </w:r>
      <w:r w:rsidRPr="001B1007">
        <w:t>and Puerto Rico. OSEP us</w:t>
      </w:r>
      <w:r>
        <w:t>ed</w:t>
      </w:r>
      <w:r w:rsidRPr="001B1007">
        <w:t xml:space="preserve"> the </w:t>
      </w:r>
      <w:r>
        <w:t xml:space="preserve">available </w:t>
      </w:r>
      <w:r w:rsidRPr="001B1007">
        <w:t xml:space="preserve">NAEP data </w:t>
      </w:r>
      <w:r>
        <w:t>for</w:t>
      </w:r>
      <w:r w:rsidRPr="001B1007">
        <w:t xml:space="preserve"> </w:t>
      </w:r>
      <w:r>
        <w:t xml:space="preserve">Puerto Rico in making </w:t>
      </w:r>
      <w:r w:rsidRPr="001B1007">
        <w:t xml:space="preserve">Puerto Rico’s </w:t>
      </w:r>
      <w:r>
        <w:t xml:space="preserve">2025 </w:t>
      </w:r>
      <w:r w:rsidRPr="001B1007">
        <w:t xml:space="preserve">determination as </w:t>
      </w:r>
      <w:r>
        <w:t xml:space="preserve">it did for Puerto Rico’s 2024 determination. </w:t>
      </w:r>
      <w:r w:rsidRPr="001B1007">
        <w:t xml:space="preserve">OSEP </w:t>
      </w:r>
      <w:r w:rsidR="007C689C">
        <w:t xml:space="preserve">used the publicly available NAEP data for the Bureau of Indian Education that was comparable to the NAEP data available for the 50 States, the District of Columbia and Puerto Rico; specifically OSEP </w:t>
      </w:r>
      <w:r w:rsidRPr="001B1007">
        <w:t xml:space="preserve">did not use NAEP </w:t>
      </w:r>
      <w:r w:rsidR="007C689C">
        <w:t xml:space="preserve">participation </w:t>
      </w:r>
      <w:r w:rsidRPr="001B1007">
        <w:t xml:space="preserve">data in making the BIE’s </w:t>
      </w:r>
      <w:r>
        <w:t>2025</w:t>
      </w:r>
      <w:r w:rsidRPr="001B1007">
        <w:t xml:space="preserve"> determination because </w:t>
      </w:r>
      <w:r w:rsidR="007C689C">
        <w:t>the most recently administered NAEP participation data for the BIE that is publicly available is 2020, whereas the most recently administered NAEP participation data for the 50 States, the District of Columbia, and Puerto Rico that is publicly available is 2024</w:t>
      </w:r>
      <w:r w:rsidR="00EC3EF4">
        <w:t>);</w:t>
      </w:r>
    </w:p>
    <w:bookmarkEnd w:id="107"/>
    <w:p w14:paraId="738FAAC0" w14:textId="77777777" w:rsidR="00174D28" w:rsidRPr="001B1007" w:rsidRDefault="00174D28" w:rsidP="00174D28">
      <w:pPr>
        <w:pStyle w:val="ListParagraph"/>
        <w:numPr>
          <w:ilvl w:val="0"/>
          <w:numId w:val="10"/>
        </w:numPr>
        <w:spacing w:before="120" w:after="0"/>
        <w:contextualSpacing w:val="0"/>
      </w:pPr>
      <w:r w:rsidRPr="001B1007">
        <w:t xml:space="preserve">the percentage of CWD who graduated with a regular high school diploma; and </w:t>
      </w:r>
    </w:p>
    <w:p w14:paraId="69967930" w14:textId="77777777" w:rsidR="00174D28" w:rsidRPr="001B1007" w:rsidRDefault="00174D28" w:rsidP="00174D28">
      <w:pPr>
        <w:pStyle w:val="ListParagraph"/>
        <w:numPr>
          <w:ilvl w:val="0"/>
          <w:numId w:val="10"/>
        </w:numPr>
        <w:spacing w:before="120" w:after="0"/>
        <w:contextualSpacing w:val="0"/>
      </w:pPr>
      <w:r w:rsidRPr="001B1007">
        <w:t xml:space="preserve">the percentage of CWD who dropped out. </w:t>
      </w:r>
    </w:p>
    <w:p w14:paraId="688F0726" w14:textId="77777777" w:rsidR="007C689C" w:rsidRDefault="007C689C" w:rsidP="00903BFD">
      <w:r w:rsidRPr="001B1007">
        <w:t xml:space="preserve">For the 2025 IDEA Part B determinations, OSEP also considered performance on timely correction of noncompliance requirements in Indicator 18. While the State’s performance on timely correction of noncompliance was a factor in each State or Entity’s 2025 Part B Compliance Matrix, no State or Entity received a Needs Intervention determination in 2025 due solely to this criterion. However, this criterion will be fully incorporated beginning with the 2026 determinations.  </w:t>
      </w:r>
    </w:p>
    <w:p w14:paraId="3646B2BC" w14:textId="754A407E" w:rsidR="00174D28" w:rsidRPr="001B1007" w:rsidRDefault="00174D28" w:rsidP="00174D28">
      <w:r w:rsidRPr="001B1007">
        <w:t xml:space="preserve">You may access the results of OSEP’s review of </w:t>
      </w:r>
      <w:r w:rsidRPr="00BE0983">
        <w:t>Louisiana's</w:t>
      </w:r>
      <w:r w:rsidRPr="001B1007">
        <w:t xml:space="preserve"> SPP/APR and other relevant data by accessing the E</w:t>
      </w:r>
      <w:r w:rsidRPr="004D4E4A">
        <w:rPr>
          <w:i/>
          <w:iCs/>
        </w:rPr>
        <w:t>MAPS</w:t>
      </w:r>
      <w:r w:rsidRPr="001B1007">
        <w:t xml:space="preserve"> SPP/APR reporting tool using your </w:t>
      </w:r>
      <w:r>
        <w:t>Louisiana</w:t>
      </w:r>
      <w:r w:rsidRPr="001B1007">
        <w:t xml:space="preserve">-specific log-on information at </w:t>
      </w:r>
      <w:hyperlink r:id="rId21" w:tooltip="EMAPS SPP/APR reporting tool" w:history="1">
        <w:r w:rsidRPr="007367EC">
          <w:rPr>
            <w:rStyle w:val="Hyperlink"/>
            <w:color w:val="auto"/>
            <w:szCs w:val="24"/>
          </w:rPr>
          <w:t>https://emaps.ed.gov/suite/</w:t>
        </w:r>
      </w:hyperlink>
      <w:r w:rsidRPr="001B1007">
        <w:t xml:space="preserve">. When you access </w:t>
      </w:r>
      <w:r w:rsidRPr="00BE0983">
        <w:t>Louisiana's</w:t>
      </w:r>
      <w:r>
        <w:t xml:space="preserve"> </w:t>
      </w:r>
      <w:r w:rsidRPr="001B1007">
        <w:t>SPP/APR on the site, you will find, in applicable Indicators 1 through 1</w:t>
      </w:r>
      <w:r w:rsidR="007C689C">
        <w:t>8</w:t>
      </w:r>
      <w:r w:rsidRPr="001B1007">
        <w:t xml:space="preserve">, the OSEP Response to the indicator and any actions that </w:t>
      </w:r>
      <w:r>
        <w:t>Louisiana</w:t>
      </w:r>
      <w:r w:rsidRPr="001B1007">
        <w:t xml:space="preserve"> is required to take. The actions that </w:t>
      </w:r>
      <w:r>
        <w:t>Louisiana</w:t>
      </w:r>
      <w:r w:rsidRPr="001B1007">
        <w:t xml:space="preserve"> is required to take </w:t>
      </w:r>
      <w:r w:rsidRPr="001B1007">
        <w:rPr>
          <w:szCs w:val="24"/>
        </w:rPr>
        <w:t>are in the “Required Actions” section of the indicator.</w:t>
      </w:r>
      <w:r w:rsidRPr="001B1007">
        <w:t xml:space="preserve"> </w:t>
      </w:r>
    </w:p>
    <w:p w14:paraId="51439F34" w14:textId="77777777" w:rsidR="00174D28" w:rsidRPr="001B1007" w:rsidRDefault="00174D28" w:rsidP="00174D28">
      <w:r w:rsidRPr="001B1007">
        <w:t xml:space="preserve">It is important for you to review the Introduction to the SPP/APR, which may also include language in the “OSEP Response” and/or “Required Actions” sections. </w:t>
      </w:r>
    </w:p>
    <w:p w14:paraId="2A3F5D9E" w14:textId="77777777" w:rsidR="00174D28" w:rsidRPr="001B1007" w:rsidRDefault="00174D28" w:rsidP="00174D28">
      <w:r w:rsidRPr="001B1007">
        <w:lastRenderedPageBreak/>
        <w:t xml:space="preserve">You will also find the following important documents </w:t>
      </w:r>
      <w:r>
        <w:t>in the Determinations Enclosures section</w:t>
      </w:r>
      <w:r w:rsidRPr="001B1007">
        <w:t xml:space="preserve">: </w:t>
      </w:r>
    </w:p>
    <w:p w14:paraId="5BF73410" w14:textId="77777777" w:rsidR="00174D28" w:rsidRPr="001B1007" w:rsidRDefault="00174D28" w:rsidP="00174D28">
      <w:pPr>
        <w:pStyle w:val="ListParagraph"/>
        <w:numPr>
          <w:ilvl w:val="0"/>
          <w:numId w:val="11"/>
        </w:numPr>
        <w:spacing w:before="120" w:after="0"/>
        <w:contextualSpacing w:val="0"/>
      </w:pPr>
      <w:r w:rsidRPr="00BE0983">
        <w:t>Louisiana's</w:t>
      </w:r>
      <w:r w:rsidRPr="001B1007">
        <w:t xml:space="preserve"> RDA Matrix; </w:t>
      </w:r>
    </w:p>
    <w:p w14:paraId="35953676" w14:textId="77777777" w:rsidR="00174D28" w:rsidRPr="001B1007" w:rsidRDefault="00174D28" w:rsidP="00174D28">
      <w:pPr>
        <w:pStyle w:val="ListParagraph"/>
        <w:numPr>
          <w:ilvl w:val="0"/>
          <w:numId w:val="11"/>
        </w:numPr>
        <w:spacing w:before="120" w:after="0"/>
        <w:contextualSpacing w:val="0"/>
      </w:pPr>
      <w:r w:rsidRPr="001B1007">
        <w:t xml:space="preserve">the HTDMD </w:t>
      </w:r>
      <w:hyperlink r:id="rId22" w:history="1">
        <w:r w:rsidRPr="00512718">
          <w:rPr>
            <w:rStyle w:val="Hyperlink"/>
          </w:rPr>
          <w:t>link</w:t>
        </w:r>
      </w:hyperlink>
      <w:r w:rsidRPr="001B1007">
        <w:t xml:space="preserve">; </w:t>
      </w:r>
    </w:p>
    <w:p w14:paraId="38570EE1" w14:textId="3C992101" w:rsidR="00174D28" w:rsidRPr="001B1007" w:rsidRDefault="00174D28" w:rsidP="00174D28">
      <w:pPr>
        <w:pStyle w:val="ListParagraph"/>
        <w:numPr>
          <w:ilvl w:val="0"/>
          <w:numId w:val="11"/>
        </w:numPr>
        <w:spacing w:before="120" w:after="0"/>
        <w:contextualSpacing w:val="0"/>
      </w:pPr>
      <w:r w:rsidRPr="001B1007">
        <w:t>“202</w:t>
      </w:r>
      <w:r w:rsidR="0015743E">
        <w:t>5</w:t>
      </w:r>
      <w:r w:rsidRPr="001B1007">
        <w:t xml:space="preserve"> Data Rubric Part B,” which shows how OSEP calculated </w:t>
      </w:r>
      <w:r w:rsidRPr="00BE0983">
        <w:t>Louisiana's</w:t>
      </w:r>
      <w:r>
        <w:t xml:space="preserve"> </w:t>
      </w:r>
      <w:r w:rsidRPr="001B1007">
        <w:t>“Timely and Accurate State-Reported Data” score in the Compliance Matrix; and</w:t>
      </w:r>
    </w:p>
    <w:p w14:paraId="7EE2A88C" w14:textId="77777777" w:rsidR="00174D28" w:rsidRPr="001B1007" w:rsidRDefault="00174D28" w:rsidP="00174D28">
      <w:pPr>
        <w:numPr>
          <w:ilvl w:val="0"/>
          <w:numId w:val="11"/>
        </w:numPr>
        <w:spacing w:before="120" w:after="120"/>
        <w:rPr>
          <w:szCs w:val="24"/>
        </w:rPr>
      </w:pPr>
      <w:r w:rsidRPr="001B1007">
        <w:rPr>
          <w:szCs w:val="24"/>
        </w:rPr>
        <w:t>“Dispute Resolution 202</w:t>
      </w:r>
      <w:r>
        <w:rPr>
          <w:szCs w:val="24"/>
        </w:rPr>
        <w:t>3</w:t>
      </w:r>
      <w:r w:rsidRPr="001B1007">
        <w:rPr>
          <w:szCs w:val="24"/>
        </w:rPr>
        <w:t>-202</w:t>
      </w:r>
      <w:r>
        <w:rPr>
          <w:szCs w:val="24"/>
        </w:rPr>
        <w:t>4</w:t>
      </w:r>
      <w:r w:rsidRPr="001B1007">
        <w:rPr>
          <w:szCs w:val="24"/>
        </w:rPr>
        <w:t xml:space="preserve">,” which includes the IDEA Section 618 data that OSEP used to calculate the </w:t>
      </w:r>
      <w:r>
        <w:rPr>
          <w:szCs w:val="24"/>
        </w:rPr>
        <w:t>Louisiana's</w:t>
      </w:r>
      <w:r w:rsidRPr="001B1007">
        <w:rPr>
          <w:szCs w:val="24"/>
        </w:rPr>
        <w:t xml:space="preserve"> “Timely State Complaint Decisions” and “Timely Due Process Hearing Decisions” scores in the Compliance Matrix. </w:t>
      </w:r>
    </w:p>
    <w:p w14:paraId="73577F01" w14:textId="45F073AA" w:rsidR="00174D28" w:rsidRPr="001B1007" w:rsidRDefault="00174D28" w:rsidP="00174D28">
      <w:r w:rsidRPr="001B1007">
        <w:t xml:space="preserve">As noted above, </w:t>
      </w:r>
      <w:r w:rsidRPr="00BE0983">
        <w:t>Louisiana's</w:t>
      </w:r>
      <w:r w:rsidRPr="001B1007">
        <w:t xml:space="preserve"> 202</w:t>
      </w:r>
      <w:r>
        <w:t>5</w:t>
      </w:r>
      <w:r w:rsidRPr="001B1007">
        <w:t xml:space="preserve"> determination is Needs Assistance. A State</w:t>
      </w:r>
      <w:r>
        <w:t>’s</w:t>
      </w:r>
      <w:r w:rsidRPr="001B1007">
        <w:t xml:space="preserve"> or Entity’s 202</w:t>
      </w:r>
      <w:r>
        <w:t>5</w:t>
      </w:r>
      <w:r w:rsidRPr="001B1007">
        <w:t xml:space="preserve"> RDA Determination is Needs Assistance if the RDA Percentage is at least 60% but less than 80%. A State</w:t>
      </w:r>
      <w:r w:rsidR="0038061E">
        <w:t>’s</w:t>
      </w:r>
      <w:r>
        <w:t xml:space="preserve"> or Entity</w:t>
      </w:r>
      <w:r w:rsidRPr="001B1007">
        <w:t>’s determination would also be Needs Assistance if its RDA Determination percentage is 80% or above but the Department has imposed Specific Conditions on the State</w:t>
      </w:r>
      <w:r>
        <w:t>’s</w:t>
      </w:r>
      <w:r w:rsidRPr="001B1007">
        <w:t xml:space="preserve"> or Entity’s last three IDEA Part B grant awards (for FFYs 202</w:t>
      </w:r>
      <w:r>
        <w:t>2</w:t>
      </w:r>
      <w:r w:rsidRPr="001B1007">
        <w:t>, 202</w:t>
      </w:r>
      <w:r>
        <w:t>3</w:t>
      </w:r>
      <w:r w:rsidRPr="001B1007">
        <w:t>, and 202</w:t>
      </w:r>
      <w:r>
        <w:t>4</w:t>
      </w:r>
      <w:r w:rsidRPr="001B1007">
        <w:t>), and those Specific Conditions are in effect at the time of the 202</w:t>
      </w:r>
      <w:r>
        <w:t>5</w:t>
      </w:r>
      <w:r w:rsidRPr="001B1007">
        <w:t xml:space="preserve"> determination.</w:t>
      </w:r>
    </w:p>
    <w:p w14:paraId="60251CE9" w14:textId="51F48155" w:rsidR="00174D28" w:rsidRPr="001B1007" w:rsidRDefault="00174D28" w:rsidP="00174D28">
      <w:pPr>
        <w:rPr>
          <w:rFonts w:eastAsia="Calibri"/>
        </w:rPr>
      </w:pPr>
      <w:r w:rsidRPr="008005F5">
        <w:t>Louisiana's</w:t>
      </w:r>
      <w:r>
        <w:t xml:space="preserve"> </w:t>
      </w:r>
      <w:r w:rsidRPr="001B1007">
        <w:rPr>
          <w:rFonts w:eastAsia="Calibri"/>
        </w:rPr>
        <w:t>determination for 202</w:t>
      </w:r>
      <w:r>
        <w:rPr>
          <w:rFonts w:eastAsia="Calibri"/>
        </w:rPr>
        <w:t>4</w:t>
      </w:r>
      <w:r w:rsidRPr="001B1007">
        <w:rPr>
          <w:rFonts w:eastAsia="Calibri"/>
        </w:rPr>
        <w:t xml:space="preserve"> was also Needs Assistance. In accordance with Section 616(e)(1) of the IDEA and 34 C.F.R. §</w:t>
      </w:r>
      <w:r w:rsidR="00240447">
        <w:rPr>
          <w:rFonts w:eastAsia="Calibri"/>
        </w:rPr>
        <w:t> </w:t>
      </w:r>
      <w:r w:rsidRPr="001B1007">
        <w:rPr>
          <w:rFonts w:eastAsia="Calibri"/>
        </w:rPr>
        <w:t>300.604(a), if a State or Entity is determined to need assistance for two consecutive years, the Secretary must take one or more of the following actions: </w:t>
      </w:r>
    </w:p>
    <w:p w14:paraId="0AD30C10" w14:textId="77777777" w:rsidR="00174D28" w:rsidRPr="001B1007" w:rsidRDefault="00174D28" w:rsidP="00174D28">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entities; </w:t>
      </w:r>
    </w:p>
    <w:p w14:paraId="5D826720" w14:textId="77777777" w:rsidR="00174D28" w:rsidRPr="001B1007" w:rsidRDefault="00174D28" w:rsidP="00174D28">
      <w:pPr>
        <w:numPr>
          <w:ilvl w:val="0"/>
          <w:numId w:val="16"/>
        </w:numPr>
        <w:spacing w:before="120" w:after="120"/>
        <w:rPr>
          <w:szCs w:val="24"/>
        </w:rPr>
      </w:pPr>
      <w:r w:rsidRPr="001B1007">
        <w:rPr>
          <w:szCs w:val="24"/>
        </w:rPr>
        <w:t xml:space="preserve">direct the use of State-level funds on the area or areas in which the State or Entity needs assistance; or </w:t>
      </w:r>
    </w:p>
    <w:p w14:paraId="6EBB21FF" w14:textId="77777777" w:rsidR="00174D28" w:rsidRPr="001B1007" w:rsidRDefault="00174D28" w:rsidP="00174D28">
      <w:pPr>
        <w:numPr>
          <w:ilvl w:val="0"/>
          <w:numId w:val="16"/>
        </w:numPr>
        <w:spacing w:before="120" w:after="120"/>
        <w:rPr>
          <w:szCs w:val="24"/>
        </w:rPr>
      </w:pPr>
      <w:r w:rsidRPr="001B1007">
        <w:rPr>
          <w:szCs w:val="24"/>
        </w:rPr>
        <w:t>identify the State or Entity as a high-risk grantee and impose Specific Conditions on the State</w:t>
      </w:r>
      <w:r>
        <w:rPr>
          <w:szCs w:val="24"/>
        </w:rPr>
        <w:t>’s</w:t>
      </w:r>
      <w:r w:rsidRPr="001B1007">
        <w:rPr>
          <w:szCs w:val="24"/>
        </w:rPr>
        <w:t xml:space="preserve"> or Entity’s IDEA Part B grant award.</w:t>
      </w:r>
    </w:p>
    <w:p w14:paraId="1C1418A4" w14:textId="5FFCFB5F" w:rsidR="00174D28" w:rsidRPr="001B1007" w:rsidRDefault="00174D28" w:rsidP="00174D28">
      <w:pPr>
        <w:rPr>
          <w:rFonts w:eastAsia="Calibri"/>
        </w:rPr>
      </w:pPr>
      <w:r w:rsidRPr="001B1007">
        <w:rPr>
          <w:rFonts w:eastAsia="Calibri"/>
        </w:rPr>
        <w:t xml:space="preserve">Pursuant to these requirements, the Secretary is advising </w:t>
      </w:r>
      <w:r>
        <w:t>Louisiana</w:t>
      </w:r>
      <w:r w:rsidRPr="001B1007">
        <w:rPr>
          <w:rFonts w:eastAsia="Calibri"/>
        </w:rPr>
        <w:t xml:space="preserve"> of available sources of technical assistance, including OSEP-funded technical assistance centers and resources at the following website:</w:t>
      </w:r>
      <w:bookmarkStart w:id="108" w:name="_Hlk75275845"/>
      <w:r w:rsidRPr="001B1007">
        <w:t xml:space="preserve"> </w:t>
      </w:r>
      <w:hyperlink r:id="rId23" w:history="1">
        <w:r w:rsidRPr="007367EC">
          <w:rPr>
            <w:rStyle w:val="Hyperlink"/>
            <w:color w:val="auto"/>
          </w:rPr>
          <w:t>Individuals with Disabilities Education Act (IDEA) Topic Areas</w:t>
        </w:r>
      </w:hyperlink>
      <w:bookmarkEnd w:id="108"/>
      <w:r w:rsidRPr="001B1007">
        <w:rPr>
          <w:rFonts w:eastAsia="Calibri"/>
        </w:rPr>
        <w:t xml:space="preserve">, and requiring </w:t>
      </w:r>
      <w:r>
        <w:t>Louisiana</w:t>
      </w:r>
      <w:r w:rsidRPr="001B1007">
        <w:rPr>
          <w:rFonts w:eastAsia="Calibri"/>
        </w:rPr>
        <w:t xml:space="preserve"> to work with appropriate entities. The Secretary directs </w:t>
      </w:r>
      <w:r>
        <w:t>Louisiana</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in order to improve its performance. We strongly encourage </w:t>
      </w:r>
      <w:r>
        <w:t>Louisiana</w:t>
      </w:r>
      <w:r w:rsidRPr="001B1007">
        <w:rPr>
          <w:rFonts w:eastAsia="Calibri"/>
        </w:rPr>
        <w:t xml:space="preserve"> to access technical assistance related to those results elements and compliance indicators for which it received a score of zero. </w:t>
      </w:r>
      <w:r>
        <w:t>Louisiana</w:t>
      </w:r>
      <w:r w:rsidRPr="001B1007">
        <w:rPr>
          <w:rFonts w:eastAsia="Calibri"/>
        </w:rPr>
        <w:t xml:space="preserve"> must report with its FFY 202</w:t>
      </w:r>
      <w:r>
        <w:rPr>
          <w:rFonts w:eastAsia="Calibri"/>
        </w:rPr>
        <w:t>4</w:t>
      </w:r>
      <w:r w:rsidRPr="001B1007">
        <w:rPr>
          <w:rFonts w:eastAsia="Calibri"/>
        </w:rPr>
        <w:t xml:space="preserve"> SPP/APR submission, due February </w:t>
      </w:r>
      <w:r w:rsidR="0015743E">
        <w:rPr>
          <w:rFonts w:eastAsia="Calibri"/>
        </w:rPr>
        <w:t>2</w:t>
      </w:r>
      <w:r w:rsidRPr="001B1007">
        <w:rPr>
          <w:rFonts w:eastAsia="Calibri"/>
        </w:rPr>
        <w:t>, 202</w:t>
      </w:r>
      <w:r>
        <w:rPr>
          <w:rFonts w:eastAsia="Calibri"/>
        </w:rPr>
        <w:t>6</w:t>
      </w:r>
      <w:r w:rsidRPr="001B1007">
        <w:rPr>
          <w:rFonts w:eastAsia="Calibri"/>
        </w:rPr>
        <w:t xml:space="preserve">, on: </w:t>
      </w:r>
    </w:p>
    <w:p w14:paraId="4A021FB9" w14:textId="77777777" w:rsidR="00174D28" w:rsidRPr="001B1007" w:rsidRDefault="00174D28" w:rsidP="00174D28">
      <w:pPr>
        <w:numPr>
          <w:ilvl w:val="0"/>
          <w:numId w:val="8"/>
        </w:numPr>
        <w:spacing w:before="120" w:after="120"/>
        <w:rPr>
          <w:rFonts w:eastAsia="Calibri"/>
          <w:szCs w:val="24"/>
        </w:rPr>
      </w:pPr>
      <w:r w:rsidRPr="001B1007">
        <w:rPr>
          <w:rFonts w:eastAsia="Calibri"/>
          <w:szCs w:val="24"/>
        </w:rPr>
        <w:t xml:space="preserve">the technical assistance sources from which </w:t>
      </w:r>
      <w:r>
        <w:t>Louisiana</w:t>
      </w:r>
      <w:r w:rsidRPr="001B1007">
        <w:t xml:space="preserve"> </w:t>
      </w:r>
      <w:r w:rsidRPr="001B1007">
        <w:rPr>
          <w:rFonts w:eastAsia="Calibri"/>
          <w:szCs w:val="24"/>
        </w:rPr>
        <w:t xml:space="preserve">received assistance; and </w:t>
      </w:r>
    </w:p>
    <w:p w14:paraId="4E87D55F" w14:textId="77777777" w:rsidR="00174D28" w:rsidRPr="001B1007" w:rsidRDefault="00174D28" w:rsidP="00174D28">
      <w:pPr>
        <w:numPr>
          <w:ilvl w:val="0"/>
          <w:numId w:val="8"/>
        </w:numPr>
        <w:spacing w:before="120" w:after="120"/>
        <w:rPr>
          <w:rFonts w:eastAsia="Calibri"/>
          <w:szCs w:val="24"/>
        </w:rPr>
      </w:pPr>
      <w:r w:rsidRPr="001B1007">
        <w:rPr>
          <w:rFonts w:eastAsia="Calibri"/>
          <w:szCs w:val="24"/>
        </w:rPr>
        <w:t xml:space="preserve">the actions </w:t>
      </w:r>
      <w:r>
        <w:t>Louisiana</w:t>
      </w:r>
      <w:r w:rsidRPr="001B1007">
        <w:t xml:space="preserve"> </w:t>
      </w:r>
      <w:r w:rsidRPr="001B1007">
        <w:rPr>
          <w:rFonts w:eastAsia="Calibri"/>
          <w:szCs w:val="24"/>
        </w:rPr>
        <w:t>took as a result of that technical assistance.</w:t>
      </w:r>
    </w:p>
    <w:p w14:paraId="4C117D32" w14:textId="40ADCE55" w:rsidR="00174D28" w:rsidRPr="001B1007" w:rsidRDefault="00174D28" w:rsidP="00174D28">
      <w:pPr>
        <w:rPr>
          <w:rFonts w:eastAsia="Times New Roman"/>
        </w:rPr>
      </w:pPr>
      <w:r w:rsidRPr="001B1007">
        <w:t>As required by IDEA Section 616(e)(7) and 34 C.F.R. §</w:t>
      </w:r>
      <w:r w:rsidR="00240447">
        <w:rPr>
          <w:rFonts w:eastAsia="Calibri"/>
        </w:rPr>
        <w:t> </w:t>
      </w:r>
      <w:r w:rsidRPr="001B1007">
        <w:t xml:space="preserve">300.606, </w:t>
      </w:r>
      <w:r>
        <w:t>Louisiana</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6AC9D334" w14:textId="77777777" w:rsidR="00174D28" w:rsidRDefault="00174D28" w:rsidP="00174D28">
      <w:r w:rsidRPr="001B1007">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56E66126" w14:textId="77777777" w:rsidR="00174D28" w:rsidRDefault="00174D28" w:rsidP="00174D28">
      <w:r w:rsidRPr="001B1007">
        <w:t>For the FFY 2024 SPP/APR submission due on February 1, 2026, OSEP is providing the following information about the IDEA Section 618 data. The 2024-25 IDEA Section 618 Part B data submitted as of the due date will be used for the FFY 2024 SPP/APR and the 2026 IDEA Part B Results Matrix and data submitted during correction opportunities will not be used for these purposes. The 2024-25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C2A09A1" w14:textId="77777777" w:rsidR="00174D28" w:rsidRPr="001B1007" w:rsidRDefault="00174D28" w:rsidP="00174D28">
      <w:r w:rsidRPr="001B1007">
        <w:t xml:space="preserve">As a reminder, </w:t>
      </w:r>
      <w:r>
        <w:t>Louisiana</w:t>
      </w:r>
      <w:r w:rsidRPr="001B1007">
        <w:t xml:space="preserve"> must report annually to the public, by posting on the State educational agency’s (SEA’s) website, the performance of each local educational agency (LEA) located in </w:t>
      </w:r>
      <w:r>
        <w:t>Louisiana</w:t>
      </w:r>
      <w:r w:rsidRPr="001B1007">
        <w:t xml:space="preserve"> on the targets in the SPP/APR as soon as practicable, but no later than 120 days after </w:t>
      </w:r>
      <w:r w:rsidRPr="008005F5">
        <w:t>Louisiana's</w:t>
      </w:r>
      <w:r>
        <w:t xml:space="preserve"> </w:t>
      </w:r>
      <w:r w:rsidRPr="001B1007">
        <w:t>submission of its FFY 202</w:t>
      </w:r>
      <w:r>
        <w:t>3</w:t>
      </w:r>
      <w:r w:rsidRPr="001B1007">
        <w:t xml:space="preserve"> SPP/APR. In addition, </w:t>
      </w:r>
      <w:r>
        <w:t>Louisiana</w:t>
      </w:r>
      <w:r w:rsidRPr="001B1007">
        <w:t xml:space="preserve"> must: </w:t>
      </w:r>
    </w:p>
    <w:p w14:paraId="73C06217" w14:textId="77777777" w:rsidR="00174D28" w:rsidRPr="001B1007" w:rsidRDefault="00174D28" w:rsidP="00174D28">
      <w:pPr>
        <w:pStyle w:val="ListParagraph"/>
        <w:numPr>
          <w:ilvl w:val="0"/>
          <w:numId w:val="12"/>
        </w:numPr>
        <w:spacing w:before="120" w:after="0"/>
        <w:contextualSpacing w:val="0"/>
      </w:pPr>
      <w:r w:rsidRPr="001B1007">
        <w:t xml:space="preserve">review LEA performance against targets in the State’s SPP/APR; </w:t>
      </w:r>
    </w:p>
    <w:p w14:paraId="36800F42" w14:textId="77777777" w:rsidR="00174D28" w:rsidRPr="001B1007" w:rsidRDefault="00174D28" w:rsidP="00174D28">
      <w:pPr>
        <w:pStyle w:val="ListParagraph"/>
        <w:numPr>
          <w:ilvl w:val="0"/>
          <w:numId w:val="12"/>
        </w:numPr>
        <w:spacing w:before="120" w:after="0"/>
        <w:contextualSpacing w:val="0"/>
      </w:pPr>
      <w:r w:rsidRPr="001B1007">
        <w:t xml:space="preserve">determine if each LEA “meets the requirements” of Part B, or “needs assistance,” “needs intervention,” or “needs substantial intervention” in implementing Part B of the IDEA; </w:t>
      </w:r>
    </w:p>
    <w:p w14:paraId="69D6170A" w14:textId="77777777" w:rsidR="00174D28" w:rsidRPr="001B1007" w:rsidRDefault="00174D28" w:rsidP="00174D28">
      <w:pPr>
        <w:pStyle w:val="ListParagraph"/>
        <w:numPr>
          <w:ilvl w:val="0"/>
          <w:numId w:val="12"/>
        </w:numPr>
        <w:spacing w:before="120" w:after="0"/>
        <w:contextualSpacing w:val="0"/>
      </w:pPr>
      <w:r w:rsidRPr="001B1007">
        <w:t xml:space="preserve">take appropriate enforcement action; and </w:t>
      </w:r>
    </w:p>
    <w:p w14:paraId="553EC016" w14:textId="77777777" w:rsidR="00174D28" w:rsidRPr="001B1007" w:rsidRDefault="00174D28" w:rsidP="00174D28">
      <w:pPr>
        <w:pStyle w:val="ListParagraph"/>
        <w:numPr>
          <w:ilvl w:val="0"/>
          <w:numId w:val="12"/>
        </w:numPr>
        <w:spacing w:before="120" w:after="0"/>
        <w:contextualSpacing w:val="0"/>
      </w:pPr>
      <w:r w:rsidRPr="001B1007">
        <w:t xml:space="preserve">inform each LEA of its determination. </w:t>
      </w:r>
    </w:p>
    <w:p w14:paraId="635BE395" w14:textId="77777777" w:rsidR="00174D28" w:rsidRPr="001B1007" w:rsidRDefault="00174D28" w:rsidP="00174D28">
      <w:r w:rsidRPr="001B1007">
        <w:t xml:space="preserve">Further, </w:t>
      </w:r>
      <w:r>
        <w:t>Louisiana</w:t>
      </w:r>
      <w:r w:rsidRPr="001B1007">
        <w:t xml:space="preserve"> must make its SPP/APR available to the public by posting it on the SEA’s website. Within the upcoming weeks, OSEP will be finalizing a State Profile that:</w:t>
      </w:r>
    </w:p>
    <w:p w14:paraId="40EE8DA6" w14:textId="77777777" w:rsidR="00174D28" w:rsidRPr="001B1007" w:rsidRDefault="00174D28" w:rsidP="00174D28">
      <w:pPr>
        <w:pStyle w:val="ListParagraph"/>
        <w:numPr>
          <w:ilvl w:val="0"/>
          <w:numId w:val="13"/>
        </w:numPr>
        <w:spacing w:before="120" w:after="0"/>
        <w:contextualSpacing w:val="0"/>
      </w:pPr>
      <w:r w:rsidRPr="001B1007">
        <w:t xml:space="preserve">includes </w:t>
      </w:r>
      <w:r w:rsidRPr="008005F5">
        <w:t>Louisiana's</w:t>
      </w:r>
      <w:r>
        <w:t xml:space="preserve"> determination letter and SPP/APR, OSEP attachments, and all State or Entity attachments that are accessible in accordance with Section 508 of the Rehabilitation Act of 1973; and </w:t>
      </w:r>
    </w:p>
    <w:p w14:paraId="1ABCF146" w14:textId="77777777" w:rsidR="00174D28" w:rsidRPr="001B1007" w:rsidRDefault="00174D28" w:rsidP="00174D28">
      <w:pPr>
        <w:pStyle w:val="ListParagraph"/>
        <w:numPr>
          <w:ilvl w:val="0"/>
          <w:numId w:val="13"/>
        </w:numPr>
        <w:spacing w:before="120" w:after="0"/>
        <w:contextualSpacing w:val="0"/>
      </w:pPr>
      <w:r w:rsidRPr="001B1007">
        <w:t>will be accessible to the public via the ed.gov website.</w:t>
      </w:r>
    </w:p>
    <w:p w14:paraId="5D80C758" w14:textId="77777777" w:rsidR="00174D28" w:rsidRPr="001B1007" w:rsidRDefault="00174D28" w:rsidP="00174D28">
      <w:r w:rsidRPr="001B1007">
        <w:t xml:space="preserve">OSEP appreciates </w:t>
      </w:r>
      <w:r w:rsidRPr="008005F5">
        <w:t>Louisiana's</w:t>
      </w:r>
      <w:r w:rsidRPr="001B1007">
        <w:t xml:space="preserve"> efforts to improve results for children and youth with disabilities and looks forward to working with </w:t>
      </w:r>
      <w:r>
        <w:t>Louisiana</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306C6EA9" w14:textId="77777777" w:rsidR="00174D28" w:rsidRPr="001B1007" w:rsidRDefault="00174D28" w:rsidP="00174D28">
      <w:pPr>
        <w:keepNext/>
        <w:ind w:left="4680"/>
        <w:rPr>
          <w:szCs w:val="24"/>
        </w:rPr>
      </w:pPr>
      <w:r w:rsidRPr="001B1007">
        <w:rPr>
          <w:szCs w:val="24"/>
        </w:rPr>
        <w:lastRenderedPageBreak/>
        <w:t>Sincerely,</w:t>
      </w:r>
    </w:p>
    <w:p w14:paraId="4ADE0E41" w14:textId="1E9FB1F9" w:rsidR="00174D28" w:rsidRPr="001B1007" w:rsidRDefault="0015743E" w:rsidP="00174D28">
      <w:pPr>
        <w:keepNext/>
        <w:spacing w:before="240"/>
        <w:ind w:left="4680"/>
        <w:rPr>
          <w:szCs w:val="24"/>
        </w:rPr>
      </w:pPr>
      <w:r>
        <w:rPr>
          <w:noProof/>
        </w:rPr>
        <w:drawing>
          <wp:inline distT="0" distB="0" distL="0" distR="0" wp14:anchorId="488D2593" wp14:editId="69E744E7">
            <wp:extent cx="1865056" cy="556895"/>
            <wp:effectExtent l="0" t="0" r="1905" b="0"/>
            <wp:docPr id="2056758296" name="Picture 2056758296"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8296" name="Picture 2056758296" descr="David J Cantrell signature"/>
                    <pic:cNvPicPr/>
                  </pic:nvPicPr>
                  <pic:blipFill rotWithShape="1">
                    <a:blip r:embed="rId24">
                      <a:extLst>
                        <a:ext uri="{28A0092B-C50C-407E-A947-70E740481C1C}">
                          <a14:useLocalDpi xmlns:a14="http://schemas.microsoft.com/office/drawing/2010/main" val="0"/>
                        </a:ext>
                      </a:extLst>
                    </a:blip>
                    <a:srcRect l="6495"/>
                    <a:stretch/>
                  </pic:blipFill>
                  <pic:spPr bwMode="auto">
                    <a:xfrm>
                      <a:off x="0" y="0"/>
                      <a:ext cx="1874165" cy="559615"/>
                    </a:xfrm>
                    <a:prstGeom prst="rect">
                      <a:avLst/>
                    </a:prstGeom>
                    <a:ln>
                      <a:noFill/>
                    </a:ln>
                    <a:extLst>
                      <a:ext uri="{53640926-AAD7-44D8-BBD7-CCE9431645EC}">
                        <a14:shadowObscured xmlns:a14="http://schemas.microsoft.com/office/drawing/2010/main"/>
                      </a:ext>
                    </a:extLst>
                  </pic:spPr>
                </pic:pic>
              </a:graphicData>
            </a:graphic>
          </wp:inline>
        </w:drawing>
      </w:r>
    </w:p>
    <w:p w14:paraId="43D5AAAE" w14:textId="7DBD195E" w:rsidR="00174D28" w:rsidRPr="001B1007" w:rsidRDefault="0015743E" w:rsidP="00174D28">
      <w:pPr>
        <w:keepNext/>
        <w:pBdr>
          <w:top w:val="single" w:sz="4" w:space="1" w:color="auto"/>
        </w:pBdr>
        <w:spacing w:before="0"/>
        <w:ind w:left="4680"/>
        <w:rPr>
          <w:szCs w:val="24"/>
        </w:rPr>
      </w:pPr>
      <w:r>
        <w:rPr>
          <w:szCs w:val="24"/>
        </w:rPr>
        <w:t>David J. Cantrell</w:t>
      </w:r>
    </w:p>
    <w:p w14:paraId="7701B198" w14:textId="7C71AF35" w:rsidR="00174D28" w:rsidRPr="001B1007" w:rsidRDefault="0015743E" w:rsidP="00174D28">
      <w:pPr>
        <w:keepNext/>
        <w:spacing w:before="0"/>
        <w:ind w:left="4680"/>
        <w:rPr>
          <w:szCs w:val="24"/>
        </w:rPr>
      </w:pPr>
      <w:r>
        <w:rPr>
          <w:szCs w:val="24"/>
        </w:rPr>
        <w:t xml:space="preserve">Deputy </w:t>
      </w:r>
      <w:r w:rsidR="00174D28" w:rsidRPr="001B1007">
        <w:rPr>
          <w:szCs w:val="24"/>
        </w:rPr>
        <w:t>Director</w:t>
      </w:r>
    </w:p>
    <w:p w14:paraId="17071300" w14:textId="77777777" w:rsidR="00174D28" w:rsidRPr="001B1007" w:rsidRDefault="00174D28" w:rsidP="00174D28">
      <w:pPr>
        <w:spacing w:before="0"/>
        <w:ind w:left="4680"/>
        <w:rPr>
          <w:szCs w:val="24"/>
        </w:rPr>
      </w:pPr>
      <w:r w:rsidRPr="001B1007">
        <w:rPr>
          <w:szCs w:val="24"/>
        </w:rPr>
        <w:t>Office of Special Education Programs</w:t>
      </w:r>
    </w:p>
    <w:p w14:paraId="0570A75E" w14:textId="77777777" w:rsidR="00174D28" w:rsidRPr="001B1007" w:rsidRDefault="00174D28" w:rsidP="00174D28">
      <w:pPr>
        <w:rPr>
          <w:szCs w:val="24"/>
        </w:rPr>
      </w:pPr>
      <w:r w:rsidRPr="001B1007">
        <w:rPr>
          <w:szCs w:val="24"/>
        </w:rPr>
        <w:t xml:space="preserve">cc: </w:t>
      </w:r>
      <w:r>
        <w:rPr>
          <w:szCs w:val="24"/>
        </w:rPr>
        <w:t>Louisiana</w:t>
      </w:r>
      <w:r w:rsidRPr="001B1007">
        <w:rPr>
          <w:szCs w:val="24"/>
        </w:rPr>
        <w:t xml:space="preserve"> Director of Special Education </w:t>
      </w:r>
    </w:p>
    <w:p w14:paraId="4DD175BF" w14:textId="77777777" w:rsidR="00174D28" w:rsidRPr="001B1007" w:rsidRDefault="00174D28" w:rsidP="00174D28"/>
    <w:p w14:paraId="5C433C77" w14:textId="77777777" w:rsidR="003749F7" w:rsidRPr="001B1007" w:rsidRDefault="003749F7" w:rsidP="003749F7">
      <w:pPr>
        <w:pStyle w:val="CommentText"/>
      </w:pPr>
    </w:p>
    <w:p w14:paraId="1A73978B" w14:textId="77777777" w:rsidR="003749F7" w:rsidRPr="001B1007" w:rsidRDefault="003749F7" w:rsidP="003749F7">
      <w:pPr>
        <w:spacing w:before="0" w:after="200" w:line="276" w:lineRule="auto"/>
        <w:rPr>
          <w:rFonts w:cs="Arial"/>
          <w:b/>
          <w:bCs/>
          <w:szCs w:val="16"/>
        </w:rPr>
      </w:pPr>
    </w:p>
    <w:p w14:paraId="05B81CB3" w14:textId="4B80A2F8" w:rsidR="00D84A0A" w:rsidRPr="00D733C3" w:rsidRDefault="00D84A0A" w:rsidP="003749F7">
      <w:pPr>
        <w:rPr>
          <w:rFonts w:cs="Arial"/>
          <w:b/>
          <w:bCs/>
          <w:szCs w:val="16"/>
        </w:rPr>
      </w:pPr>
    </w:p>
    <w:sectPr w:rsidR="00D84A0A" w:rsidRPr="00D733C3" w:rsidSect="00424C95">
      <w:headerReference w:type="default" r:id="rId25"/>
      <w:footerReference w:type="default" r:id="rId26"/>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76F15" w14:textId="77777777" w:rsidR="00673DB5" w:rsidRDefault="00673DB5" w:rsidP="000802F7">
      <w:pPr>
        <w:spacing w:before="0" w:after="0"/>
      </w:pPr>
      <w:r>
        <w:separator/>
      </w:r>
    </w:p>
  </w:endnote>
  <w:endnote w:type="continuationSeparator" w:id="0">
    <w:p w14:paraId="24B584DA" w14:textId="77777777" w:rsidR="00673DB5" w:rsidRDefault="00673DB5" w:rsidP="000802F7">
      <w:pPr>
        <w:spacing w:before="0" w:after="0"/>
      </w:pPr>
      <w:r>
        <w:continuationSeparator/>
      </w:r>
    </w:p>
  </w:endnote>
  <w:endnote w:type="continuationNotice" w:id="1">
    <w:p w14:paraId="0990EB03" w14:textId="77777777" w:rsidR="00673DB5" w:rsidRDefault="00673D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61D10B4D" w:rsidR="0031327B" w:rsidRDefault="00D733C3" w:rsidP="00D733C3">
            <w:pPr>
              <w:pStyle w:val="Footer"/>
              <w:jc w:val="right"/>
              <w:rPr>
                <w:noProof/>
              </w:rPr>
            </w:pPr>
            <w:r>
              <w:fldChar w:fldCharType="begin"/>
            </w:r>
            <w:r>
              <w:instrText xml:space="preserve"> PAGE   \* MERGEFORMAT </w:instrText>
            </w:r>
            <w:r>
              <w:fldChar w:fldCharType="separate"/>
            </w:r>
            <w:r w:rsidR="00AA0123">
              <w:rPr>
                <w:noProof/>
              </w:rPr>
              <w:t>1</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575961"/>
      <w:docPartObj>
        <w:docPartGallery w:val="Page Numbers (Bottom of Page)"/>
        <w:docPartUnique/>
      </w:docPartObj>
    </w:sdtPr>
    <w:sdtEndPr>
      <w:rPr>
        <w:noProof/>
      </w:rPr>
    </w:sdtEndPr>
    <w:sdtContent>
      <w:p w14:paraId="3659B05B" w14:textId="77777777" w:rsidR="00174D28" w:rsidRPr="00E52257" w:rsidRDefault="00174D28">
        <w:pPr>
          <w:jc w:val="center"/>
          <w:rPr>
            <w:color w:val="17365D"/>
            <w:sz w:val="18"/>
          </w:rPr>
        </w:pPr>
        <w:r w:rsidRPr="00E52257">
          <w:rPr>
            <w:color w:val="17365D"/>
            <w:sz w:val="18"/>
          </w:rPr>
          <w:t>400 MARYLAND AVE. S.W., WASHINGTON DC 20202-2600</w:t>
        </w:r>
      </w:p>
      <w:p w14:paraId="29CF5C0A" w14:textId="77777777" w:rsidR="00174D28" w:rsidRPr="00021B5A" w:rsidRDefault="00174D28">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fldChar w:fldCharType="separate"/>
        </w:r>
        <w:r w:rsidRPr="00543045">
          <w:rPr>
            <w:rStyle w:val="Hyperlink"/>
            <w:color w:val="17365D"/>
            <w:sz w:val="18"/>
          </w:rPr>
          <w:t>www.ed.gov</w:t>
        </w:r>
      </w:p>
      <w:p w14:paraId="130AC254" w14:textId="77777777" w:rsidR="00174D28" w:rsidRPr="00E52257" w:rsidRDefault="00174D28">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1ECDCA10" w14:textId="77777777" w:rsidR="00174D28" w:rsidRDefault="00174D28"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57CD8E78" w14:textId="77777777" w:rsidR="00174D28" w:rsidRDefault="00174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739944"/>
      <w:docPartObj>
        <w:docPartGallery w:val="Page Numbers (Bottom of Page)"/>
        <w:docPartUnique/>
      </w:docPartObj>
    </w:sdtPr>
    <w:sdtEndPr>
      <w:rPr>
        <w:noProof/>
      </w:rPr>
    </w:sdtEndPr>
    <w:sdtContent>
      <w:sdt>
        <w:sdtPr>
          <w:id w:val="288714904"/>
          <w:docPartObj>
            <w:docPartGallery w:val="Page Numbers (Bottom of Page)"/>
            <w:docPartUnique/>
          </w:docPartObj>
        </w:sdtPr>
        <w:sdtEndPr>
          <w:rPr>
            <w:noProof/>
          </w:rPr>
        </w:sdtEndPr>
        <w:sdtContent>
          <w:sdt>
            <w:sdtPr>
              <w:id w:val="1308365650"/>
              <w:docPartObj>
                <w:docPartGallery w:val="Page Numbers (Bottom of Page)"/>
                <w:docPartUnique/>
              </w:docPartObj>
            </w:sdtPr>
            <w:sdtEndPr>
              <w:rPr>
                <w:noProof/>
              </w:rPr>
            </w:sdtEndPr>
            <w:sdtContent>
              <w:p w14:paraId="7AF3CDDF" w14:textId="77777777" w:rsidR="008F7972" w:rsidRDefault="008F7972" w:rsidP="008F7972">
                <w:pPr>
                  <w:pStyle w:val="Footer"/>
                  <w:jc w:val="right"/>
                </w:pPr>
              </w:p>
              <w:p w14:paraId="762DE08A" w14:textId="77777777" w:rsidR="008F7972" w:rsidRPr="00E52257" w:rsidRDefault="008F7972" w:rsidP="008F7972">
                <w:pPr>
                  <w:jc w:val="center"/>
                  <w:rPr>
                    <w:color w:val="17365D"/>
                    <w:sz w:val="18"/>
                  </w:rPr>
                </w:pPr>
                <w:r>
                  <w:rPr>
                    <w:noProof/>
                  </w:rPr>
                  <w:tab/>
                </w:r>
                <w:r w:rsidRPr="00E52257">
                  <w:rPr>
                    <w:color w:val="17365D"/>
                    <w:sz w:val="18"/>
                  </w:rPr>
                  <w:t>400 MARYLAND AVE. S.W., WASHINGTON DC 20202-2600</w:t>
                </w:r>
              </w:p>
              <w:p w14:paraId="590C0A23" w14:textId="77777777" w:rsidR="008F7972" w:rsidRPr="00021B5A" w:rsidRDefault="008F7972"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fldChar w:fldCharType="separate"/>
                </w:r>
                <w:r w:rsidRPr="00543045">
                  <w:rPr>
                    <w:rStyle w:val="Hyperlink"/>
                    <w:color w:val="17365D"/>
                    <w:sz w:val="18"/>
                  </w:rPr>
                  <w:t>www.ed.gov</w:t>
                </w:r>
              </w:p>
              <w:p w14:paraId="27ED1930" w14:textId="1C538022" w:rsidR="008F7972" w:rsidRPr="00903BFD" w:rsidRDefault="008F7972"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401E6793" w14:textId="4387778C" w:rsidR="00FE4611" w:rsidRDefault="00FE4611" w:rsidP="003E5D5A">
            <w:pPr>
              <w:jc w:val="center"/>
              <w:rPr>
                <w:noProof/>
              </w:rPr>
            </w:pPr>
            <w:r>
              <w:fldChar w:fldCharType="begin"/>
            </w:r>
            <w:r>
              <w:instrText xml:space="preserve"> PAGE   \* MERGEFORMAT </w:instrText>
            </w:r>
            <w:r>
              <w:fldChar w:fldCharType="separate"/>
            </w:r>
            <w:r w:rsidR="00AA0123">
              <w:rPr>
                <w:noProof/>
              </w:rPr>
              <w:t>120</w:t>
            </w:r>
            <w:r>
              <w:rPr>
                <w:noProof/>
              </w:rPr>
              <w:fldChar w:fldCharType="end"/>
            </w:r>
            <w:r>
              <w:ptab w:relativeTo="margin" w:alignment="right" w:leader="none"/>
            </w:r>
            <w:r>
              <w:t>Part B</w:t>
            </w:r>
          </w:p>
        </w:sdtContent>
      </w:sdt>
    </w:sdtContent>
  </w:sdt>
  <w:p w14:paraId="69783EC1" w14:textId="77777777" w:rsidR="00FE4611" w:rsidRDefault="00FE461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A3EC"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349CF" w14:textId="77777777" w:rsidR="00673DB5" w:rsidRDefault="00673DB5" w:rsidP="000802F7">
      <w:pPr>
        <w:spacing w:before="0" w:after="0"/>
      </w:pPr>
      <w:r>
        <w:separator/>
      </w:r>
    </w:p>
  </w:footnote>
  <w:footnote w:type="continuationSeparator" w:id="0">
    <w:p w14:paraId="5D91F019" w14:textId="77777777" w:rsidR="00673DB5" w:rsidRDefault="00673DB5" w:rsidP="000802F7">
      <w:pPr>
        <w:spacing w:before="0" w:after="0"/>
      </w:pPr>
      <w:r>
        <w:continuationSeparator/>
      </w:r>
    </w:p>
  </w:footnote>
  <w:footnote w:type="continuationNotice" w:id="1">
    <w:p w14:paraId="2C0B7D3A" w14:textId="77777777" w:rsidR="00673DB5" w:rsidRDefault="00673D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A173"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2ECFDFFD" wp14:editId="77D0A7F3">
          <wp:simplePos x="0" y="0"/>
          <wp:positionH relativeFrom="column">
            <wp:posOffset>-51830</wp:posOffset>
          </wp:positionH>
          <wp:positionV relativeFrom="paragraph">
            <wp:posOffset>-191638</wp:posOffset>
          </wp:positionV>
          <wp:extent cx="914400" cy="914400"/>
          <wp:effectExtent l="0" t="0" r="0" b="0"/>
          <wp:wrapSquare wrapText="bothSides"/>
          <wp:docPr id="1291189274" name="Picture 1291189274"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43D196D0" w14:textId="77777777" w:rsidR="00174D28"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5A9381D4"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p>
  <w:p w14:paraId="67E87ACE" w14:textId="77777777" w:rsidR="00174D28" w:rsidRDefault="00174D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5EB0" w14:textId="77777777" w:rsidR="008F7972" w:rsidRPr="00923F24" w:rsidRDefault="008F7972"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61312" behindDoc="0" locked="0" layoutInCell="1" allowOverlap="1" wp14:anchorId="3C07BFE8" wp14:editId="105A03D2">
          <wp:simplePos x="0" y="0"/>
          <wp:positionH relativeFrom="column">
            <wp:posOffset>-51830</wp:posOffset>
          </wp:positionH>
          <wp:positionV relativeFrom="paragraph">
            <wp:posOffset>-191638</wp:posOffset>
          </wp:positionV>
          <wp:extent cx="914400" cy="914400"/>
          <wp:effectExtent l="0" t="0" r="0" b="0"/>
          <wp:wrapSquare wrapText="bothSides"/>
          <wp:docPr id="706497182" name="Picture 70649718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D727090" w14:textId="77777777" w:rsidR="008F7972" w:rsidRDefault="008F7972"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1A550A00" w14:textId="77777777" w:rsidR="008F7972" w:rsidRDefault="008F7972" w:rsidP="008F7972">
    <w:pPr>
      <w:pStyle w:val="Header"/>
    </w:pPr>
  </w:p>
  <w:p w14:paraId="3A4A119D" w14:textId="77777777" w:rsidR="00FE4611" w:rsidRPr="00923F24" w:rsidRDefault="00FE4611" w:rsidP="00903BFD">
    <w:pPr>
      <w:spacing w:before="120" w:after="0"/>
      <w:ind w:right="1440"/>
      <w:rPr>
        <w:rFonts w:ascii="Times New Roman" w:eastAsia="Times New Roman" w:hAnsi="Times New Roman" w:cs="Times New Roman"/>
        <w:b/>
        <w:smallCaps/>
        <w:color w:val="244061"/>
        <w:sz w:val="24"/>
      </w:rPr>
    </w:pPr>
  </w:p>
  <w:p w14:paraId="46928CAD" w14:textId="77777777" w:rsidR="00FE4611" w:rsidRDefault="00FE4611">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BAE8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16"/>
  </w:num>
  <w:num w:numId="5">
    <w:abstractNumId w:val="6"/>
  </w:num>
  <w:num w:numId="6">
    <w:abstractNumId w:val="2"/>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14"/>
  </w:num>
  <w:num w:numId="12">
    <w:abstractNumId w:val="12"/>
  </w:num>
  <w:num w:numId="13">
    <w:abstractNumId w:val="3"/>
  </w:num>
  <w:num w:numId="14">
    <w:abstractNumId w:val="1"/>
  </w:num>
  <w:num w:numId="15">
    <w:abstractNumId w:val="9"/>
  </w:num>
  <w:num w:numId="16">
    <w:abstractNumId w:val="8"/>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E2B"/>
    <w:rsid w:val="00193321"/>
    <w:rsid w:val="00193AD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5083"/>
    <w:rsid w:val="00255E0E"/>
    <w:rsid w:val="00256572"/>
    <w:rsid w:val="0025687D"/>
    <w:rsid w:val="00256998"/>
    <w:rsid w:val="00256FF8"/>
    <w:rsid w:val="002602A9"/>
    <w:rsid w:val="00260D94"/>
    <w:rsid w:val="00260DBA"/>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7F2F"/>
    <w:rsid w:val="0039000D"/>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12"/>
    <w:rsid w:val="00500171"/>
    <w:rsid w:val="005003A6"/>
    <w:rsid w:val="005004AB"/>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2EAD"/>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806"/>
    <w:rsid w:val="006634D9"/>
    <w:rsid w:val="00664D35"/>
    <w:rsid w:val="00665097"/>
    <w:rsid w:val="006652CF"/>
    <w:rsid w:val="00665431"/>
    <w:rsid w:val="00665E2F"/>
    <w:rsid w:val="00665E66"/>
    <w:rsid w:val="00666042"/>
    <w:rsid w:val="00666EC6"/>
    <w:rsid w:val="00667704"/>
    <w:rsid w:val="00667B66"/>
    <w:rsid w:val="00670B70"/>
    <w:rsid w:val="00670C09"/>
    <w:rsid w:val="006712F6"/>
    <w:rsid w:val="00671E7A"/>
    <w:rsid w:val="006728F7"/>
    <w:rsid w:val="00672CF2"/>
    <w:rsid w:val="00672EE9"/>
    <w:rsid w:val="006736C1"/>
    <w:rsid w:val="006737FF"/>
    <w:rsid w:val="00673813"/>
    <w:rsid w:val="00673DB5"/>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3BD7"/>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70077A"/>
    <w:rsid w:val="0070083E"/>
    <w:rsid w:val="00700E96"/>
    <w:rsid w:val="00700FD9"/>
    <w:rsid w:val="00701B1E"/>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FD4"/>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1EA"/>
    <w:rsid w:val="008B7475"/>
    <w:rsid w:val="008B7787"/>
    <w:rsid w:val="008B7DF5"/>
    <w:rsid w:val="008C070D"/>
    <w:rsid w:val="008C0F61"/>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412"/>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439"/>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633"/>
    <w:rsid w:val="00A34F69"/>
    <w:rsid w:val="00A35007"/>
    <w:rsid w:val="00A3674D"/>
    <w:rsid w:val="00A37231"/>
    <w:rsid w:val="00A37AF1"/>
    <w:rsid w:val="00A40EE2"/>
    <w:rsid w:val="00A41EFA"/>
    <w:rsid w:val="00A429E0"/>
    <w:rsid w:val="00A42BA4"/>
    <w:rsid w:val="00A430B5"/>
    <w:rsid w:val="00A432F3"/>
    <w:rsid w:val="00A434C8"/>
    <w:rsid w:val="00A4449C"/>
    <w:rsid w:val="00A44506"/>
    <w:rsid w:val="00A447E0"/>
    <w:rsid w:val="00A44B7A"/>
    <w:rsid w:val="00A44BD9"/>
    <w:rsid w:val="00A4503C"/>
    <w:rsid w:val="00A454A2"/>
    <w:rsid w:val="00A45E9F"/>
    <w:rsid w:val="00A46274"/>
    <w:rsid w:val="00A46BF2"/>
    <w:rsid w:val="00A46DE5"/>
    <w:rsid w:val="00A47064"/>
    <w:rsid w:val="00A47134"/>
    <w:rsid w:val="00A47960"/>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899"/>
    <w:rsid w:val="00A97A84"/>
    <w:rsid w:val="00AA010F"/>
    <w:rsid w:val="00AA0123"/>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2AE1"/>
    <w:rsid w:val="00AB38B4"/>
    <w:rsid w:val="00AB39FB"/>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EF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90"/>
    <w:rsid w:val="00BF4699"/>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7356"/>
    <w:rsid w:val="00C773D6"/>
    <w:rsid w:val="00C773DB"/>
    <w:rsid w:val="00C7780C"/>
    <w:rsid w:val="00C77920"/>
    <w:rsid w:val="00C77D8E"/>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10BC"/>
    <w:rsid w:val="00C91B94"/>
    <w:rsid w:val="00C91C48"/>
    <w:rsid w:val="00C91F30"/>
    <w:rsid w:val="00C9207A"/>
    <w:rsid w:val="00C924C3"/>
    <w:rsid w:val="00C92B5B"/>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625"/>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7AC"/>
    <w:rsid w:val="00E87854"/>
    <w:rsid w:val="00E878D3"/>
    <w:rsid w:val="00E87D62"/>
    <w:rsid w:val="00E90DE9"/>
    <w:rsid w:val="00E9110B"/>
    <w:rsid w:val="00E91363"/>
    <w:rsid w:val="00E91570"/>
    <w:rsid w:val="00E91F8B"/>
    <w:rsid w:val="00E92143"/>
    <w:rsid w:val="00E9278F"/>
    <w:rsid w:val="00E928DD"/>
    <w:rsid w:val="00E92EFB"/>
    <w:rsid w:val="00E93DFE"/>
    <w:rsid w:val="00E946D9"/>
    <w:rsid w:val="00E956A8"/>
    <w:rsid w:val="00E959A2"/>
    <w:rsid w:val="00E95FA9"/>
    <w:rsid w:val="00E95FBF"/>
    <w:rsid w:val="00E9635A"/>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FA"/>
    <w:rsid w:val="00F1486B"/>
    <w:rsid w:val="00F14D0B"/>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1420"/>
    <w:rsid w:val="00FA2553"/>
    <w:rsid w:val="00FA318E"/>
    <w:rsid w:val="00FA3375"/>
    <w:rsid w:val="00FA33C9"/>
    <w:rsid w:val="00FA3AFB"/>
    <w:rsid w:val="00FA45A1"/>
    <w:rsid w:val="00FA4AAF"/>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40278"/>
  <w15:docId w15:val="{0BB978F0-54D2-466E-B8D7-B75717B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customStyle="1"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customStyle="1"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ites.ed.gov/idea/how-the-department-made-determin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3" Type="http://schemas.openxmlformats.org/officeDocument/2006/relationships/hyperlink" Target="https://sites.ed.gov/idea/topic-area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B-SPP-APR-Reformatted-Measurement-Table.pdf" TargetMode="External"/><Relationship Id="rId22" Type="http://schemas.openxmlformats.org/officeDocument/2006/relationships/hyperlink" Target="https://sites.ed.gov/idea/how-the-department-made-determination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7593-5C24-4EF6-9A4F-F7C3F73B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4.xml><?xml version="1.0" encoding="utf-8"?>
<ds:datastoreItem xmlns:ds="http://schemas.openxmlformats.org/officeDocument/2006/customXml" ds:itemID="{AF60AFBD-F1E6-4F38-AFA9-0C848010E941}">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TotalTime>
  <Pages>122</Pages>
  <Words>70583</Words>
  <Characters>399799</Characters>
  <Application>Microsoft Office Word</Application>
  <DocSecurity>0</DocSecurity>
  <Lines>8797</Lines>
  <Paragraphs>4098</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Company>Microsoft</Company>
  <LinksUpToDate>false</LinksUpToDate>
  <CharactersWithSpaces>467238</CharactersWithSpaces>
  <SharedDoc>false</SharedDoc>
  <HLinks>
    <vt:vector size="54" baseType="variant">
      <vt:variant>
        <vt:i4>852039</vt:i4>
      </vt:variant>
      <vt:variant>
        <vt:i4>24</vt:i4>
      </vt:variant>
      <vt:variant>
        <vt:i4>0</vt:i4>
      </vt:variant>
      <vt:variant>
        <vt:i4>5</vt:i4>
      </vt:variant>
      <vt:variant>
        <vt:lpwstr>https://compcenternetwork.org/states</vt:lpwstr>
      </vt:variant>
      <vt:variant>
        <vt:lpwstr/>
      </vt:variant>
      <vt:variant>
        <vt:i4>7471146</vt:i4>
      </vt:variant>
      <vt:variant>
        <vt:i4>21</vt:i4>
      </vt:variant>
      <vt:variant>
        <vt:i4>0</vt:i4>
      </vt:variant>
      <vt:variant>
        <vt:i4>5</vt:i4>
      </vt:variant>
      <vt:variant>
        <vt:lpwstr>https://sites.ed.gov/idea/topic-areas/</vt:lpwstr>
      </vt:variant>
      <vt:variant>
        <vt:lpwstr/>
      </vt:variant>
      <vt:variant>
        <vt:i4>3670114</vt:i4>
      </vt:variant>
      <vt:variant>
        <vt:i4>18</vt:i4>
      </vt:variant>
      <vt:variant>
        <vt:i4>0</vt:i4>
      </vt:variant>
      <vt:variant>
        <vt:i4>5</vt:i4>
      </vt:variant>
      <vt:variant>
        <vt:lpwstr>https://osepideasthatwork.org/resources-grantees/program-areas/monitoring-and-state-improvement-planning-msip?tab=pa-resources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B</dc:title>
  <dc:subject>IDEA State Performance Plan/Annual Performance Report (SPP/APR)</dc:subject>
  <dc:creator>U.S. Department of Education, OSERS, OSEP</dc:creator>
  <cp:keywords>Part B, 2025, IDEA, State Performance Plan, Annual Performance Report, SPP, APR, Determination Letter, Results Driven Accountability, RDA</cp:keywords>
  <cp:lastModifiedBy>Yolanda Oates (DOE)</cp:lastModifiedBy>
  <cp:revision>2</cp:revision>
  <cp:lastPrinted>2014-08-19T22:56:00Z</cp:lastPrinted>
  <dcterms:created xsi:type="dcterms:W3CDTF">2025-11-06T01:56:00Z</dcterms:created>
  <dcterms:modified xsi:type="dcterms:W3CDTF">2025-11-06T01:56:00Z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GrammarlyDocumentId">
    <vt:lpwstr>2eaae434-b2c6-4c85-9de2-809ff95a22ec</vt:lpwstr>
  </property>
</Properties>
</file>