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E3AB6B" w14:textId="77777777" w:rsidR="00BB4760" w:rsidRDefault="00F91C53">
      <w:pPr>
        <w:jc w:val="both"/>
      </w:pPr>
      <w:bookmarkStart w:id="0" w:name="_gjdgxs" w:colFirst="0" w:colLast="0"/>
      <w:bookmarkEnd w:id="0"/>
      <w:r>
        <w:rPr>
          <w:lang w:bidi="es-US"/>
        </w:rPr>
        <w:t xml:space="preserve">Este documento describe las categorías de solicitud de subvención para apartar fondos en el año fiscal federal (FFY 22), el borrador de la solicitud de subvención de la Ley de Educación para Personas con Discapacidades (IDEA, por sus siglas en inglés), las actividades correspondientes que serían respaldadas en cada categoría y las necesidades de financiamiento propuestas para cada categoría. Las actividades descritas en este documento responden a las necesidades de los estudiantes, los educadores y las familias de Luisiana y apoyan las </w:t>
      </w:r>
      <w:hyperlink r:id="rId7">
        <w:r>
          <w:rPr>
            <w:color w:val="1155CC"/>
            <w:u w:val="single"/>
            <w:lang w:bidi="es-US"/>
          </w:rPr>
          <w:t>Prioridades de Creer para Lograr de Luisiana</w:t>
        </w:r>
      </w:hyperlink>
      <w:r>
        <w:rPr>
          <w:lang w:bidi="es-US"/>
        </w:rPr>
        <w:t xml:space="preserve">y las mejores prácticas para apoyar un camino educativo inclusivo y de alta calidad para los estudiantes con discapacidades. </w:t>
      </w:r>
    </w:p>
    <w:p w14:paraId="453434BC" w14:textId="77777777" w:rsidR="00BB4760" w:rsidRDefault="00BB4760">
      <w:bookmarkStart w:id="1" w:name="_bfjt4mqsxwqg" w:colFirst="0" w:colLast="0"/>
      <w:bookmarkEnd w:id="1"/>
    </w:p>
    <w:p w14:paraId="7ED7FCB7" w14:textId="77777777" w:rsidR="00BB4760" w:rsidRDefault="00F91C53">
      <w:pPr>
        <w:rPr>
          <w:highlight w:val="white"/>
        </w:rPr>
      </w:pPr>
      <w:bookmarkStart w:id="2" w:name="_o9xzqm1tp0iy" w:colFirst="0" w:colLast="0"/>
      <w:bookmarkEnd w:id="2"/>
      <w:r>
        <w:rPr>
          <w:highlight w:val="white"/>
          <w:lang w:bidi="es-US"/>
        </w:rPr>
        <w:t xml:space="preserve"> Aunque el Departamento aún no ha recibido las tablas de asignación del FFY 22,La OSEP recomendó a los estados que preparen la solicitud utilizando las asignaciones de la solicitud del año fiscal 21 y, al recibir las tablas de asignación, ingresar la información más actualizada con la solicitud y volver a publicarla durante el plazo de participación pública.</w:t>
      </w:r>
      <w:r>
        <w:rPr>
          <w:highlight w:val="white"/>
          <w:vertAlign w:val="superscript"/>
          <w:lang w:bidi="es-US"/>
        </w:rPr>
        <w:footnoteReference w:id="1"/>
      </w:r>
      <w:r>
        <w:rPr>
          <w:highlight w:val="white"/>
          <w:lang w:bidi="es-US"/>
        </w:rPr>
        <w:t xml:space="preserve"> Los montos en dólares que se muestran a continuación reflejan las asignaciones recibidas para la solicitud del año fiscal 21.  </w:t>
      </w:r>
    </w:p>
    <w:p w14:paraId="3F06F250" w14:textId="77777777" w:rsidR="00BB4760" w:rsidRDefault="00BB4760">
      <w:bookmarkStart w:id="3" w:name="_b4bffohujjm5" w:colFirst="0" w:colLast="0"/>
      <w:bookmarkEnd w:id="3"/>
    </w:p>
    <w:tbl>
      <w:tblPr>
        <w:tblStyle w:val="a"/>
        <w:tblW w:w="10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50"/>
        <w:gridCol w:w="3405"/>
        <w:gridCol w:w="690"/>
        <w:gridCol w:w="2475"/>
      </w:tblGrid>
      <w:tr w:rsidR="00BB4760" w14:paraId="4EB02AB5" w14:textId="77777777">
        <w:tc>
          <w:tcPr>
            <w:tcW w:w="3750" w:type="dxa"/>
            <w:shd w:val="clear" w:color="auto" w:fill="auto"/>
            <w:tcMar>
              <w:top w:w="100" w:type="dxa"/>
              <w:left w:w="100" w:type="dxa"/>
              <w:bottom w:w="100" w:type="dxa"/>
              <w:right w:w="100" w:type="dxa"/>
            </w:tcMar>
          </w:tcPr>
          <w:p w14:paraId="088ACE64" w14:textId="77777777" w:rsidR="00BB4760" w:rsidRDefault="00F91C53">
            <w:pPr>
              <w:widowControl w:val="0"/>
              <w:pBdr>
                <w:top w:val="nil"/>
                <w:left w:val="nil"/>
                <w:bottom w:val="nil"/>
                <w:right w:val="nil"/>
                <w:between w:val="nil"/>
              </w:pBdr>
              <w:jc w:val="center"/>
              <w:rPr>
                <w:b/>
              </w:rPr>
            </w:pPr>
            <w:r>
              <w:rPr>
                <w:b/>
                <w:lang w:bidi="es-US"/>
              </w:rPr>
              <w:t>PARA OTRAS ACTIVIDADES DE NIVEL ESTATAL</w:t>
            </w:r>
          </w:p>
        </w:tc>
        <w:tc>
          <w:tcPr>
            <w:tcW w:w="3405" w:type="dxa"/>
            <w:shd w:val="clear" w:color="auto" w:fill="auto"/>
            <w:tcMar>
              <w:top w:w="100" w:type="dxa"/>
              <w:left w:w="100" w:type="dxa"/>
              <w:bottom w:w="100" w:type="dxa"/>
              <w:right w:w="100" w:type="dxa"/>
            </w:tcMar>
          </w:tcPr>
          <w:p w14:paraId="501C984F" w14:textId="77777777" w:rsidR="00BB4760" w:rsidRDefault="00F91C53">
            <w:pPr>
              <w:widowControl w:val="0"/>
              <w:pBdr>
                <w:top w:val="nil"/>
                <w:left w:val="nil"/>
                <w:bottom w:val="nil"/>
                <w:right w:val="nil"/>
                <w:between w:val="nil"/>
              </w:pBdr>
              <w:jc w:val="center"/>
              <w:rPr>
                <w:b/>
              </w:rPr>
            </w:pPr>
            <w:r>
              <w:rPr>
                <w:b/>
                <w:lang w:bidi="es-US"/>
              </w:rPr>
              <w:t>ACTIVIDADES Y DESCRIPCIONES</w:t>
            </w:r>
          </w:p>
        </w:tc>
        <w:tc>
          <w:tcPr>
            <w:tcW w:w="690" w:type="dxa"/>
            <w:shd w:val="clear" w:color="auto" w:fill="auto"/>
            <w:tcMar>
              <w:top w:w="100" w:type="dxa"/>
              <w:left w:w="100" w:type="dxa"/>
              <w:bottom w:w="100" w:type="dxa"/>
              <w:right w:w="100" w:type="dxa"/>
            </w:tcMar>
          </w:tcPr>
          <w:p w14:paraId="740C0190" w14:textId="77777777" w:rsidR="00BB4760" w:rsidRDefault="00BB4760">
            <w:pPr>
              <w:widowControl w:val="0"/>
              <w:pBdr>
                <w:top w:val="nil"/>
                <w:left w:val="nil"/>
                <w:bottom w:val="nil"/>
                <w:right w:val="nil"/>
                <w:between w:val="nil"/>
              </w:pBdr>
              <w:jc w:val="center"/>
              <w:rPr>
                <w:b/>
              </w:rPr>
            </w:pPr>
          </w:p>
        </w:tc>
        <w:tc>
          <w:tcPr>
            <w:tcW w:w="2475" w:type="dxa"/>
            <w:shd w:val="clear" w:color="auto" w:fill="auto"/>
            <w:tcMar>
              <w:top w:w="100" w:type="dxa"/>
              <w:left w:w="100" w:type="dxa"/>
              <w:bottom w:w="100" w:type="dxa"/>
              <w:right w:w="100" w:type="dxa"/>
            </w:tcMar>
          </w:tcPr>
          <w:p w14:paraId="0BA4DC9D" w14:textId="77777777" w:rsidR="00BB4760" w:rsidRDefault="00F91C53">
            <w:pPr>
              <w:widowControl w:val="0"/>
              <w:pBdr>
                <w:top w:val="nil"/>
                <w:left w:val="nil"/>
                <w:bottom w:val="nil"/>
                <w:right w:val="nil"/>
                <w:between w:val="nil"/>
              </w:pBdr>
              <w:jc w:val="center"/>
              <w:rPr>
                <w:b/>
              </w:rPr>
            </w:pPr>
            <w:r>
              <w:rPr>
                <w:b/>
                <w:lang w:bidi="es-US"/>
              </w:rPr>
              <w:t xml:space="preserve">CANTIDADES EN DÓLARES </w:t>
            </w:r>
          </w:p>
        </w:tc>
      </w:tr>
      <w:tr w:rsidR="00BB4760" w14:paraId="202EC97E" w14:textId="77777777">
        <w:tc>
          <w:tcPr>
            <w:tcW w:w="3750" w:type="dxa"/>
            <w:tcBorders>
              <w:bottom w:val="single" w:sz="6" w:space="0" w:color="000000"/>
            </w:tcBorders>
            <w:tcMar>
              <w:top w:w="100" w:type="dxa"/>
              <w:left w:w="100" w:type="dxa"/>
              <w:bottom w:w="100" w:type="dxa"/>
              <w:right w:w="100" w:type="dxa"/>
            </w:tcMar>
          </w:tcPr>
          <w:p w14:paraId="57633A05" w14:textId="77777777" w:rsidR="00BB4760" w:rsidRDefault="00F91C53">
            <w:pPr>
              <w:widowControl w:val="0"/>
              <w:pBdr>
                <w:top w:val="nil"/>
                <w:left w:val="nil"/>
                <w:bottom w:val="nil"/>
                <w:right w:val="nil"/>
                <w:between w:val="nil"/>
              </w:pBdr>
            </w:pPr>
            <w:r>
              <w:rPr>
                <w:lang w:bidi="es-US"/>
              </w:rPr>
              <w:t>Actividades requeridas</w:t>
            </w:r>
          </w:p>
          <w:p w14:paraId="14B5AA9C" w14:textId="77777777" w:rsidR="00BB4760" w:rsidRDefault="00F91C53">
            <w:pPr>
              <w:widowControl w:val="0"/>
              <w:pBdr>
                <w:top w:val="nil"/>
                <w:left w:val="nil"/>
                <w:bottom w:val="nil"/>
                <w:right w:val="nil"/>
                <w:between w:val="nil"/>
              </w:pBdr>
            </w:pPr>
            <w:r>
              <w:rPr>
                <w:lang w:bidi="es-US"/>
              </w:rPr>
              <w:t>Fondos reservados bajo 20 U.S.C.</w:t>
            </w:r>
          </w:p>
          <w:p w14:paraId="185EDF84" w14:textId="77777777" w:rsidR="00BB4760" w:rsidRDefault="00F91C53">
            <w:pPr>
              <w:widowControl w:val="0"/>
              <w:pBdr>
                <w:top w:val="nil"/>
                <w:left w:val="nil"/>
                <w:bottom w:val="nil"/>
                <w:right w:val="nil"/>
                <w:between w:val="nil"/>
              </w:pBdr>
            </w:pPr>
            <w:r>
              <w:rPr>
                <w:lang w:bidi="es-US"/>
              </w:rPr>
              <w:t>1411(e)(2)(A);34CFR§300.704 se</w:t>
            </w:r>
          </w:p>
          <w:p w14:paraId="0AB19150" w14:textId="77777777" w:rsidR="00BB4760" w:rsidRDefault="00F91C53">
            <w:pPr>
              <w:widowControl w:val="0"/>
              <w:pBdr>
                <w:top w:val="nil"/>
                <w:left w:val="nil"/>
                <w:bottom w:val="nil"/>
                <w:right w:val="nil"/>
                <w:between w:val="nil"/>
              </w:pBdr>
            </w:pPr>
            <w:r>
              <w:rPr>
                <w:lang w:bidi="es-US"/>
              </w:rPr>
              <w:t>utilizarán para realizar las siguientes actividades:</w:t>
            </w:r>
          </w:p>
        </w:tc>
        <w:tc>
          <w:tcPr>
            <w:tcW w:w="3405" w:type="dxa"/>
            <w:tcBorders>
              <w:bottom w:val="single" w:sz="6" w:space="0" w:color="000000"/>
            </w:tcBorders>
            <w:shd w:val="clear" w:color="auto" w:fill="CCCCCC"/>
            <w:tcMar>
              <w:top w:w="100" w:type="dxa"/>
              <w:left w:w="100" w:type="dxa"/>
              <w:bottom w:w="100" w:type="dxa"/>
              <w:right w:w="100" w:type="dxa"/>
            </w:tcMar>
          </w:tcPr>
          <w:p w14:paraId="5920730B" w14:textId="77777777" w:rsidR="00BB4760" w:rsidRDefault="00BB4760">
            <w:pPr>
              <w:widowControl w:val="0"/>
              <w:pBdr>
                <w:top w:val="nil"/>
                <w:left w:val="nil"/>
                <w:bottom w:val="nil"/>
                <w:right w:val="nil"/>
                <w:between w:val="nil"/>
              </w:pBdr>
            </w:pPr>
          </w:p>
        </w:tc>
        <w:tc>
          <w:tcPr>
            <w:tcW w:w="690" w:type="dxa"/>
            <w:tcBorders>
              <w:bottom w:val="single" w:sz="6" w:space="0" w:color="000000"/>
            </w:tcBorders>
            <w:shd w:val="clear" w:color="auto" w:fill="CCCCCC"/>
            <w:tcMar>
              <w:top w:w="100" w:type="dxa"/>
              <w:left w:w="100" w:type="dxa"/>
              <w:bottom w:w="100" w:type="dxa"/>
              <w:right w:w="100" w:type="dxa"/>
            </w:tcMar>
          </w:tcPr>
          <w:p w14:paraId="4CEA43B0" w14:textId="77777777" w:rsidR="00BB4760" w:rsidRDefault="00BB4760">
            <w:pPr>
              <w:widowControl w:val="0"/>
              <w:pBdr>
                <w:top w:val="nil"/>
                <w:left w:val="nil"/>
                <w:bottom w:val="nil"/>
                <w:right w:val="nil"/>
                <w:between w:val="nil"/>
              </w:pBdr>
            </w:pPr>
          </w:p>
        </w:tc>
        <w:tc>
          <w:tcPr>
            <w:tcW w:w="2475" w:type="dxa"/>
            <w:tcBorders>
              <w:bottom w:val="single" w:sz="6" w:space="0" w:color="000000"/>
            </w:tcBorders>
            <w:shd w:val="clear" w:color="auto" w:fill="CCCCCC"/>
            <w:tcMar>
              <w:top w:w="100" w:type="dxa"/>
              <w:left w:w="100" w:type="dxa"/>
              <w:bottom w:w="100" w:type="dxa"/>
              <w:right w:w="100" w:type="dxa"/>
            </w:tcMar>
          </w:tcPr>
          <w:p w14:paraId="523396D8" w14:textId="77777777" w:rsidR="00BB4760" w:rsidRDefault="00BB4760">
            <w:pPr>
              <w:widowControl w:val="0"/>
              <w:pBdr>
                <w:top w:val="nil"/>
                <w:left w:val="nil"/>
                <w:bottom w:val="nil"/>
                <w:right w:val="nil"/>
                <w:between w:val="nil"/>
              </w:pBdr>
              <w:jc w:val="right"/>
            </w:pPr>
          </w:p>
        </w:tc>
      </w:tr>
      <w:tr w:rsidR="00BB4760" w14:paraId="5571A830" w14:textId="77777777">
        <w:tc>
          <w:tcPr>
            <w:tcW w:w="3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DF4A544" w14:textId="77777777" w:rsidR="00BB4760" w:rsidRDefault="00F91C53">
            <w:pPr>
              <w:widowControl w:val="0"/>
              <w:spacing w:line="276" w:lineRule="auto"/>
              <w:ind w:left="90"/>
            </w:pPr>
            <w:r>
              <w:rPr>
                <w:lang w:bidi="es-US"/>
              </w:rPr>
              <w:t>Para monitoreo, ejecución e investigación de quejas.</w:t>
            </w:r>
          </w:p>
        </w:tc>
        <w:tc>
          <w:tcPr>
            <w:tcW w:w="340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D74E7E9" w14:textId="77777777" w:rsidR="00BB4760" w:rsidRDefault="00BB4760">
            <w:pPr>
              <w:widowControl w:val="0"/>
              <w:spacing w:line="276" w:lineRule="auto"/>
            </w:pPr>
          </w:p>
        </w:tc>
        <w:tc>
          <w:tcPr>
            <w:tcW w:w="6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8F1B70D" w14:textId="77777777" w:rsidR="00BB4760" w:rsidRDefault="00F91C53">
            <w:pPr>
              <w:widowControl w:val="0"/>
              <w:spacing w:line="276" w:lineRule="auto"/>
            </w:pPr>
            <w:r>
              <w:rPr>
                <w:lang w:bidi="es-US"/>
              </w:rPr>
              <w:t>h.</w:t>
            </w:r>
          </w:p>
        </w:tc>
        <w:tc>
          <w:tcPr>
            <w:tcW w:w="247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C084CA9" w14:textId="77777777" w:rsidR="00BB4760" w:rsidRDefault="00F91C53">
            <w:pPr>
              <w:widowControl w:val="0"/>
              <w:spacing w:line="276" w:lineRule="auto"/>
              <w:jc w:val="right"/>
            </w:pPr>
            <w:r>
              <w:rPr>
                <w:lang w:bidi="es-US"/>
              </w:rPr>
              <w:t>$221,309.</w:t>
            </w:r>
          </w:p>
        </w:tc>
      </w:tr>
      <w:tr w:rsidR="00BB4760" w14:paraId="521A0FCF" w14:textId="77777777">
        <w:tc>
          <w:tcPr>
            <w:tcW w:w="3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44E2D81" w14:textId="77777777" w:rsidR="00BB4760" w:rsidRDefault="00F91C53">
            <w:pPr>
              <w:widowControl w:val="0"/>
              <w:spacing w:line="276" w:lineRule="auto"/>
              <w:ind w:left="90"/>
            </w:pPr>
            <w:r>
              <w:rPr>
                <w:lang w:bidi="es-US"/>
              </w:rPr>
              <w:t>Para establecer e implementar el proceso de mediación requerido por 20 U.S.C.1415I; 34 CFR§300.704, incluida la provisión del costo de los mediadores y el personal de apoyo.</w:t>
            </w:r>
          </w:p>
        </w:tc>
        <w:tc>
          <w:tcPr>
            <w:tcW w:w="340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6346F33" w14:textId="77777777" w:rsidR="00BB4760" w:rsidRDefault="00BB4760">
            <w:pPr>
              <w:widowControl w:val="0"/>
              <w:spacing w:line="276" w:lineRule="auto"/>
            </w:pPr>
          </w:p>
        </w:tc>
        <w:tc>
          <w:tcPr>
            <w:tcW w:w="6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49AE05A" w14:textId="77777777" w:rsidR="00BB4760" w:rsidRDefault="00F91C53">
            <w:pPr>
              <w:widowControl w:val="0"/>
              <w:spacing w:line="276" w:lineRule="auto"/>
            </w:pPr>
            <w:r>
              <w:rPr>
                <w:lang w:bidi="es-US"/>
              </w:rPr>
              <w:t>i.</w:t>
            </w:r>
          </w:p>
        </w:tc>
        <w:tc>
          <w:tcPr>
            <w:tcW w:w="247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49DBAF5" w14:textId="77777777" w:rsidR="00BB4760" w:rsidRDefault="00F91C53">
            <w:pPr>
              <w:widowControl w:val="0"/>
              <w:spacing w:line="276" w:lineRule="auto"/>
              <w:jc w:val="right"/>
            </w:pPr>
            <w:r>
              <w:rPr>
                <w:lang w:bidi="es-US"/>
              </w:rPr>
              <w:t>$152,650.</w:t>
            </w:r>
          </w:p>
        </w:tc>
      </w:tr>
      <w:tr w:rsidR="00BB4760" w14:paraId="75658EC2" w14:textId="77777777">
        <w:tc>
          <w:tcPr>
            <w:tcW w:w="3750" w:type="dxa"/>
            <w:tcBorders>
              <w:top w:val="single" w:sz="6" w:space="0" w:color="000000"/>
            </w:tcBorders>
            <w:tcMar>
              <w:top w:w="100" w:type="dxa"/>
              <w:left w:w="100" w:type="dxa"/>
              <w:bottom w:w="100" w:type="dxa"/>
              <w:right w:w="100" w:type="dxa"/>
            </w:tcMar>
          </w:tcPr>
          <w:p w14:paraId="4CDD6AFD" w14:textId="77777777" w:rsidR="00BB4760" w:rsidRDefault="00F91C53">
            <w:pPr>
              <w:widowControl w:val="0"/>
              <w:pBdr>
                <w:top w:val="nil"/>
                <w:left w:val="nil"/>
                <w:bottom w:val="nil"/>
                <w:right w:val="nil"/>
                <w:between w:val="nil"/>
              </w:pBdr>
            </w:pPr>
            <w:r>
              <w:rPr>
                <w:lang w:bidi="es-US"/>
              </w:rPr>
              <w:t>Actividades autorizadas</w:t>
            </w:r>
          </w:p>
          <w:p w14:paraId="655E503D" w14:textId="77777777" w:rsidR="00BB4760" w:rsidRDefault="00F91C53">
            <w:pPr>
              <w:widowControl w:val="0"/>
              <w:pBdr>
                <w:top w:val="nil"/>
                <w:left w:val="nil"/>
                <w:bottom w:val="nil"/>
                <w:right w:val="nil"/>
                <w:between w:val="nil"/>
              </w:pBdr>
            </w:pPr>
            <w:r>
              <w:rPr>
                <w:lang w:bidi="es-US"/>
              </w:rPr>
              <w:t>Fondos reservados bajo 20 U.S.C.</w:t>
            </w:r>
          </w:p>
          <w:p w14:paraId="6E391650" w14:textId="77777777" w:rsidR="00BB4760" w:rsidRDefault="00F91C53">
            <w:pPr>
              <w:widowControl w:val="0"/>
              <w:pBdr>
                <w:top w:val="nil"/>
                <w:left w:val="nil"/>
                <w:bottom w:val="nil"/>
                <w:right w:val="nil"/>
                <w:between w:val="nil"/>
              </w:pBdr>
            </w:pPr>
            <w:r>
              <w:rPr>
                <w:lang w:bidi="es-US"/>
              </w:rPr>
              <w:t>1411(e)(2)(A);34CFR§300.704 pueden ser</w:t>
            </w:r>
          </w:p>
          <w:p w14:paraId="1F19F952" w14:textId="77777777" w:rsidR="00BB4760" w:rsidRDefault="00F91C53">
            <w:pPr>
              <w:widowControl w:val="0"/>
              <w:pBdr>
                <w:top w:val="nil"/>
                <w:left w:val="nil"/>
                <w:bottom w:val="nil"/>
                <w:right w:val="nil"/>
                <w:between w:val="nil"/>
              </w:pBdr>
            </w:pPr>
            <w:r>
              <w:rPr>
                <w:lang w:bidi="es-US"/>
              </w:rPr>
              <w:t>utilizados para realizar las siguientes actividades:</w:t>
            </w:r>
          </w:p>
          <w:p w14:paraId="427E74D0" w14:textId="77777777" w:rsidR="00BB4760" w:rsidRDefault="00BB4760">
            <w:pPr>
              <w:widowControl w:val="0"/>
              <w:pBdr>
                <w:top w:val="nil"/>
                <w:left w:val="nil"/>
                <w:bottom w:val="nil"/>
                <w:right w:val="nil"/>
                <w:between w:val="nil"/>
              </w:pBdr>
            </w:pPr>
          </w:p>
        </w:tc>
        <w:tc>
          <w:tcPr>
            <w:tcW w:w="3405" w:type="dxa"/>
            <w:tcBorders>
              <w:top w:val="single" w:sz="6" w:space="0" w:color="000000"/>
            </w:tcBorders>
            <w:shd w:val="clear" w:color="auto" w:fill="CCCCCC"/>
            <w:tcMar>
              <w:top w:w="100" w:type="dxa"/>
              <w:left w:w="100" w:type="dxa"/>
              <w:bottom w:w="100" w:type="dxa"/>
              <w:right w:w="100" w:type="dxa"/>
            </w:tcMar>
          </w:tcPr>
          <w:p w14:paraId="085427FB" w14:textId="77777777" w:rsidR="00BB4760" w:rsidRDefault="00BB4760">
            <w:pPr>
              <w:widowControl w:val="0"/>
              <w:pBdr>
                <w:top w:val="nil"/>
                <w:left w:val="nil"/>
                <w:bottom w:val="nil"/>
                <w:right w:val="nil"/>
                <w:between w:val="nil"/>
              </w:pBdr>
            </w:pPr>
          </w:p>
        </w:tc>
        <w:tc>
          <w:tcPr>
            <w:tcW w:w="690" w:type="dxa"/>
            <w:tcBorders>
              <w:top w:val="single" w:sz="6" w:space="0" w:color="000000"/>
            </w:tcBorders>
            <w:shd w:val="clear" w:color="auto" w:fill="CCCCCC"/>
            <w:tcMar>
              <w:top w:w="100" w:type="dxa"/>
              <w:left w:w="100" w:type="dxa"/>
              <w:bottom w:w="100" w:type="dxa"/>
              <w:right w:w="100" w:type="dxa"/>
            </w:tcMar>
          </w:tcPr>
          <w:p w14:paraId="1F8E888D" w14:textId="77777777" w:rsidR="00BB4760" w:rsidRDefault="00BB4760">
            <w:pPr>
              <w:widowControl w:val="0"/>
              <w:pBdr>
                <w:top w:val="nil"/>
                <w:left w:val="nil"/>
                <w:bottom w:val="nil"/>
                <w:right w:val="nil"/>
                <w:between w:val="nil"/>
              </w:pBdr>
            </w:pPr>
          </w:p>
        </w:tc>
        <w:tc>
          <w:tcPr>
            <w:tcW w:w="2475" w:type="dxa"/>
            <w:tcBorders>
              <w:top w:val="single" w:sz="6" w:space="0" w:color="000000"/>
            </w:tcBorders>
            <w:shd w:val="clear" w:color="auto" w:fill="CCCCCC"/>
            <w:tcMar>
              <w:top w:w="100" w:type="dxa"/>
              <w:left w:w="100" w:type="dxa"/>
              <w:bottom w:w="100" w:type="dxa"/>
              <w:right w:w="100" w:type="dxa"/>
            </w:tcMar>
          </w:tcPr>
          <w:p w14:paraId="3A193DD3" w14:textId="77777777" w:rsidR="00BB4760" w:rsidRDefault="00BB4760">
            <w:pPr>
              <w:widowControl w:val="0"/>
              <w:pBdr>
                <w:top w:val="nil"/>
                <w:left w:val="nil"/>
                <w:bottom w:val="nil"/>
                <w:right w:val="nil"/>
                <w:between w:val="nil"/>
              </w:pBdr>
              <w:jc w:val="right"/>
            </w:pPr>
          </w:p>
        </w:tc>
      </w:tr>
      <w:tr w:rsidR="00BB4760" w14:paraId="78A77A7D" w14:textId="77777777">
        <w:tc>
          <w:tcPr>
            <w:tcW w:w="3750" w:type="dxa"/>
            <w:tcMar>
              <w:top w:w="100" w:type="dxa"/>
              <w:left w:w="100" w:type="dxa"/>
              <w:bottom w:w="100" w:type="dxa"/>
              <w:right w:w="100" w:type="dxa"/>
            </w:tcMar>
          </w:tcPr>
          <w:p w14:paraId="542290C7" w14:textId="77777777" w:rsidR="00BB4760" w:rsidRDefault="00F91C53">
            <w:pPr>
              <w:widowControl w:val="0"/>
              <w:pBdr>
                <w:top w:val="nil"/>
                <w:left w:val="nil"/>
                <w:bottom w:val="nil"/>
                <w:right w:val="nil"/>
                <w:between w:val="nil"/>
              </w:pBdr>
            </w:pPr>
            <w:r>
              <w:rPr>
                <w:lang w:bidi="es-US"/>
              </w:rPr>
              <w:t>Para soporte y servicios directos, incluyendo asistencia técnica, preparación de personal y desarrollo y capacitación profesional.</w:t>
            </w:r>
          </w:p>
        </w:tc>
        <w:tc>
          <w:tcPr>
            <w:tcW w:w="3405" w:type="dxa"/>
            <w:tcMar>
              <w:top w:w="100" w:type="dxa"/>
              <w:left w:w="100" w:type="dxa"/>
              <w:bottom w:w="100" w:type="dxa"/>
              <w:right w:w="100" w:type="dxa"/>
            </w:tcMar>
          </w:tcPr>
          <w:p w14:paraId="4D18F623" w14:textId="77777777" w:rsidR="00BB4760" w:rsidRDefault="00F91C53">
            <w:pPr>
              <w:widowControl w:val="0"/>
              <w:numPr>
                <w:ilvl w:val="0"/>
                <w:numId w:val="3"/>
              </w:numPr>
              <w:pBdr>
                <w:top w:val="nil"/>
                <w:left w:val="nil"/>
                <w:bottom w:val="nil"/>
                <w:right w:val="nil"/>
                <w:between w:val="nil"/>
              </w:pBdr>
            </w:pPr>
            <w:r>
              <w:rPr>
                <w:lang w:bidi="es-US"/>
              </w:rPr>
              <w:t>Establecer asesores líderes docentes y oportunidades de capacitación con un enfoque en educación especial para los educadores actuales.</w:t>
            </w:r>
          </w:p>
          <w:p w14:paraId="51A7805E" w14:textId="77777777" w:rsidR="00BB4760" w:rsidRDefault="00F91C53">
            <w:pPr>
              <w:widowControl w:val="0"/>
              <w:numPr>
                <w:ilvl w:val="0"/>
                <w:numId w:val="3"/>
              </w:numPr>
              <w:pBdr>
                <w:top w:val="nil"/>
                <w:left w:val="nil"/>
                <w:bottom w:val="nil"/>
                <w:right w:val="nil"/>
                <w:between w:val="nil"/>
              </w:pBdr>
            </w:pPr>
            <w:r>
              <w:rPr>
                <w:lang w:bidi="es-US"/>
              </w:rPr>
              <w:lastRenderedPageBreak/>
              <w:t>Apoyo al desarrollo profesional para el Panel Asesor de Educación Especial</w:t>
            </w:r>
          </w:p>
          <w:p w14:paraId="21F48651" w14:textId="77777777" w:rsidR="00BB4760" w:rsidRDefault="00F91C53">
            <w:pPr>
              <w:widowControl w:val="0"/>
              <w:numPr>
                <w:ilvl w:val="0"/>
                <w:numId w:val="3"/>
              </w:numPr>
              <w:pBdr>
                <w:top w:val="nil"/>
                <w:left w:val="nil"/>
                <w:bottom w:val="nil"/>
                <w:right w:val="nil"/>
                <w:between w:val="nil"/>
              </w:pBdr>
            </w:pPr>
            <w:r>
              <w:rPr>
                <w:lang w:bidi="es-US"/>
              </w:rPr>
              <w:t xml:space="preserve">Asistencia técnica regional para apoyar a las familias de los estudiantes con discapacidades. </w:t>
            </w:r>
          </w:p>
          <w:p w14:paraId="3CD1A80B" w14:textId="77777777" w:rsidR="00BB4760" w:rsidRDefault="00F91C53">
            <w:pPr>
              <w:widowControl w:val="0"/>
              <w:numPr>
                <w:ilvl w:val="0"/>
                <w:numId w:val="3"/>
              </w:numPr>
              <w:pBdr>
                <w:top w:val="nil"/>
                <w:left w:val="nil"/>
                <w:bottom w:val="nil"/>
                <w:right w:val="nil"/>
                <w:between w:val="nil"/>
              </w:pBdr>
            </w:pPr>
            <w:r>
              <w:rPr>
                <w:lang w:bidi="es-US"/>
              </w:rPr>
              <w:t>Herramientas y recursos en línea para que las familias y los miembros de la comunidad entiendan los componentes críticos de la educación especial, tales como la encuesta para padres</w:t>
            </w:r>
          </w:p>
          <w:p w14:paraId="522886EF" w14:textId="77777777" w:rsidR="00BB4760" w:rsidRDefault="00F91C53">
            <w:pPr>
              <w:widowControl w:val="0"/>
              <w:numPr>
                <w:ilvl w:val="0"/>
                <w:numId w:val="3"/>
              </w:numPr>
              <w:pBdr>
                <w:top w:val="nil"/>
                <w:left w:val="nil"/>
                <w:bottom w:val="nil"/>
                <w:right w:val="nil"/>
                <w:between w:val="nil"/>
              </w:pBdr>
            </w:pPr>
            <w:r>
              <w:rPr>
                <w:lang w:bidi="es-US"/>
              </w:rPr>
              <w:t>Establecer asociaciones de asistencia técnica y desarrollo profesional para apoyar la instrucción especializada y los servicios relacionados para los estudiantes con discapacidades.</w:t>
            </w:r>
          </w:p>
          <w:p w14:paraId="77CD6FF6" w14:textId="77777777" w:rsidR="00BB4760" w:rsidRDefault="00F91C53">
            <w:pPr>
              <w:widowControl w:val="0"/>
              <w:numPr>
                <w:ilvl w:val="0"/>
                <w:numId w:val="3"/>
              </w:numPr>
              <w:pBdr>
                <w:top w:val="nil"/>
                <w:left w:val="nil"/>
                <w:bottom w:val="nil"/>
                <w:right w:val="nil"/>
                <w:between w:val="nil"/>
              </w:pBdr>
            </w:pPr>
            <w:r>
              <w:rPr>
                <w:lang w:bidi="es-US"/>
              </w:rPr>
              <w:t>Observaciones y comentarios de la clase K-2 para apoyar los servicios de alta calidad</w:t>
            </w:r>
          </w:p>
          <w:p w14:paraId="1F4D3B36" w14:textId="77777777" w:rsidR="00BB4760" w:rsidRDefault="00F91C53">
            <w:pPr>
              <w:widowControl w:val="0"/>
              <w:numPr>
                <w:ilvl w:val="0"/>
                <w:numId w:val="3"/>
              </w:numPr>
              <w:pBdr>
                <w:top w:val="nil"/>
                <w:left w:val="nil"/>
                <w:bottom w:val="nil"/>
                <w:right w:val="nil"/>
                <w:between w:val="nil"/>
              </w:pBdr>
            </w:pPr>
            <w:r>
              <w:rPr>
                <w:lang w:bidi="es-US"/>
              </w:rPr>
              <w:t>Desarrollo profesional para educadores especiales, evaluación de alumnos y proveedores de servicios relacionados</w:t>
            </w:r>
          </w:p>
        </w:tc>
        <w:tc>
          <w:tcPr>
            <w:tcW w:w="690" w:type="dxa"/>
            <w:tcMar>
              <w:top w:w="100" w:type="dxa"/>
              <w:left w:w="100" w:type="dxa"/>
              <w:bottom w:w="100" w:type="dxa"/>
              <w:right w:w="100" w:type="dxa"/>
            </w:tcMar>
          </w:tcPr>
          <w:p w14:paraId="70E5506B" w14:textId="77777777" w:rsidR="00BB4760" w:rsidRDefault="00F91C53">
            <w:pPr>
              <w:widowControl w:val="0"/>
              <w:pBdr>
                <w:top w:val="nil"/>
                <w:left w:val="nil"/>
                <w:bottom w:val="nil"/>
                <w:right w:val="nil"/>
                <w:between w:val="nil"/>
              </w:pBdr>
            </w:pPr>
            <w:r>
              <w:rPr>
                <w:lang w:bidi="es-US"/>
              </w:rPr>
              <w:lastRenderedPageBreak/>
              <w:t>j.</w:t>
            </w:r>
          </w:p>
        </w:tc>
        <w:tc>
          <w:tcPr>
            <w:tcW w:w="2475" w:type="dxa"/>
            <w:shd w:val="clear" w:color="auto" w:fill="auto"/>
            <w:tcMar>
              <w:top w:w="100" w:type="dxa"/>
              <w:left w:w="100" w:type="dxa"/>
              <w:bottom w:w="100" w:type="dxa"/>
              <w:right w:w="100" w:type="dxa"/>
            </w:tcMar>
          </w:tcPr>
          <w:p w14:paraId="284B15DA" w14:textId="77777777" w:rsidR="00BB4760" w:rsidRDefault="00F91C53">
            <w:pPr>
              <w:widowControl w:val="0"/>
              <w:jc w:val="right"/>
              <w:rPr>
                <w:highlight w:val="white"/>
              </w:rPr>
            </w:pPr>
            <w:r>
              <w:rPr>
                <w:highlight w:val="white"/>
                <w:lang w:bidi="es-US"/>
              </w:rPr>
              <w:t>$1,826,419.</w:t>
            </w:r>
          </w:p>
          <w:p w14:paraId="63922522" w14:textId="77777777" w:rsidR="00BB4760" w:rsidRDefault="00BB4760">
            <w:pPr>
              <w:widowControl w:val="0"/>
              <w:pBdr>
                <w:top w:val="nil"/>
                <w:left w:val="nil"/>
                <w:bottom w:val="nil"/>
                <w:right w:val="nil"/>
                <w:between w:val="nil"/>
              </w:pBdr>
              <w:jc w:val="right"/>
            </w:pPr>
          </w:p>
        </w:tc>
      </w:tr>
      <w:tr w:rsidR="00BB4760" w14:paraId="5138C56B" w14:textId="77777777">
        <w:tc>
          <w:tcPr>
            <w:tcW w:w="3750" w:type="dxa"/>
            <w:tcMar>
              <w:top w:w="100" w:type="dxa"/>
              <w:left w:w="100" w:type="dxa"/>
              <w:bottom w:w="100" w:type="dxa"/>
              <w:right w:w="100" w:type="dxa"/>
            </w:tcMar>
          </w:tcPr>
          <w:p w14:paraId="4C131840" w14:textId="77777777" w:rsidR="00BB4760" w:rsidRDefault="00F91C53">
            <w:pPr>
              <w:widowControl w:val="0"/>
              <w:pBdr>
                <w:top w:val="nil"/>
                <w:left w:val="nil"/>
                <w:bottom w:val="nil"/>
                <w:right w:val="nil"/>
                <w:between w:val="nil"/>
              </w:pBdr>
            </w:pPr>
            <w:r>
              <w:rPr>
                <w:lang w:bidi="es-US"/>
              </w:rPr>
              <w:t>Para ayudar a las agencias educativas locales a proporcionar intervenciones conductuales positivas y apoyo y servicios de salud mental apropiados para los niños con discapacidades.</w:t>
            </w:r>
          </w:p>
        </w:tc>
        <w:tc>
          <w:tcPr>
            <w:tcW w:w="3405" w:type="dxa"/>
            <w:tcMar>
              <w:top w:w="100" w:type="dxa"/>
              <w:left w:w="100" w:type="dxa"/>
              <w:bottom w:w="100" w:type="dxa"/>
              <w:right w:w="100" w:type="dxa"/>
            </w:tcMar>
          </w:tcPr>
          <w:p w14:paraId="13963F6C" w14:textId="77777777" w:rsidR="00BB4760" w:rsidRDefault="00F91C53">
            <w:pPr>
              <w:widowControl w:val="0"/>
              <w:numPr>
                <w:ilvl w:val="0"/>
                <w:numId w:val="8"/>
              </w:numPr>
              <w:pBdr>
                <w:top w:val="nil"/>
                <w:left w:val="nil"/>
                <w:bottom w:val="nil"/>
                <w:right w:val="nil"/>
                <w:between w:val="nil"/>
              </w:pBdr>
            </w:pPr>
            <w:r>
              <w:rPr>
                <w:lang w:bidi="es-US"/>
              </w:rPr>
              <w:t>Implementación de intervenciones conductuales basadas en evidencia, apoyos y estrategias</w:t>
            </w:r>
          </w:p>
          <w:p w14:paraId="060BC27E" w14:textId="77777777" w:rsidR="00BB4760" w:rsidRDefault="00F91C53">
            <w:pPr>
              <w:widowControl w:val="0"/>
              <w:numPr>
                <w:ilvl w:val="0"/>
                <w:numId w:val="8"/>
              </w:numPr>
              <w:pBdr>
                <w:top w:val="nil"/>
                <w:left w:val="nil"/>
                <w:bottom w:val="nil"/>
                <w:right w:val="nil"/>
                <w:between w:val="nil"/>
              </w:pBdr>
            </w:pPr>
            <w:r>
              <w:rPr>
                <w:lang w:bidi="es-US"/>
              </w:rPr>
              <w:t>Orientación del educador y desarrollo profesional para apoyar las necesidades de comportamiento/salud mental de los estudiantes.</w:t>
            </w:r>
          </w:p>
          <w:p w14:paraId="0C310E5B" w14:textId="77777777" w:rsidR="00BB4760" w:rsidRDefault="00BB4760">
            <w:pPr>
              <w:widowControl w:val="0"/>
              <w:pBdr>
                <w:top w:val="nil"/>
                <w:left w:val="nil"/>
                <w:bottom w:val="nil"/>
                <w:right w:val="nil"/>
                <w:between w:val="nil"/>
              </w:pBdr>
            </w:pPr>
          </w:p>
        </w:tc>
        <w:tc>
          <w:tcPr>
            <w:tcW w:w="690" w:type="dxa"/>
            <w:tcMar>
              <w:top w:w="100" w:type="dxa"/>
              <w:left w:w="100" w:type="dxa"/>
              <w:bottom w:w="100" w:type="dxa"/>
              <w:right w:w="100" w:type="dxa"/>
            </w:tcMar>
          </w:tcPr>
          <w:p w14:paraId="51005D79" w14:textId="77777777" w:rsidR="00BB4760" w:rsidRDefault="00F91C53">
            <w:pPr>
              <w:widowControl w:val="0"/>
              <w:pBdr>
                <w:top w:val="nil"/>
                <w:left w:val="nil"/>
                <w:bottom w:val="nil"/>
                <w:right w:val="nil"/>
                <w:between w:val="nil"/>
              </w:pBdr>
            </w:pPr>
            <w:r>
              <w:rPr>
                <w:lang w:bidi="es-US"/>
              </w:rPr>
              <w:t>k.</w:t>
            </w:r>
          </w:p>
        </w:tc>
        <w:tc>
          <w:tcPr>
            <w:tcW w:w="2475" w:type="dxa"/>
            <w:tcMar>
              <w:top w:w="100" w:type="dxa"/>
              <w:left w:w="100" w:type="dxa"/>
              <w:bottom w:w="100" w:type="dxa"/>
              <w:right w:w="100" w:type="dxa"/>
            </w:tcMar>
          </w:tcPr>
          <w:p w14:paraId="160ECF70" w14:textId="77777777" w:rsidR="00BB4760" w:rsidRDefault="00F91C53">
            <w:pPr>
              <w:widowControl w:val="0"/>
              <w:pBdr>
                <w:top w:val="nil"/>
                <w:left w:val="nil"/>
                <w:bottom w:val="nil"/>
                <w:right w:val="nil"/>
                <w:between w:val="nil"/>
              </w:pBdr>
              <w:jc w:val="right"/>
            </w:pPr>
            <w:r>
              <w:rPr>
                <w:lang w:bidi="es-US"/>
              </w:rPr>
              <w:t>$425,000.</w:t>
            </w:r>
          </w:p>
        </w:tc>
      </w:tr>
      <w:tr w:rsidR="00BB4760" w14:paraId="6C933138" w14:textId="77777777">
        <w:tc>
          <w:tcPr>
            <w:tcW w:w="3750" w:type="dxa"/>
            <w:tcMar>
              <w:top w:w="100" w:type="dxa"/>
              <w:left w:w="100" w:type="dxa"/>
              <w:bottom w:w="100" w:type="dxa"/>
              <w:right w:w="100" w:type="dxa"/>
            </w:tcMar>
          </w:tcPr>
          <w:p w14:paraId="09FA6986" w14:textId="77777777" w:rsidR="00BB4760" w:rsidRDefault="00F91C53">
            <w:pPr>
              <w:widowControl w:val="0"/>
              <w:pBdr>
                <w:top w:val="nil"/>
                <w:left w:val="nil"/>
                <w:bottom w:val="nil"/>
                <w:right w:val="nil"/>
                <w:between w:val="nil"/>
              </w:pBdr>
            </w:pPr>
            <w:r>
              <w:rPr>
                <w:lang w:bidi="es-US"/>
              </w:rPr>
              <w:lastRenderedPageBreak/>
              <w:t>Para ayudar a las agencias educativas locales a satisfacer la escasez de personal.</w:t>
            </w:r>
          </w:p>
        </w:tc>
        <w:tc>
          <w:tcPr>
            <w:tcW w:w="3405" w:type="dxa"/>
            <w:shd w:val="clear" w:color="auto" w:fill="auto"/>
            <w:tcMar>
              <w:top w:w="100" w:type="dxa"/>
              <w:left w:w="100" w:type="dxa"/>
              <w:bottom w:w="100" w:type="dxa"/>
              <w:right w:w="100" w:type="dxa"/>
            </w:tcMar>
          </w:tcPr>
          <w:p w14:paraId="66AEF060" w14:textId="77777777" w:rsidR="00BB4760" w:rsidRDefault="00F91C53">
            <w:pPr>
              <w:widowControl w:val="0"/>
              <w:numPr>
                <w:ilvl w:val="0"/>
                <w:numId w:val="10"/>
              </w:numPr>
              <w:pBdr>
                <w:top w:val="nil"/>
                <w:left w:val="nil"/>
                <w:bottom w:val="nil"/>
                <w:right w:val="nil"/>
                <w:between w:val="nil"/>
              </w:pBdr>
            </w:pPr>
            <w:r>
              <w:rPr>
                <w:lang w:bidi="es-US"/>
              </w:rPr>
              <w:t>Identificar formas innovadoras de conectar a las agencias locales de educación (LEA, por sus siglas en inglés) con proveedores de servicios relacionados en áreas con escasez de personal</w:t>
            </w:r>
          </w:p>
          <w:p w14:paraId="604883A4" w14:textId="77777777" w:rsidR="00BB4760" w:rsidRDefault="00F91C53">
            <w:pPr>
              <w:widowControl w:val="0"/>
              <w:numPr>
                <w:ilvl w:val="0"/>
                <w:numId w:val="10"/>
              </w:numPr>
            </w:pPr>
            <w:r>
              <w:rPr>
                <w:lang w:bidi="es-US"/>
              </w:rPr>
              <w:t>Apoyo de tutoría para los candidatos para ser maestros que atienden a estudiantes con discapacidades.</w:t>
            </w:r>
          </w:p>
        </w:tc>
        <w:tc>
          <w:tcPr>
            <w:tcW w:w="690" w:type="dxa"/>
            <w:tcMar>
              <w:top w:w="100" w:type="dxa"/>
              <w:left w:w="100" w:type="dxa"/>
              <w:bottom w:w="100" w:type="dxa"/>
              <w:right w:w="100" w:type="dxa"/>
            </w:tcMar>
          </w:tcPr>
          <w:p w14:paraId="58EF1294" w14:textId="77777777" w:rsidR="00BB4760" w:rsidRDefault="00F91C53">
            <w:pPr>
              <w:widowControl w:val="0"/>
              <w:pBdr>
                <w:top w:val="nil"/>
                <w:left w:val="nil"/>
                <w:bottom w:val="nil"/>
                <w:right w:val="nil"/>
                <w:between w:val="nil"/>
              </w:pBdr>
            </w:pPr>
            <w:r>
              <w:rPr>
                <w:lang w:bidi="es-US"/>
              </w:rPr>
              <w:t>l.</w:t>
            </w:r>
          </w:p>
        </w:tc>
        <w:tc>
          <w:tcPr>
            <w:tcW w:w="2475" w:type="dxa"/>
            <w:shd w:val="clear" w:color="auto" w:fill="auto"/>
            <w:tcMar>
              <w:top w:w="100" w:type="dxa"/>
              <w:left w:w="100" w:type="dxa"/>
              <w:bottom w:w="100" w:type="dxa"/>
              <w:right w:w="100" w:type="dxa"/>
            </w:tcMar>
          </w:tcPr>
          <w:p w14:paraId="66A89619" w14:textId="77777777" w:rsidR="00BB4760" w:rsidRDefault="00F91C53">
            <w:pPr>
              <w:widowControl w:val="0"/>
              <w:pBdr>
                <w:top w:val="nil"/>
                <w:left w:val="nil"/>
                <w:bottom w:val="nil"/>
                <w:right w:val="nil"/>
                <w:between w:val="nil"/>
              </w:pBdr>
              <w:jc w:val="right"/>
            </w:pPr>
            <w:r>
              <w:rPr>
                <w:lang w:bidi="es-US"/>
              </w:rPr>
              <w:t>$330,000.</w:t>
            </w:r>
          </w:p>
        </w:tc>
      </w:tr>
      <w:tr w:rsidR="00BB4760" w14:paraId="38DF5353" w14:textId="77777777">
        <w:tc>
          <w:tcPr>
            <w:tcW w:w="3750" w:type="dxa"/>
            <w:tcMar>
              <w:top w:w="100" w:type="dxa"/>
              <w:left w:w="100" w:type="dxa"/>
              <w:bottom w:w="100" w:type="dxa"/>
              <w:right w:w="100" w:type="dxa"/>
            </w:tcMar>
          </w:tcPr>
          <w:p w14:paraId="65D42003" w14:textId="77777777" w:rsidR="00BB4760" w:rsidRDefault="00F91C53">
            <w:pPr>
              <w:widowControl w:val="0"/>
              <w:pBdr>
                <w:top w:val="nil"/>
                <w:left w:val="nil"/>
                <w:bottom w:val="nil"/>
                <w:right w:val="nil"/>
                <w:between w:val="nil"/>
              </w:pBdr>
            </w:pPr>
            <w:r>
              <w:rPr>
                <w:lang w:bidi="es-US"/>
              </w:rPr>
              <w:t>Para apoyar las actividades de desarrollo de capacidades y mejorar la prestación de servicios por parte de las agencias educativas locales para mejorar los resultados para los niños con discapacidades.</w:t>
            </w:r>
          </w:p>
        </w:tc>
        <w:tc>
          <w:tcPr>
            <w:tcW w:w="3405" w:type="dxa"/>
            <w:tcMar>
              <w:top w:w="100" w:type="dxa"/>
              <w:left w:w="100" w:type="dxa"/>
              <w:bottom w:w="100" w:type="dxa"/>
              <w:right w:w="100" w:type="dxa"/>
            </w:tcMar>
          </w:tcPr>
          <w:p w14:paraId="15DCF7DF" w14:textId="77777777" w:rsidR="00BB4760" w:rsidRDefault="00F91C53">
            <w:pPr>
              <w:widowControl w:val="0"/>
              <w:numPr>
                <w:ilvl w:val="0"/>
                <w:numId w:val="1"/>
              </w:numPr>
              <w:pBdr>
                <w:top w:val="nil"/>
                <w:left w:val="nil"/>
                <w:bottom w:val="nil"/>
                <w:right w:val="nil"/>
                <w:between w:val="nil"/>
              </w:pBdr>
            </w:pPr>
            <w:r>
              <w:rPr>
                <w:lang w:bidi="es-US"/>
              </w:rPr>
              <w:t>Apoyo regional y asistencia técnica para las agencias locales de educación (LEA, por sus siglas en inglés)</w:t>
            </w:r>
          </w:p>
          <w:p w14:paraId="591DE540" w14:textId="77777777" w:rsidR="00BB4760" w:rsidRDefault="00F91C53">
            <w:pPr>
              <w:widowControl w:val="0"/>
              <w:numPr>
                <w:ilvl w:val="0"/>
                <w:numId w:val="1"/>
              </w:numPr>
              <w:pBdr>
                <w:top w:val="nil"/>
                <w:left w:val="nil"/>
                <w:bottom w:val="nil"/>
                <w:right w:val="nil"/>
                <w:between w:val="nil"/>
              </w:pBdr>
            </w:pPr>
            <w:r>
              <w:rPr>
                <w:lang w:bidi="es-US"/>
              </w:rPr>
              <w:t xml:space="preserve">Orientación y desarrollo profesional para apoyar a los maestros que apoyan a los estudiantes con autismo. </w:t>
            </w:r>
          </w:p>
          <w:p w14:paraId="6AF0ADC7" w14:textId="77777777" w:rsidR="00BB4760" w:rsidRDefault="00F91C53">
            <w:pPr>
              <w:widowControl w:val="0"/>
              <w:numPr>
                <w:ilvl w:val="0"/>
                <w:numId w:val="1"/>
              </w:numPr>
              <w:pBdr>
                <w:top w:val="nil"/>
                <w:left w:val="nil"/>
                <w:bottom w:val="nil"/>
                <w:right w:val="nil"/>
                <w:between w:val="nil"/>
              </w:pBdr>
            </w:pPr>
            <w:r>
              <w:rPr>
                <w:lang w:bidi="es-US"/>
              </w:rPr>
              <w:t>Orientación y desarrollo profesional para apoyar a los maestros que apoyan a los estudiantes con necesidades médicas complejas.</w:t>
            </w:r>
          </w:p>
          <w:p w14:paraId="2E4789DB" w14:textId="77777777" w:rsidR="00BB4760" w:rsidRDefault="00F91C53">
            <w:pPr>
              <w:widowControl w:val="0"/>
              <w:numPr>
                <w:ilvl w:val="0"/>
                <w:numId w:val="1"/>
              </w:numPr>
              <w:pBdr>
                <w:top w:val="nil"/>
                <w:left w:val="nil"/>
                <w:bottom w:val="nil"/>
                <w:right w:val="nil"/>
                <w:between w:val="nil"/>
              </w:pBdr>
            </w:pPr>
            <w:r>
              <w:rPr>
                <w:lang w:bidi="es-US"/>
              </w:rPr>
              <w:t>Implementar servicios para desarrollar la capacidad de los educadores para generar e implementar planes de educación individualizados y usar datos para apoyar la instrucción en el aula; Informes sobre la educación especial</w:t>
            </w:r>
          </w:p>
          <w:p w14:paraId="09805308" w14:textId="77777777" w:rsidR="00BB4760" w:rsidRDefault="00F91C53">
            <w:pPr>
              <w:widowControl w:val="0"/>
              <w:numPr>
                <w:ilvl w:val="0"/>
                <w:numId w:val="1"/>
              </w:numPr>
              <w:pBdr>
                <w:top w:val="nil"/>
                <w:left w:val="nil"/>
                <w:bottom w:val="nil"/>
                <w:right w:val="nil"/>
                <w:between w:val="nil"/>
              </w:pBdr>
            </w:pPr>
            <w:r>
              <w:rPr>
                <w:lang w:bidi="es-US"/>
              </w:rPr>
              <w:t xml:space="preserve">Establecer asociaciones de asistencia técnica y desarrollo profesional para apoyar el desarrollo de liderazgo en educación especial, instrucción especializada y servicios </w:t>
            </w:r>
            <w:r>
              <w:rPr>
                <w:lang w:bidi="es-US"/>
              </w:rPr>
              <w:lastRenderedPageBreak/>
              <w:t>relacionados para los estudiantes con discapacidades</w:t>
            </w:r>
          </w:p>
        </w:tc>
        <w:tc>
          <w:tcPr>
            <w:tcW w:w="690" w:type="dxa"/>
            <w:tcMar>
              <w:top w:w="100" w:type="dxa"/>
              <w:left w:w="100" w:type="dxa"/>
              <w:bottom w:w="100" w:type="dxa"/>
              <w:right w:w="100" w:type="dxa"/>
            </w:tcMar>
          </w:tcPr>
          <w:p w14:paraId="1AFDFD6D" w14:textId="77777777" w:rsidR="00BB4760" w:rsidRDefault="00F91C53">
            <w:pPr>
              <w:widowControl w:val="0"/>
              <w:pBdr>
                <w:top w:val="nil"/>
                <w:left w:val="nil"/>
                <w:bottom w:val="nil"/>
                <w:right w:val="nil"/>
                <w:between w:val="nil"/>
              </w:pBdr>
            </w:pPr>
            <w:r>
              <w:rPr>
                <w:lang w:bidi="es-US"/>
              </w:rPr>
              <w:lastRenderedPageBreak/>
              <w:t>m.</w:t>
            </w:r>
          </w:p>
        </w:tc>
        <w:tc>
          <w:tcPr>
            <w:tcW w:w="2475" w:type="dxa"/>
            <w:shd w:val="clear" w:color="auto" w:fill="auto"/>
            <w:tcMar>
              <w:top w:w="100" w:type="dxa"/>
              <w:left w:w="100" w:type="dxa"/>
              <w:bottom w:w="100" w:type="dxa"/>
              <w:right w:w="100" w:type="dxa"/>
            </w:tcMar>
          </w:tcPr>
          <w:p w14:paraId="1CEFF5D3" w14:textId="77777777" w:rsidR="00BB4760" w:rsidRDefault="00F91C53">
            <w:pPr>
              <w:widowControl w:val="0"/>
              <w:jc w:val="right"/>
            </w:pPr>
            <w:r>
              <w:rPr>
                <w:lang w:bidi="es-US"/>
              </w:rPr>
              <w:t>$4,521,576.</w:t>
            </w:r>
          </w:p>
          <w:p w14:paraId="3CB64E1C" w14:textId="77777777" w:rsidR="00BB4760" w:rsidRDefault="00BB4760">
            <w:pPr>
              <w:widowControl w:val="0"/>
              <w:pBdr>
                <w:top w:val="nil"/>
                <w:left w:val="nil"/>
                <w:bottom w:val="nil"/>
                <w:right w:val="nil"/>
                <w:between w:val="nil"/>
              </w:pBdr>
              <w:jc w:val="right"/>
              <w:rPr>
                <w:rFonts w:ascii="Arial" w:eastAsia="Arial" w:hAnsi="Arial" w:cs="Arial"/>
                <w:sz w:val="20"/>
                <w:szCs w:val="20"/>
              </w:rPr>
            </w:pPr>
          </w:p>
        </w:tc>
      </w:tr>
      <w:tr w:rsidR="00BB4760" w14:paraId="4CF1EC44" w14:textId="77777777">
        <w:tc>
          <w:tcPr>
            <w:tcW w:w="3750" w:type="dxa"/>
            <w:tcMar>
              <w:top w:w="100" w:type="dxa"/>
              <w:left w:w="100" w:type="dxa"/>
              <w:bottom w:w="100" w:type="dxa"/>
              <w:right w:w="100" w:type="dxa"/>
            </w:tcMar>
          </w:tcPr>
          <w:p w14:paraId="6A8C781B" w14:textId="77777777" w:rsidR="00BB4760" w:rsidRDefault="00F91C53">
            <w:pPr>
              <w:widowControl w:val="0"/>
              <w:pBdr>
                <w:top w:val="nil"/>
                <w:left w:val="nil"/>
                <w:bottom w:val="nil"/>
                <w:right w:val="nil"/>
                <w:between w:val="nil"/>
              </w:pBdr>
            </w:pPr>
            <w:r>
              <w:rPr>
                <w:lang w:bidi="es-US"/>
              </w:rPr>
              <w:t>Para apoyar las actividades de reducción de papeleo, incluida la expansión del uso de la tecnología en el proceso del IEP.</w:t>
            </w:r>
          </w:p>
        </w:tc>
        <w:tc>
          <w:tcPr>
            <w:tcW w:w="3405" w:type="dxa"/>
            <w:tcMar>
              <w:top w:w="100" w:type="dxa"/>
              <w:left w:w="100" w:type="dxa"/>
              <w:bottom w:w="100" w:type="dxa"/>
              <w:right w:w="100" w:type="dxa"/>
            </w:tcMar>
          </w:tcPr>
          <w:p w14:paraId="29E8A5A9" w14:textId="77777777" w:rsidR="00BB4760" w:rsidRDefault="00BB4760">
            <w:pPr>
              <w:widowControl w:val="0"/>
              <w:pBdr>
                <w:top w:val="nil"/>
                <w:left w:val="nil"/>
                <w:bottom w:val="nil"/>
                <w:right w:val="nil"/>
                <w:between w:val="nil"/>
              </w:pBdr>
            </w:pPr>
          </w:p>
        </w:tc>
        <w:tc>
          <w:tcPr>
            <w:tcW w:w="690" w:type="dxa"/>
            <w:tcMar>
              <w:top w:w="100" w:type="dxa"/>
              <w:left w:w="100" w:type="dxa"/>
              <w:bottom w:w="100" w:type="dxa"/>
              <w:right w:w="100" w:type="dxa"/>
            </w:tcMar>
          </w:tcPr>
          <w:p w14:paraId="5D2815EA" w14:textId="77777777" w:rsidR="00BB4760" w:rsidRDefault="00F91C53">
            <w:pPr>
              <w:widowControl w:val="0"/>
              <w:pBdr>
                <w:top w:val="nil"/>
                <w:left w:val="nil"/>
                <w:bottom w:val="nil"/>
                <w:right w:val="nil"/>
                <w:between w:val="nil"/>
              </w:pBdr>
            </w:pPr>
            <w:r>
              <w:rPr>
                <w:lang w:bidi="es-US"/>
              </w:rPr>
              <w:t>n.</w:t>
            </w:r>
          </w:p>
        </w:tc>
        <w:tc>
          <w:tcPr>
            <w:tcW w:w="2475" w:type="dxa"/>
            <w:tcMar>
              <w:top w:w="100" w:type="dxa"/>
              <w:left w:w="100" w:type="dxa"/>
              <w:bottom w:w="100" w:type="dxa"/>
              <w:right w:w="100" w:type="dxa"/>
            </w:tcMar>
          </w:tcPr>
          <w:p w14:paraId="65DDA3D2" w14:textId="77777777" w:rsidR="00BB4760" w:rsidRDefault="00F91C53">
            <w:pPr>
              <w:widowControl w:val="0"/>
              <w:pBdr>
                <w:top w:val="nil"/>
                <w:left w:val="nil"/>
                <w:bottom w:val="nil"/>
                <w:right w:val="nil"/>
                <w:between w:val="nil"/>
              </w:pBdr>
              <w:jc w:val="right"/>
            </w:pPr>
            <w:r>
              <w:rPr>
                <w:lang w:bidi="es-US"/>
              </w:rPr>
              <w:t>$0.</w:t>
            </w:r>
          </w:p>
          <w:p w14:paraId="02E2AC20" w14:textId="77777777" w:rsidR="00BB4760" w:rsidRDefault="00BB4760">
            <w:pPr>
              <w:widowControl w:val="0"/>
              <w:pBdr>
                <w:top w:val="nil"/>
                <w:left w:val="nil"/>
                <w:bottom w:val="nil"/>
                <w:right w:val="nil"/>
                <w:between w:val="nil"/>
              </w:pBdr>
              <w:jc w:val="right"/>
            </w:pPr>
          </w:p>
        </w:tc>
      </w:tr>
      <w:tr w:rsidR="00BB4760" w14:paraId="6570A680" w14:textId="77777777">
        <w:tc>
          <w:tcPr>
            <w:tcW w:w="3750" w:type="dxa"/>
            <w:tcMar>
              <w:top w:w="100" w:type="dxa"/>
              <w:left w:w="100" w:type="dxa"/>
              <w:bottom w:w="100" w:type="dxa"/>
              <w:right w:w="100" w:type="dxa"/>
            </w:tcMar>
          </w:tcPr>
          <w:p w14:paraId="7801BFB9" w14:textId="77777777" w:rsidR="00BB4760" w:rsidRDefault="00F91C53">
            <w:pPr>
              <w:widowControl w:val="0"/>
              <w:pBdr>
                <w:top w:val="nil"/>
                <w:left w:val="nil"/>
                <w:bottom w:val="nil"/>
                <w:right w:val="nil"/>
                <w:between w:val="nil"/>
              </w:pBdr>
            </w:pPr>
            <w:r>
              <w:rPr>
                <w:lang w:bidi="es-US"/>
              </w:rPr>
              <w:t>Mejorar el uso de la tecnología en el aula por parte de los niños con discapacidades para mejorar el aprendizaje.</w:t>
            </w:r>
          </w:p>
        </w:tc>
        <w:tc>
          <w:tcPr>
            <w:tcW w:w="3405" w:type="dxa"/>
            <w:tcMar>
              <w:top w:w="100" w:type="dxa"/>
              <w:left w:w="100" w:type="dxa"/>
              <w:bottom w:w="100" w:type="dxa"/>
              <w:right w:w="100" w:type="dxa"/>
            </w:tcMar>
          </w:tcPr>
          <w:p w14:paraId="762516F0" w14:textId="77777777" w:rsidR="00BB4760" w:rsidRDefault="00F91C53">
            <w:pPr>
              <w:widowControl w:val="0"/>
              <w:numPr>
                <w:ilvl w:val="0"/>
                <w:numId w:val="7"/>
              </w:numPr>
              <w:pBdr>
                <w:top w:val="nil"/>
                <w:left w:val="nil"/>
                <w:bottom w:val="nil"/>
                <w:right w:val="nil"/>
                <w:between w:val="nil"/>
              </w:pBdr>
            </w:pPr>
            <w:r>
              <w:rPr>
                <w:lang w:bidi="es-US"/>
              </w:rPr>
              <w:t>Capacitación y recursos sobre el uso de la tecnología para apoyar las necesidades individuales de aprendizaje.</w:t>
            </w:r>
          </w:p>
        </w:tc>
        <w:tc>
          <w:tcPr>
            <w:tcW w:w="690" w:type="dxa"/>
            <w:tcMar>
              <w:top w:w="100" w:type="dxa"/>
              <w:left w:w="100" w:type="dxa"/>
              <w:bottom w:w="100" w:type="dxa"/>
              <w:right w:w="100" w:type="dxa"/>
            </w:tcMar>
          </w:tcPr>
          <w:p w14:paraId="07EDE369" w14:textId="77777777" w:rsidR="00BB4760" w:rsidRDefault="00F91C53">
            <w:pPr>
              <w:widowControl w:val="0"/>
              <w:pBdr>
                <w:top w:val="nil"/>
                <w:left w:val="nil"/>
                <w:bottom w:val="nil"/>
                <w:right w:val="nil"/>
                <w:between w:val="nil"/>
              </w:pBdr>
            </w:pPr>
            <w:r>
              <w:rPr>
                <w:lang w:bidi="es-US"/>
              </w:rPr>
              <w:t>o.</w:t>
            </w:r>
          </w:p>
        </w:tc>
        <w:tc>
          <w:tcPr>
            <w:tcW w:w="2475" w:type="dxa"/>
            <w:tcMar>
              <w:top w:w="100" w:type="dxa"/>
              <w:left w:w="100" w:type="dxa"/>
              <w:bottom w:w="100" w:type="dxa"/>
              <w:right w:w="100" w:type="dxa"/>
            </w:tcMar>
          </w:tcPr>
          <w:p w14:paraId="4C39EE1D" w14:textId="77777777" w:rsidR="00BB4760" w:rsidRDefault="00F91C53">
            <w:pPr>
              <w:widowControl w:val="0"/>
              <w:pBdr>
                <w:top w:val="nil"/>
                <w:left w:val="nil"/>
                <w:bottom w:val="nil"/>
                <w:right w:val="nil"/>
                <w:between w:val="nil"/>
              </w:pBdr>
              <w:jc w:val="right"/>
            </w:pPr>
            <w:r>
              <w:rPr>
                <w:lang w:bidi="es-US"/>
              </w:rPr>
              <w:t>$600,000.</w:t>
            </w:r>
          </w:p>
        </w:tc>
      </w:tr>
      <w:tr w:rsidR="00BB4760" w14:paraId="4191CD38" w14:textId="77777777">
        <w:tc>
          <w:tcPr>
            <w:tcW w:w="3750" w:type="dxa"/>
            <w:tcMar>
              <w:top w:w="100" w:type="dxa"/>
              <w:left w:w="100" w:type="dxa"/>
              <w:bottom w:w="100" w:type="dxa"/>
              <w:right w:w="100" w:type="dxa"/>
            </w:tcMar>
          </w:tcPr>
          <w:p w14:paraId="2DB05FC8" w14:textId="77777777" w:rsidR="00BB4760" w:rsidRDefault="00F91C53">
            <w:pPr>
              <w:widowControl w:val="0"/>
              <w:pBdr>
                <w:top w:val="nil"/>
                <w:left w:val="nil"/>
                <w:bottom w:val="nil"/>
                <w:right w:val="nil"/>
                <w:between w:val="nil"/>
              </w:pBdr>
            </w:pPr>
            <w:r>
              <w:rPr>
                <w:lang w:bidi="es-US"/>
              </w:rPr>
              <w:t>Para apoyar el uso de la tecnología, incluida la tecnología con principios de diseño universal y dispositivos de tecnología de asistencia, para maximizar la accesibilidad al plan de estudios de educación general para los niños con discapacidades.</w:t>
            </w:r>
          </w:p>
        </w:tc>
        <w:tc>
          <w:tcPr>
            <w:tcW w:w="3405" w:type="dxa"/>
            <w:tcMar>
              <w:top w:w="100" w:type="dxa"/>
              <w:left w:w="100" w:type="dxa"/>
              <w:bottom w:w="100" w:type="dxa"/>
              <w:right w:w="100" w:type="dxa"/>
            </w:tcMar>
          </w:tcPr>
          <w:p w14:paraId="625748FB" w14:textId="77777777" w:rsidR="00BB4760" w:rsidRDefault="00F91C53">
            <w:pPr>
              <w:widowControl w:val="0"/>
              <w:numPr>
                <w:ilvl w:val="0"/>
                <w:numId w:val="5"/>
              </w:numPr>
              <w:pBdr>
                <w:top w:val="nil"/>
                <w:left w:val="nil"/>
                <w:bottom w:val="nil"/>
                <w:right w:val="nil"/>
                <w:between w:val="nil"/>
              </w:pBdr>
            </w:pPr>
            <w:r>
              <w:rPr>
                <w:lang w:bidi="es-US"/>
              </w:rPr>
              <w:t>Capacitación y recursos sobre el uso de tecnología para apoyar la instrucción diferenciada en el aula</w:t>
            </w:r>
          </w:p>
        </w:tc>
        <w:tc>
          <w:tcPr>
            <w:tcW w:w="690" w:type="dxa"/>
            <w:tcMar>
              <w:top w:w="100" w:type="dxa"/>
              <w:left w:w="100" w:type="dxa"/>
              <w:bottom w:w="100" w:type="dxa"/>
              <w:right w:w="100" w:type="dxa"/>
            </w:tcMar>
          </w:tcPr>
          <w:p w14:paraId="4997B068" w14:textId="77777777" w:rsidR="00BB4760" w:rsidRDefault="00F91C53">
            <w:pPr>
              <w:widowControl w:val="0"/>
              <w:pBdr>
                <w:top w:val="nil"/>
                <w:left w:val="nil"/>
                <w:bottom w:val="nil"/>
                <w:right w:val="nil"/>
                <w:between w:val="nil"/>
              </w:pBdr>
            </w:pPr>
            <w:r>
              <w:rPr>
                <w:lang w:bidi="es-US"/>
              </w:rPr>
              <w:t>p.</w:t>
            </w:r>
          </w:p>
        </w:tc>
        <w:tc>
          <w:tcPr>
            <w:tcW w:w="2475" w:type="dxa"/>
            <w:tcMar>
              <w:top w:w="100" w:type="dxa"/>
              <w:left w:w="100" w:type="dxa"/>
              <w:bottom w:w="100" w:type="dxa"/>
              <w:right w:w="100" w:type="dxa"/>
            </w:tcMar>
          </w:tcPr>
          <w:p w14:paraId="5B575CD9" w14:textId="77777777" w:rsidR="00BB4760" w:rsidRDefault="00F91C53">
            <w:pPr>
              <w:widowControl w:val="0"/>
              <w:pBdr>
                <w:top w:val="nil"/>
                <w:left w:val="nil"/>
                <w:bottom w:val="nil"/>
                <w:right w:val="nil"/>
                <w:between w:val="nil"/>
              </w:pBdr>
              <w:jc w:val="right"/>
            </w:pPr>
            <w:r>
              <w:rPr>
                <w:lang w:bidi="es-US"/>
              </w:rPr>
              <w:t>$500,000.</w:t>
            </w:r>
          </w:p>
        </w:tc>
      </w:tr>
      <w:tr w:rsidR="00BB4760" w14:paraId="1285D8E7" w14:textId="77777777">
        <w:tc>
          <w:tcPr>
            <w:tcW w:w="3750" w:type="dxa"/>
            <w:tcMar>
              <w:top w:w="100" w:type="dxa"/>
              <w:left w:w="100" w:type="dxa"/>
              <w:bottom w:w="100" w:type="dxa"/>
              <w:right w:w="100" w:type="dxa"/>
            </w:tcMar>
          </w:tcPr>
          <w:p w14:paraId="117AB5C3" w14:textId="77777777" w:rsidR="00BB4760" w:rsidRDefault="00F91C53">
            <w:pPr>
              <w:widowControl w:val="0"/>
              <w:pBdr>
                <w:top w:val="nil"/>
                <w:left w:val="nil"/>
                <w:bottom w:val="nil"/>
                <w:right w:val="nil"/>
                <w:between w:val="nil"/>
              </w:pBdr>
            </w:pPr>
            <w:r>
              <w:rPr>
                <w:lang w:bidi="es-US"/>
              </w:rPr>
              <w:t>Desarrollo e implementación de programas de transición, incluida la coordinación de servicios con agencias involucradas en el apoyo a la transición de niños con discapacidades a actividades postsecundarias.</w:t>
            </w:r>
          </w:p>
        </w:tc>
        <w:tc>
          <w:tcPr>
            <w:tcW w:w="3405" w:type="dxa"/>
            <w:tcMar>
              <w:top w:w="100" w:type="dxa"/>
              <w:left w:w="100" w:type="dxa"/>
              <w:bottom w:w="100" w:type="dxa"/>
              <w:right w:w="100" w:type="dxa"/>
            </w:tcMar>
          </w:tcPr>
          <w:p w14:paraId="2B9BBA34" w14:textId="77777777" w:rsidR="00BB4760" w:rsidRDefault="00F91C53">
            <w:pPr>
              <w:widowControl w:val="0"/>
              <w:numPr>
                <w:ilvl w:val="0"/>
                <w:numId w:val="2"/>
              </w:numPr>
              <w:pBdr>
                <w:top w:val="nil"/>
                <w:left w:val="nil"/>
                <w:bottom w:val="nil"/>
                <w:right w:val="nil"/>
                <w:between w:val="nil"/>
              </w:pBdr>
            </w:pPr>
            <w:r>
              <w:rPr>
                <w:lang w:bidi="es-US"/>
              </w:rPr>
              <w:t>Apoyar el desarrollo del liderazgo y la preparación profesional a medida que los estudiantes con discapacidades pasan de la escuela secundaria (middle school) a la preparatoria (high school)</w:t>
            </w:r>
          </w:p>
          <w:p w14:paraId="104337DB" w14:textId="77777777" w:rsidR="00BB4760" w:rsidRDefault="00F91C53">
            <w:pPr>
              <w:widowControl w:val="0"/>
              <w:numPr>
                <w:ilvl w:val="0"/>
                <w:numId w:val="2"/>
              </w:numPr>
              <w:pBdr>
                <w:top w:val="nil"/>
                <w:left w:val="nil"/>
                <w:bottom w:val="nil"/>
                <w:right w:val="nil"/>
                <w:between w:val="nil"/>
              </w:pBdr>
            </w:pPr>
            <w:r>
              <w:rPr>
                <w:lang w:bidi="es-US"/>
              </w:rPr>
              <w:t>Foro de Liderazgo Juvenil para la asociación de estudiantes con discapacidades</w:t>
            </w:r>
          </w:p>
          <w:p w14:paraId="7DC293A9" w14:textId="77777777" w:rsidR="00BB4760" w:rsidRDefault="00F91C53">
            <w:pPr>
              <w:widowControl w:val="0"/>
              <w:numPr>
                <w:ilvl w:val="0"/>
                <w:numId w:val="2"/>
              </w:numPr>
              <w:pBdr>
                <w:top w:val="nil"/>
                <w:left w:val="nil"/>
                <w:bottom w:val="nil"/>
                <w:right w:val="nil"/>
                <w:between w:val="nil"/>
              </w:pBdr>
            </w:pPr>
            <w:r>
              <w:rPr>
                <w:lang w:bidi="es-US"/>
              </w:rPr>
              <w:t>Herramientas y recursos en línea para que las familias y los miembros de la comunidad entiendan los componentes críticos de la educación especial.</w:t>
            </w:r>
          </w:p>
        </w:tc>
        <w:tc>
          <w:tcPr>
            <w:tcW w:w="690" w:type="dxa"/>
            <w:tcMar>
              <w:top w:w="100" w:type="dxa"/>
              <w:left w:w="100" w:type="dxa"/>
              <w:bottom w:w="100" w:type="dxa"/>
              <w:right w:w="100" w:type="dxa"/>
            </w:tcMar>
          </w:tcPr>
          <w:p w14:paraId="2CA7C90F" w14:textId="77777777" w:rsidR="00BB4760" w:rsidRDefault="00F91C53">
            <w:pPr>
              <w:widowControl w:val="0"/>
              <w:pBdr>
                <w:top w:val="nil"/>
                <w:left w:val="nil"/>
                <w:bottom w:val="nil"/>
                <w:right w:val="nil"/>
                <w:between w:val="nil"/>
              </w:pBdr>
            </w:pPr>
            <w:r>
              <w:rPr>
                <w:lang w:bidi="es-US"/>
              </w:rPr>
              <w:t xml:space="preserve">q. </w:t>
            </w:r>
          </w:p>
        </w:tc>
        <w:tc>
          <w:tcPr>
            <w:tcW w:w="2475" w:type="dxa"/>
            <w:tcMar>
              <w:top w:w="100" w:type="dxa"/>
              <w:left w:w="100" w:type="dxa"/>
              <w:bottom w:w="100" w:type="dxa"/>
              <w:right w:w="100" w:type="dxa"/>
            </w:tcMar>
          </w:tcPr>
          <w:p w14:paraId="3BD9184B" w14:textId="77777777" w:rsidR="00BB4760" w:rsidRDefault="00F91C53">
            <w:pPr>
              <w:widowControl w:val="0"/>
              <w:pBdr>
                <w:top w:val="nil"/>
                <w:left w:val="nil"/>
                <w:bottom w:val="nil"/>
                <w:right w:val="nil"/>
                <w:between w:val="nil"/>
              </w:pBdr>
              <w:jc w:val="right"/>
            </w:pPr>
            <w:r>
              <w:rPr>
                <w:lang w:bidi="es-US"/>
              </w:rPr>
              <w:t>$1,700,000.</w:t>
            </w:r>
          </w:p>
        </w:tc>
      </w:tr>
      <w:tr w:rsidR="00BB4760" w14:paraId="2A99111E" w14:textId="77777777">
        <w:tc>
          <w:tcPr>
            <w:tcW w:w="3750" w:type="dxa"/>
            <w:tcMar>
              <w:top w:w="100" w:type="dxa"/>
              <w:left w:w="100" w:type="dxa"/>
              <w:bottom w:w="100" w:type="dxa"/>
              <w:right w:w="100" w:type="dxa"/>
            </w:tcMar>
          </w:tcPr>
          <w:p w14:paraId="33DEDFB9" w14:textId="77777777" w:rsidR="00BB4760" w:rsidRDefault="00F91C53">
            <w:pPr>
              <w:widowControl w:val="0"/>
              <w:pBdr>
                <w:top w:val="nil"/>
                <w:left w:val="nil"/>
                <w:bottom w:val="nil"/>
                <w:right w:val="nil"/>
                <w:between w:val="nil"/>
              </w:pBdr>
            </w:pPr>
            <w:r>
              <w:rPr>
                <w:lang w:bidi="es-US"/>
              </w:rPr>
              <w:t xml:space="preserve">Programación alternativa para niños con discapacidades que han sido expulsados de la escuela, y servicios para niños con discapacidades en centros correccionales, los niños </w:t>
            </w:r>
            <w:r>
              <w:rPr>
                <w:lang w:bidi="es-US"/>
              </w:rPr>
              <w:lastRenderedPageBreak/>
              <w:t>inscritos en escuelas manejadas o apoyadas por el Estado, y los niños con discapacidades en escuelas chárter.</w:t>
            </w:r>
          </w:p>
        </w:tc>
        <w:tc>
          <w:tcPr>
            <w:tcW w:w="3405" w:type="dxa"/>
            <w:tcMar>
              <w:top w:w="100" w:type="dxa"/>
              <w:left w:w="100" w:type="dxa"/>
              <w:bottom w:w="100" w:type="dxa"/>
              <w:right w:w="100" w:type="dxa"/>
            </w:tcMar>
          </w:tcPr>
          <w:p w14:paraId="083992D4" w14:textId="77777777" w:rsidR="00BB4760" w:rsidRDefault="00BB4760">
            <w:pPr>
              <w:widowControl w:val="0"/>
              <w:pBdr>
                <w:top w:val="nil"/>
                <w:left w:val="nil"/>
                <w:bottom w:val="nil"/>
                <w:right w:val="nil"/>
                <w:between w:val="nil"/>
              </w:pBdr>
              <w:ind w:left="720"/>
            </w:pPr>
          </w:p>
        </w:tc>
        <w:tc>
          <w:tcPr>
            <w:tcW w:w="690" w:type="dxa"/>
            <w:tcMar>
              <w:top w:w="100" w:type="dxa"/>
              <w:left w:w="100" w:type="dxa"/>
              <w:bottom w:w="100" w:type="dxa"/>
              <w:right w:w="100" w:type="dxa"/>
            </w:tcMar>
          </w:tcPr>
          <w:p w14:paraId="23C28198" w14:textId="77777777" w:rsidR="00BB4760" w:rsidRDefault="00F91C53">
            <w:pPr>
              <w:widowControl w:val="0"/>
              <w:pBdr>
                <w:top w:val="nil"/>
                <w:left w:val="nil"/>
                <w:bottom w:val="nil"/>
                <w:right w:val="nil"/>
                <w:between w:val="nil"/>
              </w:pBdr>
            </w:pPr>
            <w:r>
              <w:rPr>
                <w:lang w:bidi="es-US"/>
              </w:rPr>
              <w:t>r.</w:t>
            </w:r>
          </w:p>
        </w:tc>
        <w:tc>
          <w:tcPr>
            <w:tcW w:w="2475" w:type="dxa"/>
            <w:tcMar>
              <w:top w:w="100" w:type="dxa"/>
              <w:left w:w="100" w:type="dxa"/>
              <w:bottom w:w="100" w:type="dxa"/>
              <w:right w:w="100" w:type="dxa"/>
            </w:tcMar>
          </w:tcPr>
          <w:p w14:paraId="77F26EFE" w14:textId="77777777" w:rsidR="00BB4760" w:rsidRDefault="00F91C53">
            <w:pPr>
              <w:widowControl w:val="0"/>
              <w:pBdr>
                <w:top w:val="nil"/>
                <w:left w:val="nil"/>
                <w:bottom w:val="nil"/>
                <w:right w:val="nil"/>
                <w:between w:val="nil"/>
              </w:pBdr>
              <w:jc w:val="right"/>
              <w:rPr>
                <w:highlight w:val="white"/>
              </w:rPr>
            </w:pPr>
            <w:r>
              <w:rPr>
                <w:highlight w:val="white"/>
                <w:lang w:bidi="es-US"/>
              </w:rPr>
              <w:t>$0.</w:t>
            </w:r>
          </w:p>
        </w:tc>
      </w:tr>
      <w:tr w:rsidR="00BB4760" w14:paraId="4D52A300" w14:textId="77777777">
        <w:tc>
          <w:tcPr>
            <w:tcW w:w="3750" w:type="dxa"/>
            <w:tcMar>
              <w:top w:w="100" w:type="dxa"/>
              <w:left w:w="100" w:type="dxa"/>
              <w:bottom w:w="100" w:type="dxa"/>
              <w:right w:w="100" w:type="dxa"/>
            </w:tcMar>
          </w:tcPr>
          <w:p w14:paraId="4D3275B4" w14:textId="77777777" w:rsidR="00BB4760" w:rsidRDefault="00F91C53">
            <w:pPr>
              <w:widowControl w:val="0"/>
              <w:pBdr>
                <w:top w:val="nil"/>
                <w:left w:val="nil"/>
                <w:bottom w:val="nil"/>
                <w:right w:val="nil"/>
                <w:between w:val="nil"/>
              </w:pBdr>
            </w:pPr>
            <w:r>
              <w:rPr>
                <w:lang w:bidi="es-US"/>
              </w:rPr>
              <w:t>Para apoyar el desarrollo y la provisión de acomodaciones apropiadas para niños con discapacidades, o el desarrollo y provisión de evaluaciones alternativas que sean válidas y confiables para evaluar el desempeño de los niños con discapacidades, de acuerdo con las Secciones 1111 (b) y 1201 de la Ley de educación de primaria y secundaria de 1965.</w:t>
            </w:r>
          </w:p>
        </w:tc>
        <w:tc>
          <w:tcPr>
            <w:tcW w:w="3405" w:type="dxa"/>
            <w:tcMar>
              <w:top w:w="100" w:type="dxa"/>
              <w:left w:w="100" w:type="dxa"/>
              <w:bottom w:w="100" w:type="dxa"/>
              <w:right w:w="100" w:type="dxa"/>
            </w:tcMar>
          </w:tcPr>
          <w:p w14:paraId="23DA5103" w14:textId="77777777" w:rsidR="00BB4760" w:rsidRDefault="00F91C53">
            <w:pPr>
              <w:widowControl w:val="0"/>
              <w:numPr>
                <w:ilvl w:val="0"/>
                <w:numId w:val="6"/>
              </w:numPr>
              <w:pBdr>
                <w:top w:val="nil"/>
                <w:left w:val="nil"/>
                <w:bottom w:val="nil"/>
                <w:right w:val="nil"/>
                <w:between w:val="nil"/>
              </w:pBdr>
            </w:pPr>
            <w:r>
              <w:rPr>
                <w:lang w:bidi="es-US"/>
              </w:rPr>
              <w:t>Acomodaciones de evaluación: proporciona fondos para la provisión de acomodaciones en evaluaciones estatales regulares</w:t>
            </w:r>
          </w:p>
          <w:p w14:paraId="096292AC" w14:textId="77777777" w:rsidR="00BB4760" w:rsidRDefault="00F91C53">
            <w:pPr>
              <w:widowControl w:val="0"/>
              <w:numPr>
                <w:ilvl w:val="0"/>
                <w:numId w:val="6"/>
              </w:numPr>
              <w:pBdr>
                <w:top w:val="nil"/>
                <w:left w:val="nil"/>
                <w:bottom w:val="nil"/>
                <w:right w:val="nil"/>
                <w:between w:val="nil"/>
              </w:pBdr>
            </w:pPr>
            <w:r>
              <w:rPr>
                <w:lang w:bidi="es-US"/>
              </w:rPr>
              <w:t>Evaluación alternativa: proporciona fondos para el desarrollo y la provisión de evaluaciones alternativas</w:t>
            </w:r>
          </w:p>
        </w:tc>
        <w:tc>
          <w:tcPr>
            <w:tcW w:w="690" w:type="dxa"/>
            <w:shd w:val="clear" w:color="auto" w:fill="auto"/>
            <w:tcMar>
              <w:top w:w="100" w:type="dxa"/>
              <w:left w:w="100" w:type="dxa"/>
              <w:bottom w:w="100" w:type="dxa"/>
              <w:right w:w="100" w:type="dxa"/>
            </w:tcMar>
          </w:tcPr>
          <w:p w14:paraId="25A174E7" w14:textId="77777777" w:rsidR="00BB4760" w:rsidRDefault="00F91C53">
            <w:pPr>
              <w:widowControl w:val="0"/>
              <w:pBdr>
                <w:top w:val="nil"/>
                <w:left w:val="nil"/>
                <w:bottom w:val="nil"/>
                <w:right w:val="nil"/>
                <w:between w:val="nil"/>
              </w:pBdr>
            </w:pPr>
            <w:r>
              <w:rPr>
                <w:lang w:bidi="es-US"/>
              </w:rPr>
              <w:t>s.</w:t>
            </w:r>
          </w:p>
        </w:tc>
        <w:tc>
          <w:tcPr>
            <w:tcW w:w="2475" w:type="dxa"/>
            <w:shd w:val="clear" w:color="auto" w:fill="auto"/>
            <w:tcMar>
              <w:top w:w="100" w:type="dxa"/>
              <w:left w:w="100" w:type="dxa"/>
              <w:bottom w:w="100" w:type="dxa"/>
              <w:right w:w="100" w:type="dxa"/>
            </w:tcMar>
          </w:tcPr>
          <w:p w14:paraId="3E0E8009" w14:textId="77777777" w:rsidR="00BB4760" w:rsidRDefault="00F91C53">
            <w:pPr>
              <w:widowControl w:val="0"/>
              <w:pBdr>
                <w:top w:val="nil"/>
                <w:left w:val="nil"/>
                <w:bottom w:val="nil"/>
                <w:right w:val="nil"/>
                <w:between w:val="nil"/>
              </w:pBdr>
              <w:jc w:val="right"/>
            </w:pPr>
            <w:r>
              <w:rPr>
                <w:lang w:bidi="es-US"/>
              </w:rPr>
              <w:t>$6,279,820.</w:t>
            </w:r>
          </w:p>
        </w:tc>
      </w:tr>
      <w:tr w:rsidR="00BB4760" w14:paraId="1626F8D3" w14:textId="77777777">
        <w:tc>
          <w:tcPr>
            <w:tcW w:w="3750" w:type="dxa"/>
            <w:tcMar>
              <w:top w:w="100" w:type="dxa"/>
              <w:left w:w="100" w:type="dxa"/>
              <w:bottom w:w="100" w:type="dxa"/>
              <w:right w:w="100" w:type="dxa"/>
            </w:tcMar>
          </w:tcPr>
          <w:p w14:paraId="764406A5" w14:textId="77777777" w:rsidR="00BB4760" w:rsidRDefault="00F91C53">
            <w:pPr>
              <w:widowControl w:val="0"/>
              <w:pBdr>
                <w:top w:val="nil"/>
                <w:left w:val="nil"/>
                <w:bottom w:val="nil"/>
                <w:right w:val="nil"/>
                <w:between w:val="nil"/>
              </w:pBdr>
            </w:pPr>
            <w:r>
              <w:rPr>
                <w:lang w:bidi="es-US"/>
              </w:rPr>
              <w:t>Para proporcionar asistencia técnica a escuelas y agencias locales de educación (LEA), y servicios directos, incluidos los servicios directos para estudiantes descritos en la sección 1003A(c)(3) de ESEA (Ley de la educación de primaria y secundaria) a niños con discapacidades, a escuelas o LEA que implementan apoyo integral y actividades de mejora o apoyo direccionado y actividades de mejora bajo la sección 1111(d) de la ESEA sobre la base del bajo rendimiento constante del subgrupo dividido de niños con discapacidades, incluido el proporcionar desarrollo profesional para maestros de educación especial y regular, que enseñan a niños con discapacidades, con base en investigaciones científicas para mejorar la instrucción educacional, con el fin de mejorar el rendimiento académico basado en los desafiantes estándares académicos descritos en la sección 1111(b)(1) de la ESEA.</w:t>
            </w:r>
          </w:p>
        </w:tc>
        <w:tc>
          <w:tcPr>
            <w:tcW w:w="3405" w:type="dxa"/>
            <w:tcMar>
              <w:top w:w="100" w:type="dxa"/>
              <w:left w:w="100" w:type="dxa"/>
              <w:bottom w:w="100" w:type="dxa"/>
              <w:right w:w="100" w:type="dxa"/>
            </w:tcMar>
          </w:tcPr>
          <w:p w14:paraId="2ABFEB5E" w14:textId="77777777" w:rsidR="00BB4760" w:rsidRDefault="00F91C53">
            <w:pPr>
              <w:widowControl w:val="0"/>
              <w:numPr>
                <w:ilvl w:val="0"/>
                <w:numId w:val="9"/>
              </w:numPr>
              <w:pBdr>
                <w:top w:val="nil"/>
                <w:left w:val="nil"/>
                <w:bottom w:val="nil"/>
                <w:right w:val="nil"/>
                <w:between w:val="nil"/>
              </w:pBdr>
            </w:pPr>
            <w:r>
              <w:rPr>
                <w:lang w:bidi="es-US"/>
              </w:rPr>
              <w:t xml:space="preserve">Para apoyar los planes de rediseño escolar que abordan específicamente a los estudiantes con discapacidades para las escuelas identificadas como Intervención Urgente Requerida en base al bajo rendimiento constante del subgrupo de estudiantes con discapacidades </w:t>
            </w:r>
          </w:p>
        </w:tc>
        <w:tc>
          <w:tcPr>
            <w:tcW w:w="690" w:type="dxa"/>
            <w:tcMar>
              <w:top w:w="100" w:type="dxa"/>
              <w:left w:w="100" w:type="dxa"/>
              <w:bottom w:w="100" w:type="dxa"/>
              <w:right w:w="100" w:type="dxa"/>
            </w:tcMar>
          </w:tcPr>
          <w:p w14:paraId="1FB53FB4" w14:textId="77777777" w:rsidR="00BB4760" w:rsidRDefault="00F91C53">
            <w:pPr>
              <w:widowControl w:val="0"/>
              <w:pBdr>
                <w:top w:val="nil"/>
                <w:left w:val="nil"/>
                <w:bottom w:val="nil"/>
                <w:right w:val="nil"/>
                <w:between w:val="nil"/>
              </w:pBdr>
            </w:pPr>
            <w:r>
              <w:rPr>
                <w:lang w:bidi="es-US"/>
              </w:rPr>
              <w:t>t.</w:t>
            </w:r>
          </w:p>
        </w:tc>
        <w:tc>
          <w:tcPr>
            <w:tcW w:w="2475" w:type="dxa"/>
            <w:tcMar>
              <w:top w:w="100" w:type="dxa"/>
              <w:left w:w="100" w:type="dxa"/>
              <w:bottom w:w="100" w:type="dxa"/>
              <w:right w:w="100" w:type="dxa"/>
            </w:tcMar>
          </w:tcPr>
          <w:p w14:paraId="0759ABF8" w14:textId="77777777" w:rsidR="00BB4760" w:rsidRDefault="00F91C53">
            <w:pPr>
              <w:widowControl w:val="0"/>
              <w:pBdr>
                <w:top w:val="nil"/>
                <w:left w:val="nil"/>
                <w:bottom w:val="nil"/>
                <w:right w:val="nil"/>
                <w:between w:val="nil"/>
              </w:pBdr>
              <w:jc w:val="right"/>
            </w:pPr>
            <w:r>
              <w:rPr>
                <w:lang w:bidi="es-US"/>
              </w:rPr>
              <w:t>$1,865,726.</w:t>
            </w:r>
          </w:p>
        </w:tc>
      </w:tr>
      <w:tr w:rsidR="00BB4760" w14:paraId="087858BE" w14:textId="77777777">
        <w:tc>
          <w:tcPr>
            <w:tcW w:w="3750" w:type="dxa"/>
            <w:tcMar>
              <w:top w:w="100" w:type="dxa"/>
              <w:left w:w="100" w:type="dxa"/>
              <w:bottom w:w="100" w:type="dxa"/>
              <w:right w:w="100" w:type="dxa"/>
            </w:tcMar>
          </w:tcPr>
          <w:p w14:paraId="7024852D" w14:textId="77777777" w:rsidR="00BB4760" w:rsidRDefault="00F91C53">
            <w:pPr>
              <w:widowControl w:val="0"/>
              <w:pBdr>
                <w:top w:val="nil"/>
                <w:left w:val="nil"/>
                <w:bottom w:val="nil"/>
                <w:right w:val="nil"/>
                <w:between w:val="nil"/>
              </w:pBdr>
            </w:pPr>
            <w:r>
              <w:rPr>
                <w:b/>
                <w:lang w:bidi="es-US"/>
              </w:rPr>
              <w:t>Fondo común de riesgo de la agencia educativa local</w:t>
            </w:r>
            <w:r>
              <w:rPr>
                <w:lang w:bidi="es-US"/>
              </w:rPr>
              <w:t xml:space="preserve"> (20 USC 1411 (e) (3) (A)): Fondo de riesgo de la agencia local de educación (10 U.SC.20 (e)(3)(A)): con el propósito de ayudar a las </w:t>
            </w:r>
            <w:r>
              <w:rPr>
                <w:lang w:bidi="es-US"/>
              </w:rPr>
              <w:lastRenderedPageBreak/>
              <w:t>agencias locales de educación (incluida una escuela chárter que es una agencia local de educación o un consorcio de agencias locales de educación) a abordar necesidades de los niños con discapacidades que tienen alta necesidad, cada Estado tendrá la opción de reservar para cada año fiscal el 10 por ciento de la cantidad de fondos que el estado reserva para actividades a nivel estatal bajo 20 U.S.C. 1411(e)(2)(A); 34 CFR §300.704.</w:t>
            </w:r>
          </w:p>
        </w:tc>
        <w:tc>
          <w:tcPr>
            <w:tcW w:w="3405" w:type="dxa"/>
            <w:shd w:val="clear" w:color="auto" w:fill="CCCCCC"/>
            <w:tcMar>
              <w:top w:w="100" w:type="dxa"/>
              <w:left w:w="100" w:type="dxa"/>
              <w:bottom w:w="100" w:type="dxa"/>
              <w:right w:w="100" w:type="dxa"/>
            </w:tcMar>
          </w:tcPr>
          <w:p w14:paraId="4415F6F9" w14:textId="77777777" w:rsidR="00BB4760" w:rsidRDefault="00BB4760">
            <w:pPr>
              <w:widowControl w:val="0"/>
              <w:pBdr>
                <w:top w:val="nil"/>
                <w:left w:val="nil"/>
                <w:bottom w:val="nil"/>
                <w:right w:val="nil"/>
                <w:between w:val="nil"/>
              </w:pBdr>
            </w:pPr>
          </w:p>
        </w:tc>
        <w:tc>
          <w:tcPr>
            <w:tcW w:w="690" w:type="dxa"/>
            <w:shd w:val="clear" w:color="auto" w:fill="CCCCCC"/>
            <w:tcMar>
              <w:top w:w="100" w:type="dxa"/>
              <w:left w:w="100" w:type="dxa"/>
              <w:bottom w:w="100" w:type="dxa"/>
              <w:right w:w="100" w:type="dxa"/>
            </w:tcMar>
          </w:tcPr>
          <w:p w14:paraId="19B09064" w14:textId="77777777" w:rsidR="00BB4760" w:rsidRDefault="00BB4760">
            <w:pPr>
              <w:widowControl w:val="0"/>
              <w:pBdr>
                <w:top w:val="nil"/>
                <w:left w:val="nil"/>
                <w:bottom w:val="nil"/>
                <w:right w:val="nil"/>
                <w:between w:val="nil"/>
              </w:pBdr>
            </w:pPr>
          </w:p>
        </w:tc>
        <w:tc>
          <w:tcPr>
            <w:tcW w:w="2475" w:type="dxa"/>
            <w:shd w:val="clear" w:color="auto" w:fill="CCCCCC"/>
            <w:tcMar>
              <w:top w:w="100" w:type="dxa"/>
              <w:left w:w="100" w:type="dxa"/>
              <w:bottom w:w="100" w:type="dxa"/>
              <w:right w:w="100" w:type="dxa"/>
            </w:tcMar>
          </w:tcPr>
          <w:p w14:paraId="25A00F51" w14:textId="77777777" w:rsidR="00BB4760" w:rsidRDefault="00BB4760">
            <w:pPr>
              <w:widowControl w:val="0"/>
              <w:pBdr>
                <w:top w:val="nil"/>
                <w:left w:val="nil"/>
                <w:bottom w:val="nil"/>
                <w:right w:val="nil"/>
                <w:between w:val="nil"/>
              </w:pBdr>
              <w:jc w:val="right"/>
            </w:pPr>
          </w:p>
        </w:tc>
      </w:tr>
      <w:tr w:rsidR="00BB4760" w14:paraId="6C17C355" w14:textId="77777777">
        <w:trPr>
          <w:trHeight w:val="1860"/>
        </w:trPr>
        <w:tc>
          <w:tcPr>
            <w:tcW w:w="3750" w:type="dxa"/>
            <w:tcMar>
              <w:top w:w="100" w:type="dxa"/>
              <w:left w:w="100" w:type="dxa"/>
              <w:bottom w:w="100" w:type="dxa"/>
              <w:right w:w="100" w:type="dxa"/>
            </w:tcMar>
          </w:tcPr>
          <w:p w14:paraId="0BF11AFD" w14:textId="77777777" w:rsidR="00BB4760" w:rsidRDefault="00F91C53">
            <w:pPr>
              <w:widowControl w:val="0"/>
              <w:pBdr>
                <w:top w:val="nil"/>
                <w:left w:val="nil"/>
                <w:bottom w:val="nil"/>
                <w:right w:val="nil"/>
                <w:between w:val="nil"/>
              </w:pBdr>
            </w:pPr>
            <w:r>
              <w:rPr>
                <w:lang w:bidi="es-US"/>
              </w:rPr>
              <w:t>Establecer y realizar desembolsos desde el fondo de alto costo a las agencias locales de educación de conformidad con 20U.S.C.1411 (e)(3) durante los primeros y siguientes años fiscales desde el fondo de alto costo; y</w:t>
            </w:r>
          </w:p>
        </w:tc>
        <w:tc>
          <w:tcPr>
            <w:tcW w:w="3405" w:type="dxa"/>
            <w:tcMar>
              <w:top w:w="100" w:type="dxa"/>
              <w:left w:w="100" w:type="dxa"/>
              <w:bottom w:w="100" w:type="dxa"/>
              <w:right w:w="100" w:type="dxa"/>
            </w:tcMar>
          </w:tcPr>
          <w:p w14:paraId="3BA50499" w14:textId="77777777" w:rsidR="00BB4760" w:rsidRDefault="00F91C53">
            <w:pPr>
              <w:widowControl w:val="0"/>
              <w:numPr>
                <w:ilvl w:val="0"/>
                <w:numId w:val="4"/>
              </w:numPr>
              <w:pBdr>
                <w:top w:val="nil"/>
                <w:left w:val="nil"/>
                <w:bottom w:val="nil"/>
                <w:right w:val="nil"/>
                <w:between w:val="nil"/>
              </w:pBdr>
            </w:pPr>
            <w:r>
              <w:rPr>
                <w:lang w:bidi="es-US"/>
              </w:rPr>
              <w:t>Fondo de alto costo para soportar costos adicionales asociados con los estudiantes con necesidades complejas</w:t>
            </w:r>
          </w:p>
        </w:tc>
        <w:tc>
          <w:tcPr>
            <w:tcW w:w="690" w:type="dxa"/>
            <w:tcMar>
              <w:top w:w="100" w:type="dxa"/>
              <w:left w:w="100" w:type="dxa"/>
              <w:bottom w:w="100" w:type="dxa"/>
              <w:right w:w="100" w:type="dxa"/>
            </w:tcMar>
          </w:tcPr>
          <w:p w14:paraId="44AE2D42" w14:textId="77777777" w:rsidR="00BB4760" w:rsidRDefault="00F91C53">
            <w:pPr>
              <w:widowControl w:val="0"/>
              <w:pBdr>
                <w:top w:val="nil"/>
                <w:left w:val="nil"/>
                <w:bottom w:val="nil"/>
                <w:right w:val="nil"/>
                <w:between w:val="nil"/>
              </w:pBdr>
            </w:pPr>
            <w:r>
              <w:rPr>
                <w:lang w:bidi="es-US"/>
              </w:rPr>
              <w:t>u.</w:t>
            </w:r>
          </w:p>
        </w:tc>
        <w:tc>
          <w:tcPr>
            <w:tcW w:w="2475" w:type="dxa"/>
            <w:tcMar>
              <w:top w:w="100" w:type="dxa"/>
              <w:left w:w="100" w:type="dxa"/>
              <w:bottom w:w="100" w:type="dxa"/>
              <w:right w:w="100" w:type="dxa"/>
            </w:tcMar>
          </w:tcPr>
          <w:p w14:paraId="690B2859" w14:textId="77777777" w:rsidR="00BB4760" w:rsidRDefault="00F91C53">
            <w:pPr>
              <w:widowControl w:val="0"/>
              <w:pBdr>
                <w:top w:val="nil"/>
                <w:left w:val="nil"/>
                <w:bottom w:val="nil"/>
                <w:right w:val="nil"/>
                <w:between w:val="nil"/>
              </w:pBdr>
              <w:jc w:val="right"/>
            </w:pPr>
            <w:r>
              <w:rPr>
                <w:lang w:bidi="es-US"/>
              </w:rPr>
              <w:t>$4,400,000.</w:t>
            </w:r>
          </w:p>
        </w:tc>
      </w:tr>
      <w:tr w:rsidR="00BB4760" w14:paraId="685872EC" w14:textId="77777777">
        <w:tc>
          <w:tcPr>
            <w:tcW w:w="3750" w:type="dxa"/>
            <w:tcMar>
              <w:top w:w="100" w:type="dxa"/>
              <w:left w:w="100" w:type="dxa"/>
              <w:bottom w:w="100" w:type="dxa"/>
              <w:right w:w="100" w:type="dxa"/>
            </w:tcMar>
          </w:tcPr>
          <w:p w14:paraId="66AD8E62" w14:textId="77777777" w:rsidR="00BB4760" w:rsidRDefault="00F91C53">
            <w:pPr>
              <w:widowControl w:val="0"/>
              <w:pBdr>
                <w:top w:val="nil"/>
                <w:left w:val="nil"/>
                <w:bottom w:val="nil"/>
                <w:right w:val="nil"/>
                <w:between w:val="nil"/>
              </w:pBdr>
            </w:pPr>
            <w:r>
              <w:rPr>
                <w:lang w:bidi="es-US"/>
              </w:rPr>
              <w:t xml:space="preserve">Para apoyar formas innovadoras y efectivas de costos compartidos por el Estado, por una agencia local de educación o entre un consorcio de agencias locales de educación, </w:t>
            </w:r>
          </w:p>
          <w:p w14:paraId="2B3C4535" w14:textId="77777777" w:rsidR="00BB4760" w:rsidRDefault="00F91C53">
            <w:pPr>
              <w:widowControl w:val="0"/>
              <w:pBdr>
                <w:top w:val="nil"/>
                <w:left w:val="nil"/>
                <w:bottom w:val="nil"/>
                <w:right w:val="nil"/>
                <w:between w:val="nil"/>
              </w:pBdr>
            </w:pPr>
            <w:r>
              <w:rPr>
                <w:lang w:bidi="es-US"/>
              </w:rPr>
              <w:t>según lo determine el Estado en coordinación con representantes de las agencias educativas locales, sujeto a 20U.S.C. 1411 (e) (3) (B) (ii) [La cantidad no puede ser más del 5% de la cantidad reservada para la LEA Risk Pool.].</w:t>
            </w:r>
          </w:p>
        </w:tc>
        <w:tc>
          <w:tcPr>
            <w:tcW w:w="3405" w:type="dxa"/>
            <w:tcMar>
              <w:top w:w="100" w:type="dxa"/>
              <w:left w:w="100" w:type="dxa"/>
              <w:bottom w:w="100" w:type="dxa"/>
              <w:right w:w="100" w:type="dxa"/>
            </w:tcMar>
          </w:tcPr>
          <w:p w14:paraId="4237C28B" w14:textId="77777777" w:rsidR="00BB4760" w:rsidRDefault="00BB4760">
            <w:pPr>
              <w:widowControl w:val="0"/>
              <w:pBdr>
                <w:top w:val="nil"/>
                <w:left w:val="nil"/>
                <w:bottom w:val="nil"/>
                <w:right w:val="nil"/>
                <w:between w:val="nil"/>
              </w:pBdr>
            </w:pPr>
          </w:p>
        </w:tc>
        <w:tc>
          <w:tcPr>
            <w:tcW w:w="690" w:type="dxa"/>
            <w:tcMar>
              <w:top w:w="100" w:type="dxa"/>
              <w:left w:w="100" w:type="dxa"/>
              <w:bottom w:w="100" w:type="dxa"/>
              <w:right w:w="100" w:type="dxa"/>
            </w:tcMar>
          </w:tcPr>
          <w:p w14:paraId="702F227D" w14:textId="77777777" w:rsidR="00BB4760" w:rsidRDefault="00F91C53">
            <w:pPr>
              <w:widowControl w:val="0"/>
              <w:pBdr>
                <w:top w:val="nil"/>
                <w:left w:val="nil"/>
                <w:bottom w:val="nil"/>
                <w:right w:val="nil"/>
                <w:between w:val="nil"/>
              </w:pBdr>
            </w:pPr>
            <w:r>
              <w:rPr>
                <w:lang w:bidi="es-US"/>
              </w:rPr>
              <w:t>v.</w:t>
            </w:r>
          </w:p>
        </w:tc>
        <w:tc>
          <w:tcPr>
            <w:tcW w:w="2475" w:type="dxa"/>
            <w:tcMar>
              <w:top w:w="100" w:type="dxa"/>
              <w:left w:w="100" w:type="dxa"/>
              <w:bottom w:w="100" w:type="dxa"/>
              <w:right w:w="100" w:type="dxa"/>
            </w:tcMar>
          </w:tcPr>
          <w:p w14:paraId="5B4B0700" w14:textId="77777777" w:rsidR="00BB4760" w:rsidRDefault="00F91C53">
            <w:pPr>
              <w:widowControl w:val="0"/>
              <w:pBdr>
                <w:top w:val="nil"/>
                <w:left w:val="nil"/>
                <w:bottom w:val="nil"/>
                <w:right w:val="nil"/>
                <w:between w:val="nil"/>
              </w:pBdr>
              <w:jc w:val="right"/>
            </w:pPr>
            <w:r>
              <w:rPr>
                <w:lang w:bidi="es-US"/>
              </w:rPr>
              <w:t>$0</w:t>
            </w:r>
          </w:p>
        </w:tc>
      </w:tr>
      <w:tr w:rsidR="00BB4760" w14:paraId="2D7A5676" w14:textId="77777777">
        <w:tc>
          <w:tcPr>
            <w:tcW w:w="3750" w:type="dxa"/>
            <w:tcMar>
              <w:top w:w="100" w:type="dxa"/>
              <w:left w:w="100" w:type="dxa"/>
              <w:bottom w:w="100" w:type="dxa"/>
              <w:right w:w="100" w:type="dxa"/>
            </w:tcMar>
          </w:tcPr>
          <w:p w14:paraId="243DC577" w14:textId="77777777" w:rsidR="00BB4760" w:rsidRDefault="00F91C53">
            <w:pPr>
              <w:widowControl w:val="0"/>
              <w:pBdr>
                <w:top w:val="nil"/>
                <w:left w:val="nil"/>
                <w:bottom w:val="nil"/>
                <w:right w:val="nil"/>
                <w:between w:val="nil"/>
              </w:pBdr>
            </w:pPr>
            <w:r>
              <w:rPr>
                <w:lang w:bidi="es-US"/>
              </w:rPr>
              <w:t>Establecimiento del Fondo de Alto Costo (20 U.S.C.1411(e)(3)(B)(i);34 CFR§300.704)</w:t>
            </w:r>
          </w:p>
        </w:tc>
        <w:tc>
          <w:tcPr>
            <w:tcW w:w="3405" w:type="dxa"/>
            <w:shd w:val="clear" w:color="auto" w:fill="CCCCCC"/>
            <w:tcMar>
              <w:top w:w="100" w:type="dxa"/>
              <w:left w:w="100" w:type="dxa"/>
              <w:bottom w:w="100" w:type="dxa"/>
              <w:right w:w="100" w:type="dxa"/>
            </w:tcMar>
          </w:tcPr>
          <w:p w14:paraId="70CD3820" w14:textId="77777777" w:rsidR="00BB4760" w:rsidRDefault="00BB4760">
            <w:pPr>
              <w:widowControl w:val="0"/>
              <w:pBdr>
                <w:top w:val="nil"/>
                <w:left w:val="nil"/>
                <w:bottom w:val="nil"/>
                <w:right w:val="nil"/>
                <w:between w:val="nil"/>
              </w:pBdr>
            </w:pPr>
          </w:p>
        </w:tc>
        <w:tc>
          <w:tcPr>
            <w:tcW w:w="690" w:type="dxa"/>
            <w:shd w:val="clear" w:color="auto" w:fill="CCCCCC"/>
            <w:tcMar>
              <w:top w:w="100" w:type="dxa"/>
              <w:left w:w="100" w:type="dxa"/>
              <w:bottom w:w="100" w:type="dxa"/>
              <w:right w:w="100" w:type="dxa"/>
            </w:tcMar>
          </w:tcPr>
          <w:p w14:paraId="0BEF11EC" w14:textId="77777777" w:rsidR="00BB4760" w:rsidRDefault="00BB4760">
            <w:pPr>
              <w:widowControl w:val="0"/>
              <w:pBdr>
                <w:top w:val="nil"/>
                <w:left w:val="nil"/>
                <w:bottom w:val="nil"/>
                <w:right w:val="nil"/>
                <w:between w:val="nil"/>
              </w:pBdr>
            </w:pPr>
          </w:p>
        </w:tc>
        <w:tc>
          <w:tcPr>
            <w:tcW w:w="2475" w:type="dxa"/>
            <w:shd w:val="clear" w:color="auto" w:fill="CCCCCC"/>
            <w:tcMar>
              <w:top w:w="100" w:type="dxa"/>
              <w:left w:w="100" w:type="dxa"/>
              <w:bottom w:w="100" w:type="dxa"/>
              <w:right w:w="100" w:type="dxa"/>
            </w:tcMar>
          </w:tcPr>
          <w:p w14:paraId="6D8F4C98" w14:textId="77777777" w:rsidR="00BB4760" w:rsidRDefault="00BB4760">
            <w:pPr>
              <w:widowControl w:val="0"/>
              <w:pBdr>
                <w:top w:val="nil"/>
                <w:left w:val="nil"/>
                <w:bottom w:val="nil"/>
                <w:right w:val="nil"/>
                <w:between w:val="nil"/>
              </w:pBdr>
            </w:pPr>
          </w:p>
        </w:tc>
      </w:tr>
      <w:tr w:rsidR="00BB4760" w14:paraId="783BC7E9" w14:textId="77777777">
        <w:tc>
          <w:tcPr>
            <w:tcW w:w="3750" w:type="dxa"/>
            <w:tcMar>
              <w:top w:w="100" w:type="dxa"/>
              <w:left w:w="100" w:type="dxa"/>
              <w:bottom w:w="100" w:type="dxa"/>
              <w:right w:w="100" w:type="dxa"/>
            </w:tcMar>
          </w:tcPr>
          <w:p w14:paraId="4953AE6E" w14:textId="77777777" w:rsidR="00BB4760" w:rsidRDefault="00F91C53">
            <w:pPr>
              <w:widowControl w:val="0"/>
              <w:pBdr>
                <w:top w:val="nil"/>
                <w:left w:val="nil"/>
                <w:bottom w:val="nil"/>
                <w:right w:val="nil"/>
                <w:between w:val="nil"/>
              </w:pBdr>
            </w:pPr>
            <w:r>
              <w:rPr>
                <w:lang w:bidi="es-US"/>
              </w:rPr>
              <w:t>Un Estado no utilizará ninguno de los fondos que el Estado se reserva de conformidad con 20 U.S.C.1411(e)(3)(A)(i); 34 CFR §300.704, pero puede usar los fondos que el Estado se reserva bajo 220 U.S.C. 1411(e)(1);34 CFR §300.704, para establecer y apoyar el fondo de alto costo.</w:t>
            </w:r>
          </w:p>
        </w:tc>
        <w:tc>
          <w:tcPr>
            <w:tcW w:w="3405" w:type="dxa"/>
            <w:shd w:val="clear" w:color="auto" w:fill="CCCCCC"/>
            <w:tcMar>
              <w:top w:w="100" w:type="dxa"/>
              <w:left w:w="100" w:type="dxa"/>
              <w:bottom w:w="100" w:type="dxa"/>
              <w:right w:w="100" w:type="dxa"/>
            </w:tcMar>
          </w:tcPr>
          <w:p w14:paraId="2A578954" w14:textId="77777777" w:rsidR="00BB4760" w:rsidRDefault="00BB4760">
            <w:pPr>
              <w:widowControl w:val="0"/>
              <w:pBdr>
                <w:top w:val="nil"/>
                <w:left w:val="nil"/>
                <w:bottom w:val="nil"/>
                <w:right w:val="nil"/>
                <w:between w:val="nil"/>
              </w:pBdr>
            </w:pPr>
          </w:p>
        </w:tc>
        <w:tc>
          <w:tcPr>
            <w:tcW w:w="690" w:type="dxa"/>
            <w:shd w:val="clear" w:color="auto" w:fill="CCCCCC"/>
            <w:tcMar>
              <w:top w:w="100" w:type="dxa"/>
              <w:left w:w="100" w:type="dxa"/>
              <w:bottom w:w="100" w:type="dxa"/>
              <w:right w:w="100" w:type="dxa"/>
            </w:tcMar>
          </w:tcPr>
          <w:p w14:paraId="7B3C2D69" w14:textId="77777777" w:rsidR="00BB4760" w:rsidRDefault="00BB4760">
            <w:pPr>
              <w:widowControl w:val="0"/>
              <w:pBdr>
                <w:top w:val="nil"/>
                <w:left w:val="nil"/>
                <w:bottom w:val="nil"/>
                <w:right w:val="nil"/>
                <w:between w:val="nil"/>
              </w:pBdr>
            </w:pPr>
          </w:p>
        </w:tc>
        <w:tc>
          <w:tcPr>
            <w:tcW w:w="2475" w:type="dxa"/>
            <w:shd w:val="clear" w:color="auto" w:fill="CCCCCC"/>
            <w:tcMar>
              <w:top w:w="100" w:type="dxa"/>
              <w:left w:w="100" w:type="dxa"/>
              <w:bottom w:w="100" w:type="dxa"/>
              <w:right w:w="100" w:type="dxa"/>
            </w:tcMar>
          </w:tcPr>
          <w:p w14:paraId="4EA70370" w14:textId="77777777" w:rsidR="00BB4760" w:rsidRDefault="00BB4760">
            <w:pPr>
              <w:widowControl w:val="0"/>
              <w:pBdr>
                <w:top w:val="nil"/>
                <w:left w:val="nil"/>
                <w:bottom w:val="nil"/>
                <w:right w:val="nil"/>
                <w:between w:val="nil"/>
              </w:pBdr>
            </w:pPr>
          </w:p>
        </w:tc>
      </w:tr>
    </w:tbl>
    <w:p w14:paraId="287128E3" w14:textId="77777777" w:rsidR="00BB4760" w:rsidRDefault="00BB4760">
      <w:bookmarkStart w:id="4" w:name="_6kpmys74hr9e" w:colFirst="0" w:colLast="0"/>
      <w:bookmarkEnd w:id="4"/>
    </w:p>
    <w:sectPr w:rsidR="00BB4760">
      <w:headerReference w:type="default" r:id="rId8"/>
      <w:footerReference w:type="default" r:id="rId9"/>
      <w:pgSz w:w="12240" w:h="15840"/>
      <w:pgMar w:top="216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5AA2D3" w14:textId="77777777" w:rsidR="00F91C53" w:rsidRDefault="00F91C53">
      <w:r>
        <w:separator/>
      </w:r>
    </w:p>
  </w:endnote>
  <w:endnote w:type="continuationSeparator" w:id="0">
    <w:p w14:paraId="04E933D3" w14:textId="77777777" w:rsidR="00F91C53" w:rsidRDefault="00F91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6B058" w14:textId="77777777" w:rsidR="00BB4760" w:rsidRDefault="00BB4760">
    <w:pPr>
      <w:tabs>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3A4E08" w14:textId="77777777" w:rsidR="00F91C53" w:rsidRDefault="00F91C53">
      <w:r>
        <w:separator/>
      </w:r>
    </w:p>
  </w:footnote>
  <w:footnote w:type="continuationSeparator" w:id="0">
    <w:p w14:paraId="424A718B" w14:textId="77777777" w:rsidR="00F91C53" w:rsidRDefault="00F91C53">
      <w:r>
        <w:continuationSeparator/>
      </w:r>
    </w:p>
  </w:footnote>
  <w:footnote w:id="1">
    <w:p w14:paraId="4C2F17CD" w14:textId="77777777" w:rsidR="00BB4760" w:rsidRDefault="00F91C53">
      <w:pPr>
        <w:rPr>
          <w:sz w:val="20"/>
          <w:szCs w:val="20"/>
        </w:rPr>
      </w:pPr>
      <w:r>
        <w:rPr>
          <w:vertAlign w:val="superscript"/>
          <w:lang w:bidi="es-US"/>
        </w:rPr>
        <w:footnoteRef/>
      </w:r>
      <w:hyperlink r:id="rId1">
        <w:r>
          <w:rPr>
            <w:color w:val="1155CC"/>
            <w:sz w:val="20"/>
            <w:szCs w:val="20"/>
            <w:u w:val="single"/>
            <w:lang w:bidi="es-US"/>
          </w:rPr>
          <w:t>Convocatoria nacional de asistencia técnica de la OSEP, 10 de febrero de 2022</w:t>
        </w:r>
      </w:hyperlink>
      <w:hyperlink r:id="rId2">
        <w:r>
          <w:rPr>
            <w:color w:val="1155CC"/>
            <w:sz w:val="20"/>
            <w:szCs w:val="20"/>
            <w:u w:val="single"/>
            <w:lang w:bidi="es-US"/>
          </w:rPr>
          <w:t xml:space="preserve"> </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214FC" w14:textId="77777777" w:rsidR="00BB4760" w:rsidRDefault="00F91C53">
    <w:pPr>
      <w:pBdr>
        <w:top w:val="nil"/>
        <w:left w:val="nil"/>
        <w:bottom w:val="nil"/>
        <w:right w:val="nil"/>
        <w:between w:val="nil"/>
      </w:pBdr>
      <w:tabs>
        <w:tab w:val="center" w:pos="4680"/>
        <w:tab w:val="right" w:pos="9360"/>
      </w:tabs>
      <w:rPr>
        <w:color w:val="000000"/>
      </w:rPr>
    </w:pPr>
    <w:r>
      <w:rPr>
        <w:noProof/>
        <w:color w:val="000000"/>
        <w:lang w:bidi="es-US"/>
      </w:rPr>
      <w:drawing>
        <wp:inline distT="0" distB="0" distL="0" distR="0" wp14:anchorId="5189F6B6" wp14:editId="34CA8932">
          <wp:extent cx="6858000" cy="70104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8000" cy="701040"/>
                  </a:xfrm>
                  <a:prstGeom prst="rect">
                    <a:avLst/>
                  </a:prstGeom>
                  <a:ln/>
                </pic:spPr>
              </pic:pic>
            </a:graphicData>
          </a:graphic>
        </wp:inline>
      </w:drawing>
    </w:r>
    <w:r>
      <w:rPr>
        <w:noProof/>
        <w:color w:val="000000"/>
        <w:lang w:bidi="es-US"/>
      </w:rPr>
      <mc:AlternateContent>
        <mc:Choice Requires="wps">
          <w:drawing>
            <wp:anchor distT="0" distB="0" distL="0" distR="0" simplePos="0" relativeHeight="251658240" behindDoc="0" locked="0" layoutInCell="1" hidden="0" allowOverlap="1" wp14:anchorId="58FE1E47" wp14:editId="27DC5ED7">
              <wp:simplePos x="0" y="0"/>
              <wp:positionH relativeFrom="column">
                <wp:posOffset>2181225</wp:posOffset>
              </wp:positionH>
              <wp:positionV relativeFrom="paragraph">
                <wp:posOffset>28575</wp:posOffset>
              </wp:positionV>
              <wp:extent cx="4762500" cy="638649"/>
              <wp:effectExtent l="0" t="0" r="0" b="0"/>
              <wp:wrapNone/>
              <wp:docPr id="1" name="Rectangle 1"/>
              <wp:cNvGraphicFramePr/>
              <a:graphic xmlns:a="http://schemas.openxmlformats.org/drawingml/2006/main">
                <a:graphicData uri="http://schemas.microsoft.com/office/word/2010/wordprocessingShape">
                  <wps:wsp>
                    <wps:cNvSpPr/>
                    <wps:spPr>
                      <a:xfrm>
                        <a:off x="2868230" y="3455515"/>
                        <a:ext cx="4955540" cy="648970"/>
                      </a:xfrm>
                      <a:prstGeom prst="rect">
                        <a:avLst/>
                      </a:prstGeom>
                      <a:noFill/>
                      <a:ln>
                        <a:noFill/>
                      </a:ln>
                    </wps:spPr>
                    <wps:txbx>
                      <w:txbxContent>
                        <w:p w14:paraId="2EC3B0CA" w14:textId="77777777" w:rsidR="00BB4760" w:rsidRDefault="00F91C53">
                          <w:pPr>
                            <w:jc w:val="right"/>
                            <w:textDirection w:val="btLr"/>
                          </w:pPr>
                          <w:r>
                            <w:rPr>
                              <w:b/>
                              <w:color w:val="000000"/>
                              <w:sz w:val="28"/>
                              <w:lang w:bidi="es-US"/>
                            </w:rPr>
                            <w:t>IDEA FFY 22 IDEA Actividades de solicitud de subvención final</w:t>
                          </w:r>
                        </w:p>
                      </w:txbxContent>
                    </wps:txbx>
                    <wps:bodyPr spcFirstLastPara="1" wrap="square" lIns="91425" tIns="45700" rIns="91425" bIns="45700" anchor="b" anchorCtr="0">
                      <a:noAutofit/>
                    </wps:bodyPr>
                  </wps:wsp>
                </a:graphicData>
              </a:graphic>
            </wp:anchor>
          </w:drawing>
        </mc:Choice>
        <mc:Fallback>
          <w:pict>
            <v:rect w14:anchorId="58FE1E47" id="Rectangle 1" o:spid="_x0000_s1026" style="position:absolute;margin-left:171.75pt;margin-top:2.25pt;width:375pt;height:50.3pt;z-index:251658240;visibility:visible;mso-wrap-style:squar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" filled="f" stroked="f">
              <v:textbox inset="2.53958mm,1.2694mm,2.53958mm,1.2694mm">
                <w:txbxContent>
                  <w:p w14:paraId="2EC3B0CA" w14:textId="77777777" w:rsidR="00BB4760" w:rsidRDefault="00F91C53">
                    <w:pPr>
                      <w:jc w:val="right"/>
                      <w:textDirection w:val="btLr"/>
                    </w:pPr>
                    <w:r>
                      <w:rPr>
                        <w:b/>
                        <w:color w:val="000000"/>
                        <w:sz w:val="28"/>
                        <w:lang w:bidi="es-US"/>
                      </w:rPr>
                      <w:t>IDEA FFY 22 IDEA Actividades de solicitud de subvención final</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51013"/>
    <w:multiLevelType w:val="multilevel"/>
    <w:tmpl w:val="97C255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DD7BFF"/>
    <w:multiLevelType w:val="multilevel"/>
    <w:tmpl w:val="6B1449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B57610"/>
    <w:multiLevelType w:val="multilevel"/>
    <w:tmpl w:val="312E2B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8C70274"/>
    <w:multiLevelType w:val="multilevel"/>
    <w:tmpl w:val="9162E0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65227F5"/>
    <w:multiLevelType w:val="multilevel"/>
    <w:tmpl w:val="2BB29B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6A63CED"/>
    <w:multiLevelType w:val="multilevel"/>
    <w:tmpl w:val="0BA63B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031646B"/>
    <w:multiLevelType w:val="multilevel"/>
    <w:tmpl w:val="71EE16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BBD490E"/>
    <w:multiLevelType w:val="multilevel"/>
    <w:tmpl w:val="C590DC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2207FAA"/>
    <w:multiLevelType w:val="multilevel"/>
    <w:tmpl w:val="062414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CD010DD"/>
    <w:multiLevelType w:val="multilevel"/>
    <w:tmpl w:val="50C618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5"/>
  </w:num>
  <w:num w:numId="3">
    <w:abstractNumId w:val="1"/>
  </w:num>
  <w:num w:numId="4">
    <w:abstractNumId w:val="9"/>
  </w:num>
  <w:num w:numId="5">
    <w:abstractNumId w:val="0"/>
  </w:num>
  <w:num w:numId="6">
    <w:abstractNumId w:val="2"/>
  </w:num>
  <w:num w:numId="7">
    <w:abstractNumId w:val="4"/>
  </w:num>
  <w:num w:numId="8">
    <w:abstractNumId w:val="8"/>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760"/>
    <w:rsid w:val="004F3126"/>
    <w:rsid w:val="00854804"/>
    <w:rsid w:val="00BB4760"/>
    <w:rsid w:val="00F9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81C9E"/>
  <w15:docId w15:val="{C7735DE6-C9E1-498F-B778-8871945C8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ouisianabelieves.com/docs/default-source/louisiana-believes/believe-to-achieve-educational-prioriti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osepideasthatwork.org/sites/default/files/January%202021%20MSIP%20National%20TA%20Call.pdf" TargetMode="External"/><Relationship Id="rId1" Type="http://schemas.openxmlformats.org/officeDocument/2006/relationships/hyperlink" Target="https://osepideasthatwork.org/sites/default/files/2.10_MSIP_PDF.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1488</Words>
  <Characters>8487</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 Jordan</dc:creator>
  <cp:lastModifiedBy>Administrator</cp:lastModifiedBy>
  <cp:revision>2</cp:revision>
  <dcterms:created xsi:type="dcterms:W3CDTF">2022-03-24T10:44:00Z</dcterms:created>
  <dcterms:modified xsi:type="dcterms:W3CDTF">2022-03-24T10:44:00Z</dcterms:modified>
</cp:coreProperties>
</file>