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AD26" w14:textId="77777777" w:rsidR="00BB4760" w:rsidRDefault="00F91C53">
      <w:pPr>
        <w:jc w:val="both"/>
      </w:pPr>
      <w:bookmarkStart w:id="0" w:name="_gjdgxs" w:colFirst="0" w:colLast="0"/>
      <w:bookmarkEnd w:id="0"/>
      <w:r>
        <w:rPr>
          <w:lang w:val="vi-VN" w:bidi="vi-VN"/>
        </w:rPr>
        <w:t xml:space="preserve">Tài liệu này nêu các loại đơn tài trợ để dành riêng các nguồn quỹ trong bản thảo đơn xin nhận tài trợ theo Đạo luật Giáo dục Khuyết Tật cho Cá nhân (IDEA) năm tài khóa (FFY 22) của liên bang, các hoạt động tương ứng mà sẽ được hỗ trợ trong mỗi loại, và nhu cầu ngân quỹ đề xuất cho mỗi loại. Các hoạt động được nêu trong tài liệu này đáp ứng nhu cầu của học sinh, nhà giáo dục và gia đình của Louisiana và hỗ trợ </w:t>
      </w:r>
      <w:hyperlink r:id="rId7">
        <w:r>
          <w:rPr>
            <w:color w:val="1155CC"/>
            <w:u w:val="single"/>
            <w:lang w:val="vi-VN" w:bidi="vi-VN"/>
          </w:rPr>
          <w:t>chương trình Niềm tin của Louisiana để đạt được các ưu tiên</w:t>
        </w:r>
      </w:hyperlink>
      <w:r>
        <w:rPr>
          <w:lang w:val="vi-VN" w:bidi="vi-VN"/>
        </w:rPr>
        <w:t xml:space="preserve"> và các thực hành tốt nhất để hỗ trợ một hành trình giáo dục chất lượng cao, hòa nhập cho các học sinh khuyết tật.. </w:t>
      </w:r>
    </w:p>
    <w:p w14:paraId="28D367F1" w14:textId="77777777" w:rsidR="00BB4760" w:rsidRDefault="00BB4760">
      <w:bookmarkStart w:id="1" w:name="_bfjt4mqsxwqg" w:colFirst="0" w:colLast="0"/>
      <w:bookmarkEnd w:id="1"/>
    </w:p>
    <w:p w14:paraId="514759EC" w14:textId="77777777" w:rsidR="00BB4760" w:rsidRDefault="00F91C53">
      <w:pPr>
        <w:rPr>
          <w:highlight w:val="white"/>
        </w:rPr>
      </w:pPr>
      <w:bookmarkStart w:id="2" w:name="_o9xzqm1tp0iy" w:colFirst="0" w:colLast="0"/>
      <w:bookmarkEnd w:id="2"/>
      <w:r>
        <w:rPr>
          <w:highlight w:val="white"/>
          <w:lang w:val="vi-VN" w:bidi="vi-VN"/>
        </w:rPr>
        <w:t xml:space="preserve"> Trong khi sở chưa nhận được các bảng phân bổ FFY 22, OSEP khuyến nghị các tiểu bang nên chuẩn bị đơn bằng cách sử dụng phân bổ từ đơn FFY 21 và khi nhận được các bảng phân bổ, để chèn thông tin cập nhật nhất vào đơn và đăng lại trong khoảng thời gian tham gia công khai.</w:t>
      </w:r>
      <w:r>
        <w:rPr>
          <w:highlight w:val="white"/>
          <w:vertAlign w:val="superscript"/>
          <w:lang w:val="vi-VN" w:bidi="vi-VN"/>
        </w:rPr>
        <w:footnoteReference w:id="1"/>
      </w:r>
      <w:r>
        <w:rPr>
          <w:highlight w:val="white"/>
          <w:lang w:val="vi-VN" w:bidi="vi-VN"/>
        </w:rPr>
        <w:t xml:space="preserve"> Số tiền đô la được hiển thị dưới đây phản ánh các khoản phân bổ nhận được cho đơn FFY 21.  </w:t>
      </w:r>
    </w:p>
    <w:p w14:paraId="3951969D" w14:textId="77777777" w:rsidR="00BB4760" w:rsidRDefault="00BB4760">
      <w:bookmarkStart w:id="3" w:name="_b4bffohujjm5" w:colFirst="0" w:colLast="0"/>
      <w:bookmarkEnd w:id="3"/>
    </w:p>
    <w:tbl>
      <w:tblPr>
        <w:tblStyle w:val="a"/>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405"/>
        <w:gridCol w:w="690"/>
        <w:gridCol w:w="2475"/>
      </w:tblGrid>
      <w:tr w:rsidR="00BB4760" w14:paraId="1588128F" w14:textId="77777777">
        <w:tc>
          <w:tcPr>
            <w:tcW w:w="3750" w:type="dxa"/>
            <w:shd w:val="clear" w:color="auto" w:fill="auto"/>
            <w:tcMar>
              <w:top w:w="100" w:type="dxa"/>
              <w:left w:w="100" w:type="dxa"/>
              <w:bottom w:w="100" w:type="dxa"/>
              <w:right w:w="100" w:type="dxa"/>
            </w:tcMar>
          </w:tcPr>
          <w:p w14:paraId="0A0BE3C0" w14:textId="77777777" w:rsidR="00BB4760" w:rsidRDefault="00F91C53">
            <w:pPr>
              <w:widowControl w:val="0"/>
              <w:pBdr>
                <w:top w:val="nil"/>
                <w:left w:val="nil"/>
                <w:bottom w:val="nil"/>
                <w:right w:val="nil"/>
                <w:between w:val="nil"/>
              </w:pBdr>
              <w:jc w:val="center"/>
              <w:rPr>
                <w:b/>
              </w:rPr>
            </w:pPr>
            <w:r>
              <w:rPr>
                <w:b/>
                <w:lang w:val="vi-VN" w:bidi="vi-VN"/>
              </w:rPr>
              <w:t>ĐỐI VỚI CÁC HOẠT ĐỘNG CẤP TIỂU BANG KHÁC</w:t>
            </w:r>
          </w:p>
        </w:tc>
        <w:tc>
          <w:tcPr>
            <w:tcW w:w="3405" w:type="dxa"/>
            <w:shd w:val="clear" w:color="auto" w:fill="auto"/>
            <w:tcMar>
              <w:top w:w="100" w:type="dxa"/>
              <w:left w:w="100" w:type="dxa"/>
              <w:bottom w:w="100" w:type="dxa"/>
              <w:right w:w="100" w:type="dxa"/>
            </w:tcMar>
          </w:tcPr>
          <w:p w14:paraId="052CE0A5" w14:textId="77777777" w:rsidR="00BB4760" w:rsidRDefault="00F91C53">
            <w:pPr>
              <w:widowControl w:val="0"/>
              <w:pBdr>
                <w:top w:val="nil"/>
                <w:left w:val="nil"/>
                <w:bottom w:val="nil"/>
                <w:right w:val="nil"/>
                <w:between w:val="nil"/>
              </w:pBdr>
              <w:jc w:val="center"/>
              <w:rPr>
                <w:b/>
              </w:rPr>
            </w:pPr>
            <w:r>
              <w:rPr>
                <w:b/>
                <w:lang w:val="vi-VN" w:bidi="vi-VN"/>
              </w:rPr>
              <w:t>CÁC HOẠT ĐỘNG VÀ MÔ TẢ</w:t>
            </w:r>
          </w:p>
        </w:tc>
        <w:tc>
          <w:tcPr>
            <w:tcW w:w="690" w:type="dxa"/>
            <w:shd w:val="clear" w:color="auto" w:fill="auto"/>
            <w:tcMar>
              <w:top w:w="100" w:type="dxa"/>
              <w:left w:w="100" w:type="dxa"/>
              <w:bottom w:w="100" w:type="dxa"/>
              <w:right w:w="100" w:type="dxa"/>
            </w:tcMar>
          </w:tcPr>
          <w:p w14:paraId="25B2CDA5" w14:textId="77777777" w:rsidR="00BB4760" w:rsidRDefault="00BB4760">
            <w:pPr>
              <w:widowControl w:val="0"/>
              <w:pBdr>
                <w:top w:val="nil"/>
                <w:left w:val="nil"/>
                <w:bottom w:val="nil"/>
                <w:right w:val="nil"/>
                <w:between w:val="nil"/>
              </w:pBdr>
              <w:jc w:val="center"/>
              <w:rPr>
                <w:b/>
              </w:rPr>
            </w:pPr>
          </w:p>
        </w:tc>
        <w:tc>
          <w:tcPr>
            <w:tcW w:w="2475" w:type="dxa"/>
            <w:shd w:val="clear" w:color="auto" w:fill="auto"/>
            <w:tcMar>
              <w:top w:w="100" w:type="dxa"/>
              <w:left w:w="100" w:type="dxa"/>
              <w:bottom w:w="100" w:type="dxa"/>
              <w:right w:w="100" w:type="dxa"/>
            </w:tcMar>
          </w:tcPr>
          <w:p w14:paraId="5787F327" w14:textId="77777777" w:rsidR="00BB4760" w:rsidRDefault="00F91C53">
            <w:pPr>
              <w:widowControl w:val="0"/>
              <w:pBdr>
                <w:top w:val="nil"/>
                <w:left w:val="nil"/>
                <w:bottom w:val="nil"/>
                <w:right w:val="nil"/>
                <w:between w:val="nil"/>
              </w:pBdr>
              <w:jc w:val="center"/>
              <w:rPr>
                <w:b/>
              </w:rPr>
            </w:pPr>
            <w:r>
              <w:rPr>
                <w:b/>
                <w:lang w:val="vi-VN" w:bidi="vi-VN"/>
              </w:rPr>
              <w:t xml:space="preserve">SỐ TIỀN ĐÔ-LA </w:t>
            </w:r>
          </w:p>
        </w:tc>
      </w:tr>
      <w:tr w:rsidR="00BB4760" w14:paraId="761827BD" w14:textId="77777777">
        <w:tc>
          <w:tcPr>
            <w:tcW w:w="3750" w:type="dxa"/>
            <w:tcBorders>
              <w:bottom w:val="single" w:sz="6" w:space="0" w:color="000000"/>
            </w:tcBorders>
            <w:tcMar>
              <w:top w:w="100" w:type="dxa"/>
              <w:left w:w="100" w:type="dxa"/>
              <w:bottom w:w="100" w:type="dxa"/>
              <w:right w:w="100" w:type="dxa"/>
            </w:tcMar>
          </w:tcPr>
          <w:p w14:paraId="203CC74D" w14:textId="77777777" w:rsidR="00BB4760" w:rsidRDefault="00F91C53">
            <w:pPr>
              <w:widowControl w:val="0"/>
              <w:pBdr>
                <w:top w:val="nil"/>
                <w:left w:val="nil"/>
                <w:bottom w:val="nil"/>
                <w:right w:val="nil"/>
                <w:between w:val="nil"/>
              </w:pBdr>
            </w:pPr>
            <w:r>
              <w:rPr>
                <w:lang w:val="vi-VN" w:bidi="vi-VN"/>
              </w:rPr>
              <w:t>Các Hoạt Động Bắt Buộc</w:t>
            </w:r>
          </w:p>
          <w:p w14:paraId="56B69629" w14:textId="77777777" w:rsidR="00BB4760" w:rsidRDefault="00F91C53">
            <w:pPr>
              <w:widowControl w:val="0"/>
              <w:pBdr>
                <w:top w:val="nil"/>
                <w:left w:val="nil"/>
                <w:bottom w:val="nil"/>
                <w:right w:val="nil"/>
                <w:between w:val="nil"/>
              </w:pBdr>
            </w:pPr>
            <w:r>
              <w:rPr>
                <w:lang w:val="vi-VN" w:bidi="vi-VN"/>
              </w:rPr>
              <w:t>Ngân quỹ được dự trữ theo 20 U.S.C.</w:t>
            </w:r>
          </w:p>
          <w:p w14:paraId="35AB7DC9" w14:textId="77777777" w:rsidR="00BB4760" w:rsidRDefault="00F91C53">
            <w:pPr>
              <w:widowControl w:val="0"/>
              <w:pBdr>
                <w:top w:val="nil"/>
                <w:left w:val="nil"/>
                <w:bottom w:val="nil"/>
                <w:right w:val="nil"/>
                <w:between w:val="nil"/>
              </w:pBdr>
            </w:pPr>
            <w:r>
              <w:rPr>
                <w:lang w:val="vi-VN" w:bidi="vi-VN"/>
              </w:rPr>
              <w:t>1411(e)(2)(A);34CFR§300.704 phải được</w:t>
            </w:r>
          </w:p>
          <w:p w14:paraId="0F054829" w14:textId="77777777" w:rsidR="00BB4760" w:rsidRDefault="00F91C53">
            <w:pPr>
              <w:widowControl w:val="0"/>
              <w:pBdr>
                <w:top w:val="nil"/>
                <w:left w:val="nil"/>
                <w:bottom w:val="nil"/>
                <w:right w:val="nil"/>
                <w:between w:val="nil"/>
              </w:pBdr>
            </w:pPr>
            <w:r>
              <w:rPr>
                <w:lang w:val="vi-VN" w:bidi="vi-VN"/>
              </w:rPr>
              <w:t>sử dụng để thực hiện các hoạt động sau:</w:t>
            </w:r>
          </w:p>
        </w:tc>
        <w:tc>
          <w:tcPr>
            <w:tcW w:w="3405" w:type="dxa"/>
            <w:tcBorders>
              <w:bottom w:val="single" w:sz="6" w:space="0" w:color="000000"/>
            </w:tcBorders>
            <w:shd w:val="clear" w:color="auto" w:fill="CCCCCC"/>
            <w:tcMar>
              <w:top w:w="100" w:type="dxa"/>
              <w:left w:w="100" w:type="dxa"/>
              <w:bottom w:w="100" w:type="dxa"/>
              <w:right w:w="100" w:type="dxa"/>
            </w:tcMar>
          </w:tcPr>
          <w:p w14:paraId="58AE12F4" w14:textId="77777777" w:rsidR="00BB4760" w:rsidRDefault="00BB4760">
            <w:pPr>
              <w:widowControl w:val="0"/>
              <w:pBdr>
                <w:top w:val="nil"/>
                <w:left w:val="nil"/>
                <w:bottom w:val="nil"/>
                <w:right w:val="nil"/>
                <w:between w:val="nil"/>
              </w:pBdr>
            </w:pPr>
          </w:p>
        </w:tc>
        <w:tc>
          <w:tcPr>
            <w:tcW w:w="690" w:type="dxa"/>
            <w:tcBorders>
              <w:bottom w:val="single" w:sz="6" w:space="0" w:color="000000"/>
            </w:tcBorders>
            <w:shd w:val="clear" w:color="auto" w:fill="CCCCCC"/>
            <w:tcMar>
              <w:top w:w="100" w:type="dxa"/>
              <w:left w:w="100" w:type="dxa"/>
              <w:bottom w:w="100" w:type="dxa"/>
              <w:right w:w="100" w:type="dxa"/>
            </w:tcMar>
          </w:tcPr>
          <w:p w14:paraId="2919EE1D" w14:textId="77777777" w:rsidR="00BB4760" w:rsidRDefault="00BB4760">
            <w:pPr>
              <w:widowControl w:val="0"/>
              <w:pBdr>
                <w:top w:val="nil"/>
                <w:left w:val="nil"/>
                <w:bottom w:val="nil"/>
                <w:right w:val="nil"/>
                <w:between w:val="nil"/>
              </w:pBdr>
            </w:pPr>
          </w:p>
        </w:tc>
        <w:tc>
          <w:tcPr>
            <w:tcW w:w="2475" w:type="dxa"/>
            <w:tcBorders>
              <w:bottom w:val="single" w:sz="6" w:space="0" w:color="000000"/>
            </w:tcBorders>
            <w:shd w:val="clear" w:color="auto" w:fill="CCCCCC"/>
            <w:tcMar>
              <w:top w:w="100" w:type="dxa"/>
              <w:left w:w="100" w:type="dxa"/>
              <w:bottom w:w="100" w:type="dxa"/>
              <w:right w:w="100" w:type="dxa"/>
            </w:tcMar>
          </w:tcPr>
          <w:p w14:paraId="62D08F59" w14:textId="77777777" w:rsidR="00BB4760" w:rsidRDefault="00BB4760">
            <w:pPr>
              <w:widowControl w:val="0"/>
              <w:pBdr>
                <w:top w:val="nil"/>
                <w:left w:val="nil"/>
                <w:bottom w:val="nil"/>
                <w:right w:val="nil"/>
                <w:between w:val="nil"/>
              </w:pBdr>
              <w:jc w:val="right"/>
            </w:pPr>
          </w:p>
        </w:tc>
      </w:tr>
      <w:tr w:rsidR="00BB4760" w14:paraId="431B163C" w14:textId="77777777">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978C5" w14:textId="77777777" w:rsidR="00BB4760" w:rsidRDefault="00F91C53">
            <w:pPr>
              <w:widowControl w:val="0"/>
              <w:spacing w:line="276" w:lineRule="auto"/>
              <w:ind w:left="90"/>
            </w:pPr>
            <w:r>
              <w:rPr>
                <w:lang w:val="vi-VN" w:bidi="vi-VN"/>
              </w:rPr>
              <w:t>Cho việc giám sát, đảm bảo thực thi, và điều tra khiếu nại.</w:t>
            </w:r>
          </w:p>
        </w:tc>
        <w:tc>
          <w:tcPr>
            <w:tcW w:w="34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5AE1D4" w14:textId="77777777" w:rsidR="00BB4760" w:rsidRDefault="00BB4760">
            <w:pPr>
              <w:widowControl w:val="0"/>
              <w:spacing w:line="276" w:lineRule="auto"/>
            </w:pPr>
          </w:p>
        </w:tc>
        <w:tc>
          <w:tcPr>
            <w:tcW w:w="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9647B3" w14:textId="77777777" w:rsidR="00BB4760" w:rsidRDefault="00F91C53">
            <w:pPr>
              <w:widowControl w:val="0"/>
              <w:spacing w:line="276" w:lineRule="auto"/>
            </w:pPr>
            <w:r>
              <w:rPr>
                <w:lang w:val="vi-VN" w:bidi="vi-VN"/>
              </w:rPr>
              <w:t>h.</w:t>
            </w:r>
          </w:p>
        </w:tc>
        <w:tc>
          <w:tcPr>
            <w:tcW w:w="24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497504" w14:textId="77777777" w:rsidR="00BB4760" w:rsidRDefault="00F91C53">
            <w:pPr>
              <w:widowControl w:val="0"/>
              <w:spacing w:line="276" w:lineRule="auto"/>
              <w:jc w:val="right"/>
            </w:pPr>
            <w:r>
              <w:rPr>
                <w:lang w:val="vi-VN" w:bidi="vi-VN"/>
              </w:rPr>
              <w:t>$221,309</w:t>
            </w:r>
          </w:p>
        </w:tc>
      </w:tr>
      <w:tr w:rsidR="00BB4760" w14:paraId="7D5D6344" w14:textId="77777777">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30D856" w14:textId="77777777" w:rsidR="00BB4760" w:rsidRDefault="00F91C53">
            <w:pPr>
              <w:widowControl w:val="0"/>
              <w:spacing w:line="276" w:lineRule="auto"/>
              <w:ind w:left="90"/>
            </w:pPr>
            <w:r>
              <w:rPr>
                <w:lang w:val="vi-VN" w:bidi="vi-VN"/>
              </w:rPr>
              <w:t>Để thiết lập và thực hiện quy trình điều giải theo yêu cầu bắt buộc của 20 U.S.C.1415I;34 CFR§300.704, bao gồm việc đài thọ chi phí cho người làm công tác điều giải và nhân viên hỗ trợ.</w:t>
            </w:r>
          </w:p>
        </w:tc>
        <w:tc>
          <w:tcPr>
            <w:tcW w:w="34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E81B3B" w14:textId="77777777" w:rsidR="00BB4760" w:rsidRDefault="00BB4760">
            <w:pPr>
              <w:widowControl w:val="0"/>
              <w:spacing w:line="276" w:lineRule="auto"/>
            </w:pPr>
          </w:p>
        </w:tc>
        <w:tc>
          <w:tcPr>
            <w:tcW w:w="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984EB" w14:textId="77777777" w:rsidR="00BB4760" w:rsidRDefault="00F91C53">
            <w:pPr>
              <w:widowControl w:val="0"/>
              <w:spacing w:line="276" w:lineRule="auto"/>
            </w:pPr>
            <w:r>
              <w:rPr>
                <w:lang w:val="vi-VN" w:bidi="vi-VN"/>
              </w:rPr>
              <w:t>i.</w:t>
            </w:r>
          </w:p>
        </w:tc>
        <w:tc>
          <w:tcPr>
            <w:tcW w:w="24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1D128C" w14:textId="77777777" w:rsidR="00BB4760" w:rsidRDefault="00F91C53">
            <w:pPr>
              <w:widowControl w:val="0"/>
              <w:spacing w:line="276" w:lineRule="auto"/>
              <w:jc w:val="right"/>
            </w:pPr>
            <w:r>
              <w:rPr>
                <w:lang w:val="vi-VN" w:bidi="vi-VN"/>
              </w:rPr>
              <w:t>$152.650.</w:t>
            </w:r>
          </w:p>
        </w:tc>
      </w:tr>
      <w:tr w:rsidR="00BB4760" w14:paraId="70F27C47" w14:textId="77777777">
        <w:tc>
          <w:tcPr>
            <w:tcW w:w="3750" w:type="dxa"/>
            <w:tcBorders>
              <w:top w:val="single" w:sz="6" w:space="0" w:color="000000"/>
            </w:tcBorders>
            <w:tcMar>
              <w:top w:w="100" w:type="dxa"/>
              <w:left w:w="100" w:type="dxa"/>
              <w:bottom w:w="100" w:type="dxa"/>
              <w:right w:w="100" w:type="dxa"/>
            </w:tcMar>
          </w:tcPr>
          <w:p w14:paraId="02B622D0" w14:textId="77777777" w:rsidR="00BB4760" w:rsidRDefault="00F91C53">
            <w:pPr>
              <w:widowControl w:val="0"/>
              <w:pBdr>
                <w:top w:val="nil"/>
                <w:left w:val="nil"/>
                <w:bottom w:val="nil"/>
                <w:right w:val="nil"/>
                <w:between w:val="nil"/>
              </w:pBdr>
            </w:pPr>
            <w:r>
              <w:rPr>
                <w:lang w:val="vi-VN" w:bidi="vi-VN"/>
              </w:rPr>
              <w:t>Các Hoạt Động Được Cho Phép</w:t>
            </w:r>
          </w:p>
          <w:p w14:paraId="206249D3" w14:textId="77777777" w:rsidR="00BB4760" w:rsidRDefault="00F91C53">
            <w:pPr>
              <w:widowControl w:val="0"/>
              <w:pBdr>
                <w:top w:val="nil"/>
                <w:left w:val="nil"/>
                <w:bottom w:val="nil"/>
                <w:right w:val="nil"/>
                <w:between w:val="nil"/>
              </w:pBdr>
            </w:pPr>
            <w:r>
              <w:rPr>
                <w:lang w:val="vi-VN" w:bidi="vi-VN"/>
              </w:rPr>
              <w:t>Ngân quỹ được dự trữ theo 20 U.S.C.</w:t>
            </w:r>
          </w:p>
          <w:p w14:paraId="75B6E956" w14:textId="77777777" w:rsidR="00BB4760" w:rsidRDefault="00F91C53">
            <w:pPr>
              <w:widowControl w:val="0"/>
              <w:pBdr>
                <w:top w:val="nil"/>
                <w:left w:val="nil"/>
                <w:bottom w:val="nil"/>
                <w:right w:val="nil"/>
                <w:between w:val="nil"/>
              </w:pBdr>
            </w:pPr>
            <w:r>
              <w:rPr>
                <w:lang w:val="vi-VN" w:bidi="vi-VN"/>
              </w:rPr>
              <w:t>1411(e)(2)(A);34CFR§300.704 có thể được</w:t>
            </w:r>
          </w:p>
          <w:p w14:paraId="0522763E" w14:textId="77777777" w:rsidR="00BB4760" w:rsidRDefault="00F91C53">
            <w:pPr>
              <w:widowControl w:val="0"/>
              <w:pBdr>
                <w:top w:val="nil"/>
                <w:left w:val="nil"/>
                <w:bottom w:val="nil"/>
                <w:right w:val="nil"/>
                <w:between w:val="nil"/>
              </w:pBdr>
            </w:pPr>
            <w:r>
              <w:rPr>
                <w:lang w:val="vi-VN" w:bidi="vi-VN"/>
              </w:rPr>
              <w:t>sử dụng để thực hiện các hoạt động sau:</w:t>
            </w:r>
          </w:p>
          <w:p w14:paraId="161ECE84" w14:textId="77777777" w:rsidR="00BB4760" w:rsidRDefault="00BB4760">
            <w:pPr>
              <w:widowControl w:val="0"/>
              <w:pBdr>
                <w:top w:val="nil"/>
                <w:left w:val="nil"/>
                <w:bottom w:val="nil"/>
                <w:right w:val="nil"/>
                <w:between w:val="nil"/>
              </w:pBdr>
            </w:pPr>
          </w:p>
        </w:tc>
        <w:tc>
          <w:tcPr>
            <w:tcW w:w="3405" w:type="dxa"/>
            <w:tcBorders>
              <w:top w:val="single" w:sz="6" w:space="0" w:color="000000"/>
            </w:tcBorders>
            <w:shd w:val="clear" w:color="auto" w:fill="CCCCCC"/>
            <w:tcMar>
              <w:top w:w="100" w:type="dxa"/>
              <w:left w:w="100" w:type="dxa"/>
              <w:bottom w:w="100" w:type="dxa"/>
              <w:right w:w="100" w:type="dxa"/>
            </w:tcMar>
          </w:tcPr>
          <w:p w14:paraId="36E554F4" w14:textId="77777777" w:rsidR="00BB4760" w:rsidRDefault="00BB4760">
            <w:pPr>
              <w:widowControl w:val="0"/>
              <w:pBdr>
                <w:top w:val="nil"/>
                <w:left w:val="nil"/>
                <w:bottom w:val="nil"/>
                <w:right w:val="nil"/>
                <w:between w:val="nil"/>
              </w:pBdr>
            </w:pPr>
          </w:p>
        </w:tc>
        <w:tc>
          <w:tcPr>
            <w:tcW w:w="690" w:type="dxa"/>
            <w:tcBorders>
              <w:top w:val="single" w:sz="6" w:space="0" w:color="000000"/>
            </w:tcBorders>
            <w:shd w:val="clear" w:color="auto" w:fill="CCCCCC"/>
            <w:tcMar>
              <w:top w:w="100" w:type="dxa"/>
              <w:left w:w="100" w:type="dxa"/>
              <w:bottom w:w="100" w:type="dxa"/>
              <w:right w:w="100" w:type="dxa"/>
            </w:tcMar>
          </w:tcPr>
          <w:p w14:paraId="16F8D48F" w14:textId="77777777" w:rsidR="00BB4760" w:rsidRDefault="00BB4760">
            <w:pPr>
              <w:widowControl w:val="0"/>
              <w:pBdr>
                <w:top w:val="nil"/>
                <w:left w:val="nil"/>
                <w:bottom w:val="nil"/>
                <w:right w:val="nil"/>
                <w:between w:val="nil"/>
              </w:pBdr>
            </w:pPr>
          </w:p>
        </w:tc>
        <w:tc>
          <w:tcPr>
            <w:tcW w:w="2475" w:type="dxa"/>
            <w:tcBorders>
              <w:top w:val="single" w:sz="6" w:space="0" w:color="000000"/>
            </w:tcBorders>
            <w:shd w:val="clear" w:color="auto" w:fill="CCCCCC"/>
            <w:tcMar>
              <w:top w:w="100" w:type="dxa"/>
              <w:left w:w="100" w:type="dxa"/>
              <w:bottom w:w="100" w:type="dxa"/>
              <w:right w:w="100" w:type="dxa"/>
            </w:tcMar>
          </w:tcPr>
          <w:p w14:paraId="62FF231A" w14:textId="77777777" w:rsidR="00BB4760" w:rsidRDefault="00BB4760">
            <w:pPr>
              <w:widowControl w:val="0"/>
              <w:pBdr>
                <w:top w:val="nil"/>
                <w:left w:val="nil"/>
                <w:bottom w:val="nil"/>
                <w:right w:val="nil"/>
                <w:between w:val="nil"/>
              </w:pBdr>
              <w:jc w:val="right"/>
            </w:pPr>
          </w:p>
        </w:tc>
      </w:tr>
      <w:tr w:rsidR="00BB4760" w14:paraId="4BF7D67E" w14:textId="77777777">
        <w:tc>
          <w:tcPr>
            <w:tcW w:w="3750" w:type="dxa"/>
            <w:tcMar>
              <w:top w:w="100" w:type="dxa"/>
              <w:left w:w="100" w:type="dxa"/>
              <w:bottom w:w="100" w:type="dxa"/>
              <w:right w:w="100" w:type="dxa"/>
            </w:tcMar>
          </w:tcPr>
          <w:p w14:paraId="219695D9" w14:textId="77777777" w:rsidR="00BB4760" w:rsidRDefault="00F91C53">
            <w:pPr>
              <w:widowControl w:val="0"/>
              <w:pBdr>
                <w:top w:val="nil"/>
                <w:left w:val="nil"/>
                <w:bottom w:val="nil"/>
                <w:right w:val="nil"/>
                <w:between w:val="nil"/>
              </w:pBdr>
            </w:pPr>
            <w:r>
              <w:rPr>
                <w:lang w:val="vi-VN" w:bidi="vi-VN"/>
              </w:rPr>
              <w:t>Cho việc hỗ trợ và các dịch vụ trực tiếp, bao gồm hỗ trợ kỹ thuật, chuẩn bị nhân sự, và phát triển chuyên môn và tập huấn.</w:t>
            </w:r>
          </w:p>
        </w:tc>
        <w:tc>
          <w:tcPr>
            <w:tcW w:w="3405" w:type="dxa"/>
            <w:tcMar>
              <w:top w:w="100" w:type="dxa"/>
              <w:left w:w="100" w:type="dxa"/>
              <w:bottom w:w="100" w:type="dxa"/>
              <w:right w:w="100" w:type="dxa"/>
            </w:tcMar>
          </w:tcPr>
          <w:p w14:paraId="28FF6898" w14:textId="77777777" w:rsidR="00BB4760" w:rsidRDefault="00F91C53">
            <w:pPr>
              <w:widowControl w:val="0"/>
              <w:numPr>
                <w:ilvl w:val="0"/>
                <w:numId w:val="3"/>
              </w:numPr>
              <w:pBdr>
                <w:top w:val="nil"/>
                <w:left w:val="nil"/>
                <w:bottom w:val="nil"/>
                <w:right w:val="nil"/>
                <w:between w:val="nil"/>
              </w:pBdr>
            </w:pPr>
            <w:r>
              <w:rPr>
                <w:lang w:val="vi-VN" w:bidi="vi-VN"/>
              </w:rPr>
              <w:t>Thiết lập các cơ hội cố vấn lãnh đạo giáo viên và tập huấn với trọng tâm là giáo dục đặc biệt cho các giáo viên hiện tại</w:t>
            </w:r>
          </w:p>
          <w:p w14:paraId="695C62FD" w14:textId="77777777" w:rsidR="00BB4760" w:rsidRDefault="00F91C53">
            <w:pPr>
              <w:widowControl w:val="0"/>
              <w:numPr>
                <w:ilvl w:val="0"/>
                <w:numId w:val="3"/>
              </w:numPr>
              <w:pBdr>
                <w:top w:val="nil"/>
                <w:left w:val="nil"/>
                <w:bottom w:val="nil"/>
                <w:right w:val="nil"/>
                <w:between w:val="nil"/>
              </w:pBdr>
            </w:pPr>
            <w:r>
              <w:rPr>
                <w:lang w:val="vi-VN" w:bidi="vi-VN"/>
              </w:rPr>
              <w:t xml:space="preserve">Hỗ trợ phát triển chuyên môn cho Ban Cố Vấn Giáo </w:t>
            </w:r>
            <w:r>
              <w:rPr>
                <w:lang w:val="vi-VN" w:bidi="vi-VN"/>
              </w:rPr>
              <w:lastRenderedPageBreak/>
              <w:t>Dục Đặc Biệt</w:t>
            </w:r>
          </w:p>
          <w:p w14:paraId="184E6099" w14:textId="77777777" w:rsidR="00BB4760" w:rsidRDefault="00F91C53">
            <w:pPr>
              <w:widowControl w:val="0"/>
              <w:numPr>
                <w:ilvl w:val="0"/>
                <w:numId w:val="3"/>
              </w:numPr>
              <w:pBdr>
                <w:top w:val="nil"/>
                <w:left w:val="nil"/>
                <w:bottom w:val="nil"/>
                <w:right w:val="nil"/>
                <w:between w:val="nil"/>
              </w:pBdr>
            </w:pPr>
            <w:r>
              <w:rPr>
                <w:lang w:val="vi-VN" w:bidi="vi-VN"/>
              </w:rPr>
              <w:t xml:space="preserve">Hỗ trợ kỹ thuật khu vực để trợ giúp các gia đình có học sinh bị khuyết tật </w:t>
            </w:r>
          </w:p>
          <w:p w14:paraId="11DC9B83" w14:textId="77777777" w:rsidR="00BB4760" w:rsidRDefault="00F91C53">
            <w:pPr>
              <w:widowControl w:val="0"/>
              <w:numPr>
                <w:ilvl w:val="0"/>
                <w:numId w:val="3"/>
              </w:numPr>
              <w:pBdr>
                <w:top w:val="nil"/>
                <w:left w:val="nil"/>
                <w:bottom w:val="nil"/>
                <w:right w:val="nil"/>
                <w:between w:val="nil"/>
              </w:pBdr>
            </w:pPr>
            <w:r>
              <w:rPr>
                <w:lang w:val="vi-VN" w:bidi="vi-VN"/>
              </w:rPr>
              <w:t>Các công cụ và nguồn thông tin để các gia đình và thành viên cộng đồng hiểu được các thành phần quan trọng của giáo dục đặc biệt, chẳng hạn như khảo sát cha mẹ</w:t>
            </w:r>
          </w:p>
          <w:p w14:paraId="5746A078" w14:textId="77777777" w:rsidR="00BB4760" w:rsidRDefault="00F91C53">
            <w:pPr>
              <w:widowControl w:val="0"/>
              <w:numPr>
                <w:ilvl w:val="0"/>
                <w:numId w:val="3"/>
              </w:numPr>
              <w:pBdr>
                <w:top w:val="nil"/>
                <w:left w:val="nil"/>
                <w:bottom w:val="nil"/>
                <w:right w:val="nil"/>
                <w:between w:val="nil"/>
              </w:pBdr>
            </w:pPr>
            <w:r>
              <w:rPr>
                <w:lang w:val="vi-VN" w:bidi="vi-VN"/>
              </w:rPr>
              <w:t>Thiết lập các quan hệ đối tác về hỗ trợ kỹ thuật và phát triển chuyên môn để hỗ trợ việc giảng dạy chuyên biệt và các dịch vụ liên quan cho các học sinh khuyết tật</w:t>
            </w:r>
          </w:p>
          <w:p w14:paraId="4B86F80E" w14:textId="77777777" w:rsidR="00BB4760" w:rsidRDefault="00F91C53">
            <w:pPr>
              <w:widowControl w:val="0"/>
              <w:numPr>
                <w:ilvl w:val="0"/>
                <w:numId w:val="3"/>
              </w:numPr>
              <w:pBdr>
                <w:top w:val="nil"/>
                <w:left w:val="nil"/>
                <w:bottom w:val="nil"/>
                <w:right w:val="nil"/>
                <w:between w:val="nil"/>
              </w:pBdr>
            </w:pPr>
            <w:r>
              <w:rPr>
                <w:lang w:val="vi-VN" w:bidi="vi-VN"/>
              </w:rPr>
              <w:t>Các quan sát và phản hồi LỚP K-2 để hỗ trợ các dịch vụ chất lượng cao</w:t>
            </w:r>
          </w:p>
          <w:p w14:paraId="13E71079" w14:textId="77777777" w:rsidR="00BB4760" w:rsidRDefault="00F91C53">
            <w:pPr>
              <w:widowControl w:val="0"/>
              <w:numPr>
                <w:ilvl w:val="0"/>
                <w:numId w:val="3"/>
              </w:numPr>
              <w:pBdr>
                <w:top w:val="nil"/>
                <w:left w:val="nil"/>
                <w:bottom w:val="nil"/>
                <w:right w:val="nil"/>
                <w:between w:val="nil"/>
              </w:pBdr>
            </w:pPr>
            <w:r>
              <w:rPr>
                <w:lang w:val="vi-VN" w:bidi="vi-VN"/>
              </w:rPr>
              <w:t>Phát triển chuyên môn cho các nhà giáo dục đặc biệt, đánh giá học sinh và các nhà cung cấp dịch vụ liên quan</w:t>
            </w:r>
          </w:p>
        </w:tc>
        <w:tc>
          <w:tcPr>
            <w:tcW w:w="690" w:type="dxa"/>
            <w:tcMar>
              <w:top w:w="100" w:type="dxa"/>
              <w:left w:w="100" w:type="dxa"/>
              <w:bottom w:w="100" w:type="dxa"/>
              <w:right w:w="100" w:type="dxa"/>
            </w:tcMar>
          </w:tcPr>
          <w:p w14:paraId="226FAE34" w14:textId="77777777" w:rsidR="00BB4760" w:rsidRDefault="00F91C53">
            <w:pPr>
              <w:widowControl w:val="0"/>
              <w:pBdr>
                <w:top w:val="nil"/>
                <w:left w:val="nil"/>
                <w:bottom w:val="nil"/>
                <w:right w:val="nil"/>
                <w:between w:val="nil"/>
              </w:pBdr>
            </w:pPr>
            <w:r>
              <w:rPr>
                <w:lang w:val="vi-VN" w:bidi="vi-VN"/>
              </w:rPr>
              <w:lastRenderedPageBreak/>
              <w:t>j.</w:t>
            </w:r>
          </w:p>
        </w:tc>
        <w:tc>
          <w:tcPr>
            <w:tcW w:w="2475" w:type="dxa"/>
            <w:shd w:val="clear" w:color="auto" w:fill="auto"/>
            <w:tcMar>
              <w:top w:w="100" w:type="dxa"/>
              <w:left w:w="100" w:type="dxa"/>
              <w:bottom w:w="100" w:type="dxa"/>
              <w:right w:w="100" w:type="dxa"/>
            </w:tcMar>
          </w:tcPr>
          <w:p w14:paraId="317AB5DE" w14:textId="77777777" w:rsidR="00BB4760" w:rsidRDefault="00F91C53">
            <w:pPr>
              <w:widowControl w:val="0"/>
              <w:jc w:val="right"/>
              <w:rPr>
                <w:highlight w:val="white"/>
              </w:rPr>
            </w:pPr>
            <w:r>
              <w:rPr>
                <w:highlight w:val="white"/>
                <w:lang w:val="vi-VN" w:bidi="vi-VN"/>
              </w:rPr>
              <w:t>$1,826,419</w:t>
            </w:r>
          </w:p>
          <w:p w14:paraId="4B9FC93C" w14:textId="77777777" w:rsidR="00BB4760" w:rsidRDefault="00BB4760">
            <w:pPr>
              <w:widowControl w:val="0"/>
              <w:pBdr>
                <w:top w:val="nil"/>
                <w:left w:val="nil"/>
                <w:bottom w:val="nil"/>
                <w:right w:val="nil"/>
                <w:between w:val="nil"/>
              </w:pBdr>
              <w:jc w:val="right"/>
            </w:pPr>
          </w:p>
        </w:tc>
      </w:tr>
      <w:tr w:rsidR="00BB4760" w14:paraId="7DC91764" w14:textId="77777777">
        <w:tc>
          <w:tcPr>
            <w:tcW w:w="3750" w:type="dxa"/>
            <w:tcMar>
              <w:top w:w="100" w:type="dxa"/>
              <w:left w:w="100" w:type="dxa"/>
              <w:bottom w:w="100" w:type="dxa"/>
              <w:right w:w="100" w:type="dxa"/>
            </w:tcMar>
          </w:tcPr>
          <w:p w14:paraId="7DEC757D" w14:textId="77777777" w:rsidR="00BB4760" w:rsidRDefault="00F91C53">
            <w:pPr>
              <w:widowControl w:val="0"/>
              <w:pBdr>
                <w:top w:val="nil"/>
                <w:left w:val="nil"/>
                <w:bottom w:val="nil"/>
                <w:right w:val="nil"/>
                <w:between w:val="nil"/>
              </w:pBdr>
            </w:pPr>
            <w:r>
              <w:rPr>
                <w:lang w:val="vi-VN" w:bidi="vi-VN"/>
              </w:rPr>
              <w:t>Để hỗ trợ các cơ quan giáo dục địa phương trong việc cung cấp các biện pháp can thiệp và hỗ trợ hành vi tích cực cũng như các dịch vụ sức khỏe tâm thần phù hợp cho trẻ em khuyết tật.</w:t>
            </w:r>
          </w:p>
        </w:tc>
        <w:tc>
          <w:tcPr>
            <w:tcW w:w="3405" w:type="dxa"/>
            <w:tcMar>
              <w:top w:w="100" w:type="dxa"/>
              <w:left w:w="100" w:type="dxa"/>
              <w:bottom w:w="100" w:type="dxa"/>
              <w:right w:w="100" w:type="dxa"/>
            </w:tcMar>
          </w:tcPr>
          <w:p w14:paraId="736434D1" w14:textId="77777777" w:rsidR="00BB4760" w:rsidRDefault="00F91C53">
            <w:pPr>
              <w:widowControl w:val="0"/>
              <w:numPr>
                <w:ilvl w:val="0"/>
                <w:numId w:val="8"/>
              </w:numPr>
              <w:pBdr>
                <w:top w:val="nil"/>
                <w:left w:val="nil"/>
                <w:bottom w:val="nil"/>
                <w:right w:val="nil"/>
                <w:between w:val="nil"/>
              </w:pBdr>
            </w:pPr>
            <w:r>
              <w:rPr>
                <w:lang w:val="vi-VN" w:bidi="vi-VN"/>
              </w:rPr>
              <w:t>Triển khai các biện pháp can thiệp, hỗ trợ và chiến lược hành vi trên cơ sở bằng chứng.</w:t>
            </w:r>
          </w:p>
          <w:p w14:paraId="664B323B" w14:textId="77777777" w:rsidR="00BB4760" w:rsidRDefault="00F91C53">
            <w:pPr>
              <w:widowControl w:val="0"/>
              <w:numPr>
                <w:ilvl w:val="0"/>
                <w:numId w:val="8"/>
              </w:numPr>
              <w:pBdr>
                <w:top w:val="nil"/>
                <w:left w:val="nil"/>
                <w:bottom w:val="nil"/>
                <w:right w:val="nil"/>
                <w:between w:val="nil"/>
              </w:pBdr>
            </w:pPr>
            <w:r>
              <w:rPr>
                <w:lang w:val="vi-VN" w:bidi="vi-VN"/>
              </w:rPr>
              <w:t>Hướng dẫn và phát triển chuyên môn cho giáo viên để hỗ trợ nhu cầu về sức khỏe hành vi/tâm thần của học sinh</w:t>
            </w:r>
          </w:p>
          <w:p w14:paraId="6DD2E875" w14:textId="77777777" w:rsidR="00BB4760" w:rsidRDefault="00BB4760">
            <w:pPr>
              <w:widowControl w:val="0"/>
              <w:pBdr>
                <w:top w:val="nil"/>
                <w:left w:val="nil"/>
                <w:bottom w:val="nil"/>
                <w:right w:val="nil"/>
                <w:between w:val="nil"/>
              </w:pBdr>
            </w:pPr>
          </w:p>
        </w:tc>
        <w:tc>
          <w:tcPr>
            <w:tcW w:w="690" w:type="dxa"/>
            <w:tcMar>
              <w:top w:w="100" w:type="dxa"/>
              <w:left w:w="100" w:type="dxa"/>
              <w:bottom w:w="100" w:type="dxa"/>
              <w:right w:w="100" w:type="dxa"/>
            </w:tcMar>
          </w:tcPr>
          <w:p w14:paraId="4F2CC757" w14:textId="77777777" w:rsidR="00BB4760" w:rsidRDefault="00F91C53">
            <w:pPr>
              <w:widowControl w:val="0"/>
              <w:pBdr>
                <w:top w:val="nil"/>
                <w:left w:val="nil"/>
                <w:bottom w:val="nil"/>
                <w:right w:val="nil"/>
                <w:between w:val="nil"/>
              </w:pBdr>
            </w:pPr>
            <w:r>
              <w:rPr>
                <w:lang w:val="vi-VN" w:bidi="vi-VN"/>
              </w:rPr>
              <w:t>k.</w:t>
            </w:r>
          </w:p>
        </w:tc>
        <w:tc>
          <w:tcPr>
            <w:tcW w:w="2475" w:type="dxa"/>
            <w:tcMar>
              <w:top w:w="100" w:type="dxa"/>
              <w:left w:w="100" w:type="dxa"/>
              <w:bottom w:w="100" w:type="dxa"/>
              <w:right w:w="100" w:type="dxa"/>
            </w:tcMar>
          </w:tcPr>
          <w:p w14:paraId="03E831BF" w14:textId="77777777" w:rsidR="00BB4760" w:rsidRDefault="00F91C53">
            <w:pPr>
              <w:widowControl w:val="0"/>
              <w:pBdr>
                <w:top w:val="nil"/>
                <w:left w:val="nil"/>
                <w:bottom w:val="nil"/>
                <w:right w:val="nil"/>
                <w:between w:val="nil"/>
              </w:pBdr>
              <w:jc w:val="right"/>
            </w:pPr>
            <w:r>
              <w:rPr>
                <w:lang w:val="vi-VN" w:bidi="vi-VN"/>
              </w:rPr>
              <w:t>$425,000</w:t>
            </w:r>
          </w:p>
        </w:tc>
      </w:tr>
      <w:tr w:rsidR="00BB4760" w14:paraId="3AA3BABE" w14:textId="77777777">
        <w:tc>
          <w:tcPr>
            <w:tcW w:w="3750" w:type="dxa"/>
            <w:tcMar>
              <w:top w:w="100" w:type="dxa"/>
              <w:left w:w="100" w:type="dxa"/>
              <w:bottom w:w="100" w:type="dxa"/>
              <w:right w:w="100" w:type="dxa"/>
            </w:tcMar>
          </w:tcPr>
          <w:p w14:paraId="26936193" w14:textId="77777777" w:rsidR="00BB4760" w:rsidRDefault="00F91C53">
            <w:pPr>
              <w:widowControl w:val="0"/>
              <w:pBdr>
                <w:top w:val="nil"/>
                <w:left w:val="nil"/>
                <w:bottom w:val="nil"/>
                <w:right w:val="nil"/>
                <w:between w:val="nil"/>
              </w:pBdr>
            </w:pPr>
            <w:r>
              <w:rPr>
                <w:lang w:val="vi-VN" w:bidi="vi-VN"/>
              </w:rPr>
              <w:t>Để trợ giúp các cơ quan giáo dục địa phương giải quyết sự thiếu hụt nhân sự.</w:t>
            </w:r>
          </w:p>
        </w:tc>
        <w:tc>
          <w:tcPr>
            <w:tcW w:w="3405" w:type="dxa"/>
            <w:shd w:val="clear" w:color="auto" w:fill="auto"/>
            <w:tcMar>
              <w:top w:w="100" w:type="dxa"/>
              <w:left w:w="100" w:type="dxa"/>
              <w:bottom w:w="100" w:type="dxa"/>
              <w:right w:w="100" w:type="dxa"/>
            </w:tcMar>
          </w:tcPr>
          <w:p w14:paraId="7F12FCD2" w14:textId="77777777" w:rsidR="00BB4760" w:rsidRDefault="00F91C53">
            <w:pPr>
              <w:widowControl w:val="0"/>
              <w:numPr>
                <w:ilvl w:val="0"/>
                <w:numId w:val="10"/>
              </w:numPr>
              <w:pBdr>
                <w:top w:val="nil"/>
                <w:left w:val="nil"/>
                <w:bottom w:val="nil"/>
                <w:right w:val="nil"/>
                <w:between w:val="nil"/>
              </w:pBdr>
            </w:pPr>
            <w:r>
              <w:rPr>
                <w:lang w:val="vi-VN" w:bidi="vi-VN"/>
              </w:rPr>
              <w:t>Xác định các cách thức mang tính đột phá để kết nối các LEA với các nhà cung cấp dịch vụ liên quan ở các khu vực thiếu hụt nhân sự</w:t>
            </w:r>
          </w:p>
          <w:p w14:paraId="1679FBE1" w14:textId="77777777" w:rsidR="00BB4760" w:rsidRDefault="00F91C53">
            <w:pPr>
              <w:widowControl w:val="0"/>
              <w:numPr>
                <w:ilvl w:val="0"/>
                <w:numId w:val="10"/>
              </w:numPr>
            </w:pPr>
            <w:r>
              <w:rPr>
                <w:lang w:val="vi-VN" w:bidi="vi-VN"/>
              </w:rPr>
              <w:t xml:space="preserve">Kèm cặp để hỗ trợ các giáo viên có tâm huyết phục vụ </w:t>
            </w:r>
            <w:r>
              <w:rPr>
                <w:lang w:val="vi-VN" w:bidi="vi-VN"/>
              </w:rPr>
              <w:lastRenderedPageBreak/>
              <w:t>học sinh khuyết tật.</w:t>
            </w:r>
          </w:p>
        </w:tc>
        <w:tc>
          <w:tcPr>
            <w:tcW w:w="690" w:type="dxa"/>
            <w:tcMar>
              <w:top w:w="100" w:type="dxa"/>
              <w:left w:w="100" w:type="dxa"/>
              <w:bottom w:w="100" w:type="dxa"/>
              <w:right w:w="100" w:type="dxa"/>
            </w:tcMar>
          </w:tcPr>
          <w:p w14:paraId="60C09651" w14:textId="77777777" w:rsidR="00BB4760" w:rsidRDefault="00F91C53">
            <w:pPr>
              <w:widowControl w:val="0"/>
              <w:pBdr>
                <w:top w:val="nil"/>
                <w:left w:val="nil"/>
                <w:bottom w:val="nil"/>
                <w:right w:val="nil"/>
                <w:between w:val="nil"/>
              </w:pBdr>
            </w:pPr>
            <w:r>
              <w:rPr>
                <w:lang w:val="vi-VN" w:bidi="vi-VN"/>
              </w:rPr>
              <w:lastRenderedPageBreak/>
              <w:t>l.</w:t>
            </w:r>
          </w:p>
        </w:tc>
        <w:tc>
          <w:tcPr>
            <w:tcW w:w="2475" w:type="dxa"/>
            <w:shd w:val="clear" w:color="auto" w:fill="auto"/>
            <w:tcMar>
              <w:top w:w="100" w:type="dxa"/>
              <w:left w:w="100" w:type="dxa"/>
              <w:bottom w:w="100" w:type="dxa"/>
              <w:right w:w="100" w:type="dxa"/>
            </w:tcMar>
          </w:tcPr>
          <w:p w14:paraId="57538860" w14:textId="77777777" w:rsidR="00BB4760" w:rsidRDefault="00F91C53">
            <w:pPr>
              <w:widowControl w:val="0"/>
              <w:pBdr>
                <w:top w:val="nil"/>
                <w:left w:val="nil"/>
                <w:bottom w:val="nil"/>
                <w:right w:val="nil"/>
                <w:between w:val="nil"/>
              </w:pBdr>
              <w:jc w:val="right"/>
            </w:pPr>
            <w:r>
              <w:rPr>
                <w:lang w:val="vi-VN" w:bidi="vi-VN"/>
              </w:rPr>
              <w:t>$330,000</w:t>
            </w:r>
          </w:p>
        </w:tc>
      </w:tr>
      <w:tr w:rsidR="00BB4760" w14:paraId="2A27C95A" w14:textId="77777777">
        <w:tc>
          <w:tcPr>
            <w:tcW w:w="3750" w:type="dxa"/>
            <w:tcMar>
              <w:top w:w="100" w:type="dxa"/>
              <w:left w:w="100" w:type="dxa"/>
              <w:bottom w:w="100" w:type="dxa"/>
              <w:right w:w="100" w:type="dxa"/>
            </w:tcMar>
          </w:tcPr>
          <w:p w14:paraId="363FEC22" w14:textId="77777777" w:rsidR="00BB4760" w:rsidRDefault="00F91C53">
            <w:pPr>
              <w:widowControl w:val="0"/>
              <w:pBdr>
                <w:top w:val="nil"/>
                <w:left w:val="nil"/>
                <w:bottom w:val="nil"/>
                <w:right w:val="nil"/>
                <w:between w:val="nil"/>
              </w:pBdr>
            </w:pPr>
            <w:r>
              <w:rPr>
                <w:lang w:val="vi-VN" w:bidi="vi-VN"/>
              </w:rPr>
              <w:t>Để hỗ trợ các hoạt động nâng cao năng lực và cải thiện việc cung cấp dịch vụ bởi các cơ quan giáo dục địa phương nhằm cải thiện kết quả của học sinh khuyết tật.</w:t>
            </w:r>
          </w:p>
        </w:tc>
        <w:tc>
          <w:tcPr>
            <w:tcW w:w="3405" w:type="dxa"/>
            <w:tcMar>
              <w:top w:w="100" w:type="dxa"/>
              <w:left w:w="100" w:type="dxa"/>
              <w:bottom w:w="100" w:type="dxa"/>
              <w:right w:w="100" w:type="dxa"/>
            </w:tcMar>
          </w:tcPr>
          <w:p w14:paraId="4D529769" w14:textId="77777777" w:rsidR="00BB4760" w:rsidRDefault="00F91C53">
            <w:pPr>
              <w:widowControl w:val="0"/>
              <w:numPr>
                <w:ilvl w:val="0"/>
                <w:numId w:val="1"/>
              </w:numPr>
              <w:pBdr>
                <w:top w:val="nil"/>
                <w:left w:val="nil"/>
                <w:bottom w:val="nil"/>
                <w:right w:val="nil"/>
                <w:between w:val="nil"/>
              </w:pBdr>
            </w:pPr>
            <w:r>
              <w:rPr>
                <w:lang w:val="vi-VN" w:bidi="vi-VN"/>
              </w:rPr>
              <w:t>Hỗ trợ khu vực và hỗ trợ kỹ thuật cho các LEA</w:t>
            </w:r>
          </w:p>
          <w:p w14:paraId="748786C9" w14:textId="77777777" w:rsidR="00BB4760" w:rsidRDefault="00F91C53">
            <w:pPr>
              <w:widowControl w:val="0"/>
              <w:numPr>
                <w:ilvl w:val="0"/>
                <w:numId w:val="1"/>
              </w:numPr>
              <w:pBdr>
                <w:top w:val="nil"/>
                <w:left w:val="nil"/>
                <w:bottom w:val="nil"/>
                <w:right w:val="nil"/>
                <w:between w:val="nil"/>
              </w:pBdr>
            </w:pPr>
            <w:r>
              <w:rPr>
                <w:lang w:val="vi-VN" w:bidi="vi-VN"/>
              </w:rPr>
              <w:t xml:space="preserve">Hướng dẫn và phát triển chuyên môn để hỗ trợ cho giáo viên hỗ trợ học sinh bị tự kỷ </w:t>
            </w:r>
          </w:p>
          <w:p w14:paraId="0E4ABF97" w14:textId="77777777" w:rsidR="00BB4760" w:rsidRDefault="00F91C53">
            <w:pPr>
              <w:widowControl w:val="0"/>
              <w:numPr>
                <w:ilvl w:val="0"/>
                <w:numId w:val="1"/>
              </w:numPr>
              <w:pBdr>
                <w:top w:val="nil"/>
                <w:left w:val="nil"/>
                <w:bottom w:val="nil"/>
                <w:right w:val="nil"/>
                <w:between w:val="nil"/>
              </w:pBdr>
            </w:pPr>
            <w:r>
              <w:rPr>
                <w:lang w:val="vi-VN" w:bidi="vi-VN"/>
              </w:rPr>
              <w:t>Hướng dẫn và phát triển chuyên môn để hỗ trợ cho giáo viên hỗ trợ học sinh có các nhu cầu y tế phức tạp</w:t>
            </w:r>
          </w:p>
          <w:p w14:paraId="64A4ACFD" w14:textId="77777777" w:rsidR="00BB4760" w:rsidRDefault="00F91C53">
            <w:pPr>
              <w:widowControl w:val="0"/>
              <w:numPr>
                <w:ilvl w:val="0"/>
                <w:numId w:val="1"/>
              </w:numPr>
              <w:pBdr>
                <w:top w:val="nil"/>
                <w:left w:val="nil"/>
                <w:bottom w:val="nil"/>
                <w:right w:val="nil"/>
                <w:between w:val="nil"/>
              </w:pBdr>
            </w:pPr>
            <w:r>
              <w:rPr>
                <w:lang w:val="vi-VN" w:bidi="vi-VN"/>
              </w:rPr>
              <w:t>Triển khai các dịch vụ để nâng cao năng lực của giáo viên để lập và thực hiện các kế hoạch giáo dục cá nhân và sử dụng dữ liệu để hỗ trợ giảng dạy trong lớp học; Báo cáo Giáo dục Đặc biệt</w:t>
            </w:r>
          </w:p>
          <w:p w14:paraId="1C8D5B66" w14:textId="77777777" w:rsidR="00BB4760" w:rsidRDefault="00F91C53">
            <w:pPr>
              <w:widowControl w:val="0"/>
              <w:numPr>
                <w:ilvl w:val="0"/>
                <w:numId w:val="1"/>
              </w:numPr>
              <w:pBdr>
                <w:top w:val="nil"/>
                <w:left w:val="nil"/>
                <w:bottom w:val="nil"/>
                <w:right w:val="nil"/>
                <w:between w:val="nil"/>
              </w:pBdr>
            </w:pPr>
            <w:r>
              <w:rPr>
                <w:lang w:val="vi-VN" w:bidi="vi-VN"/>
              </w:rPr>
              <w:t>Thiết lập các quan hệ đối tác về hỗ trợ kỹ thuật và phát triển chuyên môn để hỗ trợ việc phát triển lãnh đạo giáo dục đặc biệt, giảng dạy chuyên biệt và các dịch vụ liên quan cho học sinh khuyết tật</w:t>
            </w:r>
          </w:p>
        </w:tc>
        <w:tc>
          <w:tcPr>
            <w:tcW w:w="690" w:type="dxa"/>
            <w:tcMar>
              <w:top w:w="100" w:type="dxa"/>
              <w:left w:w="100" w:type="dxa"/>
              <w:bottom w:w="100" w:type="dxa"/>
              <w:right w:w="100" w:type="dxa"/>
            </w:tcMar>
          </w:tcPr>
          <w:p w14:paraId="75F82AB3" w14:textId="77777777" w:rsidR="00BB4760" w:rsidRDefault="00F91C53">
            <w:pPr>
              <w:widowControl w:val="0"/>
              <w:pBdr>
                <w:top w:val="nil"/>
                <w:left w:val="nil"/>
                <w:bottom w:val="nil"/>
                <w:right w:val="nil"/>
                <w:between w:val="nil"/>
              </w:pBdr>
            </w:pPr>
            <w:r>
              <w:rPr>
                <w:lang w:val="vi-VN" w:bidi="vi-VN"/>
              </w:rPr>
              <w:t>m.</w:t>
            </w:r>
          </w:p>
        </w:tc>
        <w:tc>
          <w:tcPr>
            <w:tcW w:w="2475" w:type="dxa"/>
            <w:shd w:val="clear" w:color="auto" w:fill="auto"/>
            <w:tcMar>
              <w:top w:w="100" w:type="dxa"/>
              <w:left w:w="100" w:type="dxa"/>
              <w:bottom w:w="100" w:type="dxa"/>
              <w:right w:w="100" w:type="dxa"/>
            </w:tcMar>
          </w:tcPr>
          <w:p w14:paraId="4C8AFC47" w14:textId="77777777" w:rsidR="00BB4760" w:rsidRDefault="00F91C53">
            <w:pPr>
              <w:widowControl w:val="0"/>
              <w:jc w:val="right"/>
            </w:pPr>
            <w:r>
              <w:rPr>
                <w:lang w:val="vi-VN" w:bidi="vi-VN"/>
              </w:rPr>
              <w:t>$4,521,576</w:t>
            </w:r>
          </w:p>
          <w:p w14:paraId="0AFD1553" w14:textId="77777777" w:rsidR="00BB4760" w:rsidRDefault="00BB4760">
            <w:pPr>
              <w:widowControl w:val="0"/>
              <w:pBdr>
                <w:top w:val="nil"/>
                <w:left w:val="nil"/>
                <w:bottom w:val="nil"/>
                <w:right w:val="nil"/>
                <w:between w:val="nil"/>
              </w:pBdr>
              <w:jc w:val="right"/>
              <w:rPr>
                <w:rFonts w:ascii="Arial" w:eastAsia="Arial" w:hAnsi="Arial" w:cs="Arial"/>
                <w:sz w:val="20"/>
                <w:szCs w:val="20"/>
              </w:rPr>
            </w:pPr>
          </w:p>
        </w:tc>
      </w:tr>
      <w:tr w:rsidR="00BB4760" w14:paraId="573855B3" w14:textId="77777777">
        <w:tc>
          <w:tcPr>
            <w:tcW w:w="3750" w:type="dxa"/>
            <w:tcMar>
              <w:top w:w="100" w:type="dxa"/>
              <w:left w:w="100" w:type="dxa"/>
              <w:bottom w:w="100" w:type="dxa"/>
              <w:right w:w="100" w:type="dxa"/>
            </w:tcMar>
          </w:tcPr>
          <w:p w14:paraId="53643E03" w14:textId="77777777" w:rsidR="00BB4760" w:rsidRDefault="00F91C53">
            <w:pPr>
              <w:widowControl w:val="0"/>
              <w:pBdr>
                <w:top w:val="nil"/>
                <w:left w:val="nil"/>
                <w:bottom w:val="nil"/>
                <w:right w:val="nil"/>
                <w:between w:val="nil"/>
              </w:pBdr>
            </w:pPr>
            <w:r>
              <w:rPr>
                <w:lang w:val="vi-VN" w:bidi="vi-VN"/>
              </w:rPr>
              <w:t>Để hỗ trợ các hoạt động giảm công việc giấy tờ, bao gồm mở rộng sử dụng công nghệ trong quá trình IEP.</w:t>
            </w:r>
          </w:p>
        </w:tc>
        <w:tc>
          <w:tcPr>
            <w:tcW w:w="3405" w:type="dxa"/>
            <w:tcMar>
              <w:top w:w="100" w:type="dxa"/>
              <w:left w:w="100" w:type="dxa"/>
              <w:bottom w:w="100" w:type="dxa"/>
              <w:right w:w="100" w:type="dxa"/>
            </w:tcMar>
          </w:tcPr>
          <w:p w14:paraId="47ABDB65" w14:textId="77777777" w:rsidR="00BB4760" w:rsidRDefault="00BB4760">
            <w:pPr>
              <w:widowControl w:val="0"/>
              <w:pBdr>
                <w:top w:val="nil"/>
                <w:left w:val="nil"/>
                <w:bottom w:val="nil"/>
                <w:right w:val="nil"/>
                <w:between w:val="nil"/>
              </w:pBdr>
            </w:pPr>
          </w:p>
        </w:tc>
        <w:tc>
          <w:tcPr>
            <w:tcW w:w="690" w:type="dxa"/>
            <w:tcMar>
              <w:top w:w="100" w:type="dxa"/>
              <w:left w:w="100" w:type="dxa"/>
              <w:bottom w:w="100" w:type="dxa"/>
              <w:right w:w="100" w:type="dxa"/>
            </w:tcMar>
          </w:tcPr>
          <w:p w14:paraId="270C9785" w14:textId="77777777" w:rsidR="00BB4760" w:rsidRDefault="00F91C53">
            <w:pPr>
              <w:widowControl w:val="0"/>
              <w:pBdr>
                <w:top w:val="nil"/>
                <w:left w:val="nil"/>
                <w:bottom w:val="nil"/>
                <w:right w:val="nil"/>
                <w:between w:val="nil"/>
              </w:pBdr>
            </w:pPr>
            <w:r>
              <w:rPr>
                <w:lang w:val="vi-VN" w:bidi="vi-VN"/>
              </w:rPr>
              <w:t>n.</w:t>
            </w:r>
          </w:p>
        </w:tc>
        <w:tc>
          <w:tcPr>
            <w:tcW w:w="2475" w:type="dxa"/>
            <w:tcMar>
              <w:top w:w="100" w:type="dxa"/>
              <w:left w:w="100" w:type="dxa"/>
              <w:bottom w:w="100" w:type="dxa"/>
              <w:right w:w="100" w:type="dxa"/>
            </w:tcMar>
          </w:tcPr>
          <w:p w14:paraId="291D9D63" w14:textId="77777777" w:rsidR="00BB4760" w:rsidRDefault="00F91C53">
            <w:pPr>
              <w:widowControl w:val="0"/>
              <w:pBdr>
                <w:top w:val="nil"/>
                <w:left w:val="nil"/>
                <w:bottom w:val="nil"/>
                <w:right w:val="nil"/>
                <w:between w:val="nil"/>
              </w:pBdr>
              <w:jc w:val="right"/>
            </w:pPr>
            <w:r>
              <w:rPr>
                <w:lang w:val="vi-VN" w:bidi="vi-VN"/>
              </w:rPr>
              <w:t>$0</w:t>
            </w:r>
          </w:p>
          <w:p w14:paraId="702BB129" w14:textId="77777777" w:rsidR="00BB4760" w:rsidRDefault="00BB4760">
            <w:pPr>
              <w:widowControl w:val="0"/>
              <w:pBdr>
                <w:top w:val="nil"/>
                <w:left w:val="nil"/>
                <w:bottom w:val="nil"/>
                <w:right w:val="nil"/>
                <w:between w:val="nil"/>
              </w:pBdr>
              <w:jc w:val="right"/>
            </w:pPr>
          </w:p>
        </w:tc>
      </w:tr>
      <w:tr w:rsidR="00BB4760" w14:paraId="4700E49C" w14:textId="77777777">
        <w:tc>
          <w:tcPr>
            <w:tcW w:w="3750" w:type="dxa"/>
            <w:tcMar>
              <w:top w:w="100" w:type="dxa"/>
              <w:left w:w="100" w:type="dxa"/>
              <w:bottom w:w="100" w:type="dxa"/>
              <w:right w:w="100" w:type="dxa"/>
            </w:tcMar>
          </w:tcPr>
          <w:p w14:paraId="273C8BC5" w14:textId="77777777" w:rsidR="00BB4760" w:rsidRDefault="00F91C53">
            <w:pPr>
              <w:widowControl w:val="0"/>
              <w:pBdr>
                <w:top w:val="nil"/>
                <w:left w:val="nil"/>
                <w:bottom w:val="nil"/>
                <w:right w:val="nil"/>
                <w:between w:val="nil"/>
              </w:pBdr>
            </w:pPr>
            <w:r>
              <w:rPr>
                <w:lang w:val="vi-VN" w:bidi="vi-VN"/>
              </w:rPr>
              <w:t>Cải thiện việc sử dụng công nghệ trong lớp học cho trẻ em khuyết tật để nâng cao việc học tập.</w:t>
            </w:r>
          </w:p>
        </w:tc>
        <w:tc>
          <w:tcPr>
            <w:tcW w:w="3405" w:type="dxa"/>
            <w:tcMar>
              <w:top w:w="100" w:type="dxa"/>
              <w:left w:w="100" w:type="dxa"/>
              <w:bottom w:w="100" w:type="dxa"/>
              <w:right w:w="100" w:type="dxa"/>
            </w:tcMar>
          </w:tcPr>
          <w:p w14:paraId="58CAD2F1" w14:textId="77777777" w:rsidR="00BB4760" w:rsidRDefault="00F91C53">
            <w:pPr>
              <w:widowControl w:val="0"/>
              <w:numPr>
                <w:ilvl w:val="0"/>
                <w:numId w:val="7"/>
              </w:numPr>
              <w:pBdr>
                <w:top w:val="nil"/>
                <w:left w:val="nil"/>
                <w:bottom w:val="nil"/>
                <w:right w:val="nil"/>
                <w:between w:val="nil"/>
              </w:pBdr>
            </w:pPr>
            <w:r>
              <w:rPr>
                <w:lang w:val="vi-VN" w:bidi="vi-VN"/>
              </w:rPr>
              <w:t>Tập huấn và các nguồn hỗ trợ về sử dụng công nghệ để hỗ trợ các nhu cầu học tập cá nhân</w:t>
            </w:r>
          </w:p>
        </w:tc>
        <w:tc>
          <w:tcPr>
            <w:tcW w:w="690" w:type="dxa"/>
            <w:tcMar>
              <w:top w:w="100" w:type="dxa"/>
              <w:left w:w="100" w:type="dxa"/>
              <w:bottom w:w="100" w:type="dxa"/>
              <w:right w:w="100" w:type="dxa"/>
            </w:tcMar>
          </w:tcPr>
          <w:p w14:paraId="780B413D" w14:textId="77777777" w:rsidR="00BB4760" w:rsidRDefault="00F91C53">
            <w:pPr>
              <w:widowControl w:val="0"/>
              <w:pBdr>
                <w:top w:val="nil"/>
                <w:left w:val="nil"/>
                <w:bottom w:val="nil"/>
                <w:right w:val="nil"/>
                <w:between w:val="nil"/>
              </w:pBdr>
            </w:pPr>
            <w:r>
              <w:rPr>
                <w:lang w:val="vi-VN" w:bidi="vi-VN"/>
              </w:rPr>
              <w:t>o.</w:t>
            </w:r>
          </w:p>
        </w:tc>
        <w:tc>
          <w:tcPr>
            <w:tcW w:w="2475" w:type="dxa"/>
            <w:tcMar>
              <w:top w:w="100" w:type="dxa"/>
              <w:left w:w="100" w:type="dxa"/>
              <w:bottom w:w="100" w:type="dxa"/>
              <w:right w:w="100" w:type="dxa"/>
            </w:tcMar>
          </w:tcPr>
          <w:p w14:paraId="62D2AB42" w14:textId="77777777" w:rsidR="00BB4760" w:rsidRDefault="00F91C53">
            <w:pPr>
              <w:widowControl w:val="0"/>
              <w:pBdr>
                <w:top w:val="nil"/>
                <w:left w:val="nil"/>
                <w:bottom w:val="nil"/>
                <w:right w:val="nil"/>
                <w:between w:val="nil"/>
              </w:pBdr>
              <w:jc w:val="right"/>
            </w:pPr>
            <w:r>
              <w:rPr>
                <w:lang w:val="vi-VN" w:bidi="vi-VN"/>
              </w:rPr>
              <w:t>$600,000</w:t>
            </w:r>
          </w:p>
        </w:tc>
      </w:tr>
      <w:tr w:rsidR="00BB4760" w14:paraId="4BEB0CC3" w14:textId="77777777">
        <w:tc>
          <w:tcPr>
            <w:tcW w:w="3750" w:type="dxa"/>
            <w:tcMar>
              <w:top w:w="100" w:type="dxa"/>
              <w:left w:w="100" w:type="dxa"/>
              <w:bottom w:w="100" w:type="dxa"/>
              <w:right w:w="100" w:type="dxa"/>
            </w:tcMar>
          </w:tcPr>
          <w:p w14:paraId="084F0227" w14:textId="77777777" w:rsidR="00BB4760" w:rsidRDefault="00F91C53">
            <w:pPr>
              <w:widowControl w:val="0"/>
              <w:pBdr>
                <w:top w:val="nil"/>
                <w:left w:val="nil"/>
                <w:bottom w:val="nil"/>
                <w:right w:val="nil"/>
                <w:between w:val="nil"/>
              </w:pBdr>
            </w:pPr>
            <w:r>
              <w:rPr>
                <w:lang w:val="vi-VN" w:bidi="vi-VN"/>
              </w:rPr>
              <w:t>Để hỗ trợ việc sử dụng công nghệ, bao gồm công nghệ với các nguyên tắc thiết kế tổng quát và các thiết bị công nghệ hỗ trợ, để tối đa hóa khả năng tiếp cận chương trình giáo dục tổng quát cho học sinh khuyết tật.</w:t>
            </w:r>
          </w:p>
        </w:tc>
        <w:tc>
          <w:tcPr>
            <w:tcW w:w="3405" w:type="dxa"/>
            <w:tcMar>
              <w:top w:w="100" w:type="dxa"/>
              <w:left w:w="100" w:type="dxa"/>
              <w:bottom w:w="100" w:type="dxa"/>
              <w:right w:w="100" w:type="dxa"/>
            </w:tcMar>
          </w:tcPr>
          <w:p w14:paraId="5A123E99" w14:textId="77777777" w:rsidR="00BB4760" w:rsidRDefault="00F91C53">
            <w:pPr>
              <w:widowControl w:val="0"/>
              <w:numPr>
                <w:ilvl w:val="0"/>
                <w:numId w:val="5"/>
              </w:numPr>
              <w:pBdr>
                <w:top w:val="nil"/>
                <w:left w:val="nil"/>
                <w:bottom w:val="nil"/>
                <w:right w:val="nil"/>
                <w:between w:val="nil"/>
              </w:pBdr>
            </w:pPr>
            <w:r>
              <w:rPr>
                <w:lang w:val="vi-VN" w:bidi="vi-VN"/>
              </w:rPr>
              <w:t>Tập huấn và các nguồn hỗ trợ về sử dụng công nghệ để hỗ trợ dạy học phân hóa</w:t>
            </w:r>
          </w:p>
        </w:tc>
        <w:tc>
          <w:tcPr>
            <w:tcW w:w="690" w:type="dxa"/>
            <w:tcMar>
              <w:top w:w="100" w:type="dxa"/>
              <w:left w:w="100" w:type="dxa"/>
              <w:bottom w:w="100" w:type="dxa"/>
              <w:right w:w="100" w:type="dxa"/>
            </w:tcMar>
          </w:tcPr>
          <w:p w14:paraId="08F868C6" w14:textId="77777777" w:rsidR="00BB4760" w:rsidRDefault="00F91C53">
            <w:pPr>
              <w:widowControl w:val="0"/>
              <w:pBdr>
                <w:top w:val="nil"/>
                <w:left w:val="nil"/>
                <w:bottom w:val="nil"/>
                <w:right w:val="nil"/>
                <w:between w:val="nil"/>
              </w:pBdr>
            </w:pPr>
            <w:r>
              <w:rPr>
                <w:lang w:val="vi-VN" w:bidi="vi-VN"/>
              </w:rPr>
              <w:t>p.</w:t>
            </w:r>
          </w:p>
        </w:tc>
        <w:tc>
          <w:tcPr>
            <w:tcW w:w="2475" w:type="dxa"/>
            <w:tcMar>
              <w:top w:w="100" w:type="dxa"/>
              <w:left w:w="100" w:type="dxa"/>
              <w:bottom w:w="100" w:type="dxa"/>
              <w:right w:w="100" w:type="dxa"/>
            </w:tcMar>
          </w:tcPr>
          <w:p w14:paraId="3CD82AB4" w14:textId="77777777" w:rsidR="00BB4760" w:rsidRDefault="00F91C53">
            <w:pPr>
              <w:widowControl w:val="0"/>
              <w:pBdr>
                <w:top w:val="nil"/>
                <w:left w:val="nil"/>
                <w:bottom w:val="nil"/>
                <w:right w:val="nil"/>
                <w:between w:val="nil"/>
              </w:pBdr>
              <w:jc w:val="right"/>
            </w:pPr>
            <w:r>
              <w:rPr>
                <w:lang w:val="vi-VN" w:bidi="vi-VN"/>
              </w:rPr>
              <w:t>$500,000</w:t>
            </w:r>
          </w:p>
        </w:tc>
      </w:tr>
      <w:tr w:rsidR="00BB4760" w14:paraId="0E5ACBF0" w14:textId="77777777">
        <w:tc>
          <w:tcPr>
            <w:tcW w:w="3750" w:type="dxa"/>
            <w:tcMar>
              <w:top w:w="100" w:type="dxa"/>
              <w:left w:w="100" w:type="dxa"/>
              <w:bottom w:w="100" w:type="dxa"/>
              <w:right w:w="100" w:type="dxa"/>
            </w:tcMar>
          </w:tcPr>
          <w:p w14:paraId="135578B9" w14:textId="77777777" w:rsidR="00BB4760" w:rsidRDefault="00F91C53">
            <w:pPr>
              <w:widowControl w:val="0"/>
              <w:pBdr>
                <w:top w:val="nil"/>
                <w:left w:val="nil"/>
                <w:bottom w:val="nil"/>
                <w:right w:val="nil"/>
                <w:between w:val="nil"/>
              </w:pBdr>
            </w:pPr>
            <w:r>
              <w:rPr>
                <w:lang w:val="vi-VN" w:bidi="vi-VN"/>
              </w:rPr>
              <w:t xml:space="preserve">Lập và triển khai các chương trình chuyển tiếp, bao gồm điều phối các </w:t>
            </w:r>
            <w:r>
              <w:rPr>
                <w:lang w:val="vi-VN" w:bidi="vi-VN"/>
              </w:rPr>
              <w:lastRenderedPageBreak/>
              <w:t>dịch vụ với các cơ quan tham gia hỗ trợ việc chuyển tiếp học sinh khuyết tật sang các hoạt động sau trung học.</w:t>
            </w:r>
          </w:p>
        </w:tc>
        <w:tc>
          <w:tcPr>
            <w:tcW w:w="3405" w:type="dxa"/>
            <w:tcMar>
              <w:top w:w="100" w:type="dxa"/>
              <w:left w:w="100" w:type="dxa"/>
              <w:bottom w:w="100" w:type="dxa"/>
              <w:right w:w="100" w:type="dxa"/>
            </w:tcMar>
          </w:tcPr>
          <w:p w14:paraId="5105098D" w14:textId="77777777" w:rsidR="00BB4760" w:rsidRDefault="00F91C53">
            <w:pPr>
              <w:widowControl w:val="0"/>
              <w:numPr>
                <w:ilvl w:val="0"/>
                <w:numId w:val="2"/>
              </w:numPr>
              <w:pBdr>
                <w:top w:val="nil"/>
                <w:left w:val="nil"/>
                <w:bottom w:val="nil"/>
                <w:right w:val="nil"/>
                <w:between w:val="nil"/>
              </w:pBdr>
            </w:pPr>
            <w:r>
              <w:rPr>
                <w:lang w:val="vi-VN" w:bidi="vi-VN"/>
              </w:rPr>
              <w:lastRenderedPageBreak/>
              <w:t xml:space="preserve">Hỗ trợ phát triển lãnh đạo và chuẩn bị cho nghề </w:t>
            </w:r>
            <w:r>
              <w:rPr>
                <w:lang w:val="vi-VN" w:bidi="vi-VN"/>
              </w:rPr>
              <w:lastRenderedPageBreak/>
              <w:t>nghiệp khi học sinh khuyết tật chuyển tiếp từ trường trung học cơ sở sang trung học phổ thông</w:t>
            </w:r>
          </w:p>
          <w:p w14:paraId="494C56D7" w14:textId="77777777" w:rsidR="00BB4760" w:rsidRDefault="00F91C53">
            <w:pPr>
              <w:widowControl w:val="0"/>
              <w:numPr>
                <w:ilvl w:val="0"/>
                <w:numId w:val="2"/>
              </w:numPr>
              <w:pBdr>
                <w:top w:val="nil"/>
                <w:left w:val="nil"/>
                <w:bottom w:val="nil"/>
                <w:right w:val="nil"/>
                <w:between w:val="nil"/>
              </w:pBdr>
            </w:pPr>
            <w:r>
              <w:rPr>
                <w:lang w:val="vi-VN" w:bidi="vi-VN"/>
              </w:rPr>
              <w:t>Diễn đàn lãnh đạo thanh niên dành cho các học sinh với hiệp hội khuyết tật</w:t>
            </w:r>
          </w:p>
          <w:p w14:paraId="10AC502C" w14:textId="77777777" w:rsidR="00BB4760" w:rsidRDefault="00F91C53">
            <w:pPr>
              <w:widowControl w:val="0"/>
              <w:numPr>
                <w:ilvl w:val="0"/>
                <w:numId w:val="2"/>
              </w:numPr>
              <w:pBdr>
                <w:top w:val="nil"/>
                <w:left w:val="nil"/>
                <w:bottom w:val="nil"/>
                <w:right w:val="nil"/>
                <w:between w:val="nil"/>
              </w:pBdr>
            </w:pPr>
            <w:r>
              <w:rPr>
                <w:lang w:val="vi-VN" w:bidi="vi-VN"/>
              </w:rPr>
              <w:t>Các công cụ và nguồn thông tin trực tuyến để các gia đình và thành viên cộng đồng hiểu được các hợp phần quan trọng của giáo dục đặc biệt</w:t>
            </w:r>
          </w:p>
        </w:tc>
        <w:tc>
          <w:tcPr>
            <w:tcW w:w="690" w:type="dxa"/>
            <w:tcMar>
              <w:top w:w="100" w:type="dxa"/>
              <w:left w:w="100" w:type="dxa"/>
              <w:bottom w:w="100" w:type="dxa"/>
              <w:right w:w="100" w:type="dxa"/>
            </w:tcMar>
          </w:tcPr>
          <w:p w14:paraId="3D8C6833" w14:textId="77777777" w:rsidR="00BB4760" w:rsidRDefault="00F91C53">
            <w:pPr>
              <w:widowControl w:val="0"/>
              <w:pBdr>
                <w:top w:val="nil"/>
                <w:left w:val="nil"/>
                <w:bottom w:val="nil"/>
                <w:right w:val="nil"/>
                <w:between w:val="nil"/>
              </w:pBdr>
            </w:pPr>
            <w:r>
              <w:rPr>
                <w:lang w:val="vi-VN" w:bidi="vi-VN"/>
              </w:rPr>
              <w:lastRenderedPageBreak/>
              <w:t xml:space="preserve">q. </w:t>
            </w:r>
          </w:p>
        </w:tc>
        <w:tc>
          <w:tcPr>
            <w:tcW w:w="2475" w:type="dxa"/>
            <w:tcMar>
              <w:top w:w="100" w:type="dxa"/>
              <w:left w:w="100" w:type="dxa"/>
              <w:bottom w:w="100" w:type="dxa"/>
              <w:right w:w="100" w:type="dxa"/>
            </w:tcMar>
          </w:tcPr>
          <w:p w14:paraId="4E86398E" w14:textId="77777777" w:rsidR="00BB4760" w:rsidRDefault="00F91C53">
            <w:pPr>
              <w:widowControl w:val="0"/>
              <w:pBdr>
                <w:top w:val="nil"/>
                <w:left w:val="nil"/>
                <w:bottom w:val="nil"/>
                <w:right w:val="nil"/>
                <w:between w:val="nil"/>
              </w:pBdr>
              <w:jc w:val="right"/>
            </w:pPr>
            <w:r>
              <w:rPr>
                <w:lang w:val="vi-VN" w:bidi="vi-VN"/>
              </w:rPr>
              <w:t>$1,700,000</w:t>
            </w:r>
          </w:p>
        </w:tc>
      </w:tr>
      <w:tr w:rsidR="00BB4760" w14:paraId="3015ED04" w14:textId="77777777">
        <w:tc>
          <w:tcPr>
            <w:tcW w:w="3750" w:type="dxa"/>
            <w:tcMar>
              <w:top w:w="100" w:type="dxa"/>
              <w:left w:w="100" w:type="dxa"/>
              <w:bottom w:w="100" w:type="dxa"/>
              <w:right w:w="100" w:type="dxa"/>
            </w:tcMar>
          </w:tcPr>
          <w:p w14:paraId="4C4E7760" w14:textId="77777777" w:rsidR="00BB4760" w:rsidRDefault="00F91C53">
            <w:pPr>
              <w:widowControl w:val="0"/>
              <w:pBdr>
                <w:top w:val="nil"/>
                <w:left w:val="nil"/>
                <w:bottom w:val="nil"/>
                <w:right w:val="nil"/>
                <w:between w:val="nil"/>
              </w:pBdr>
            </w:pPr>
            <w:r>
              <w:rPr>
                <w:lang w:val="vi-VN" w:bidi="vi-VN"/>
              </w:rPr>
              <w:t>Chương trình thay thế cho trẻ em khuyết tật đã bị đuổi học, và dịch vụ cho trẻ em khuyết tật trong các cơ sở cải huấn, trẻ em tham gia các trường do Tiểu Bang - Vận Hành hay Tiểu Bang Hỗ Trợ, và trẻ em khuyết tật ở các trường bán công.</w:t>
            </w:r>
          </w:p>
        </w:tc>
        <w:tc>
          <w:tcPr>
            <w:tcW w:w="3405" w:type="dxa"/>
            <w:tcMar>
              <w:top w:w="100" w:type="dxa"/>
              <w:left w:w="100" w:type="dxa"/>
              <w:bottom w:w="100" w:type="dxa"/>
              <w:right w:w="100" w:type="dxa"/>
            </w:tcMar>
          </w:tcPr>
          <w:p w14:paraId="794678C3" w14:textId="77777777" w:rsidR="00BB4760" w:rsidRDefault="00BB4760">
            <w:pPr>
              <w:widowControl w:val="0"/>
              <w:pBdr>
                <w:top w:val="nil"/>
                <w:left w:val="nil"/>
                <w:bottom w:val="nil"/>
                <w:right w:val="nil"/>
                <w:between w:val="nil"/>
              </w:pBdr>
              <w:ind w:left="720"/>
            </w:pPr>
          </w:p>
        </w:tc>
        <w:tc>
          <w:tcPr>
            <w:tcW w:w="690" w:type="dxa"/>
            <w:tcMar>
              <w:top w:w="100" w:type="dxa"/>
              <w:left w:w="100" w:type="dxa"/>
              <w:bottom w:w="100" w:type="dxa"/>
              <w:right w:w="100" w:type="dxa"/>
            </w:tcMar>
          </w:tcPr>
          <w:p w14:paraId="1F93B758" w14:textId="77777777" w:rsidR="00BB4760" w:rsidRDefault="00F91C53">
            <w:pPr>
              <w:widowControl w:val="0"/>
              <w:pBdr>
                <w:top w:val="nil"/>
                <w:left w:val="nil"/>
                <w:bottom w:val="nil"/>
                <w:right w:val="nil"/>
                <w:between w:val="nil"/>
              </w:pBdr>
            </w:pPr>
            <w:r>
              <w:rPr>
                <w:lang w:val="vi-VN" w:bidi="vi-VN"/>
              </w:rPr>
              <w:t>r.</w:t>
            </w:r>
          </w:p>
        </w:tc>
        <w:tc>
          <w:tcPr>
            <w:tcW w:w="2475" w:type="dxa"/>
            <w:tcMar>
              <w:top w:w="100" w:type="dxa"/>
              <w:left w:w="100" w:type="dxa"/>
              <w:bottom w:w="100" w:type="dxa"/>
              <w:right w:w="100" w:type="dxa"/>
            </w:tcMar>
          </w:tcPr>
          <w:p w14:paraId="00ED7108" w14:textId="77777777" w:rsidR="00BB4760" w:rsidRDefault="00F91C53">
            <w:pPr>
              <w:widowControl w:val="0"/>
              <w:pBdr>
                <w:top w:val="nil"/>
                <w:left w:val="nil"/>
                <w:bottom w:val="nil"/>
                <w:right w:val="nil"/>
                <w:between w:val="nil"/>
              </w:pBdr>
              <w:jc w:val="right"/>
              <w:rPr>
                <w:highlight w:val="white"/>
              </w:rPr>
            </w:pPr>
            <w:r>
              <w:rPr>
                <w:highlight w:val="white"/>
                <w:lang w:val="vi-VN" w:bidi="vi-VN"/>
              </w:rPr>
              <w:t>$0</w:t>
            </w:r>
          </w:p>
        </w:tc>
      </w:tr>
      <w:tr w:rsidR="00BB4760" w14:paraId="17889ABB" w14:textId="77777777">
        <w:tc>
          <w:tcPr>
            <w:tcW w:w="3750" w:type="dxa"/>
            <w:tcMar>
              <w:top w:w="100" w:type="dxa"/>
              <w:left w:w="100" w:type="dxa"/>
              <w:bottom w:w="100" w:type="dxa"/>
              <w:right w:w="100" w:type="dxa"/>
            </w:tcMar>
          </w:tcPr>
          <w:p w14:paraId="54327344" w14:textId="77777777" w:rsidR="00BB4760" w:rsidRDefault="00F91C53">
            <w:pPr>
              <w:widowControl w:val="0"/>
              <w:pBdr>
                <w:top w:val="nil"/>
                <w:left w:val="nil"/>
                <w:bottom w:val="nil"/>
                <w:right w:val="nil"/>
                <w:between w:val="nil"/>
              </w:pBdr>
            </w:pPr>
            <w:r>
              <w:rPr>
                <w:lang w:val="vi-VN" w:bidi="vi-VN"/>
              </w:rPr>
              <w:t>Để hỗ trợ việc phát triển và cung cấp các dịch vụ điều chỉnh hợp lý cho học sinh khuyết tật, hay việc phát triển và cung cấp các đánh giá thay thế hợp lệ và đáng tin cậy để đánh giá thành tích của học sinh khuyết tật, tuân thủ các Mục 1111(b) và 1201 của Đạo Luật Giáo Dục Tiểu Học và Trung Học Năm 1965 (Elementary and Secondary Education Act of 1965).</w:t>
            </w:r>
          </w:p>
        </w:tc>
        <w:tc>
          <w:tcPr>
            <w:tcW w:w="3405" w:type="dxa"/>
            <w:tcMar>
              <w:top w:w="100" w:type="dxa"/>
              <w:left w:w="100" w:type="dxa"/>
              <w:bottom w:w="100" w:type="dxa"/>
              <w:right w:w="100" w:type="dxa"/>
            </w:tcMar>
          </w:tcPr>
          <w:p w14:paraId="2E7CE19E" w14:textId="77777777" w:rsidR="00BB4760" w:rsidRDefault="00F91C53">
            <w:pPr>
              <w:widowControl w:val="0"/>
              <w:numPr>
                <w:ilvl w:val="0"/>
                <w:numId w:val="6"/>
              </w:numPr>
              <w:pBdr>
                <w:top w:val="nil"/>
                <w:left w:val="nil"/>
                <w:bottom w:val="nil"/>
                <w:right w:val="nil"/>
                <w:between w:val="nil"/>
              </w:pBdr>
            </w:pPr>
            <w:r>
              <w:rPr>
                <w:lang w:val="vi-VN" w:bidi="vi-VN"/>
              </w:rPr>
              <w:t>Điều chỉnh trong đánh giá: cung cấp ngân quỹ cho việc cung cấp các biện pháp điều chỉnh trong các kỳ đánh giá thông thường của tiểu bang</w:t>
            </w:r>
          </w:p>
          <w:p w14:paraId="07E82765" w14:textId="77777777" w:rsidR="00BB4760" w:rsidRDefault="00F91C53">
            <w:pPr>
              <w:widowControl w:val="0"/>
              <w:numPr>
                <w:ilvl w:val="0"/>
                <w:numId w:val="6"/>
              </w:numPr>
              <w:pBdr>
                <w:top w:val="nil"/>
                <w:left w:val="nil"/>
                <w:bottom w:val="nil"/>
                <w:right w:val="nil"/>
                <w:between w:val="nil"/>
              </w:pBdr>
            </w:pPr>
            <w:r>
              <w:rPr>
                <w:lang w:val="vi-VN" w:bidi="vi-VN"/>
              </w:rPr>
              <w:t>Đánh giá thay thế: cung cấp ngân quỹ cho việc phát triển và cung cấp các đánh giá thay thế</w:t>
            </w:r>
          </w:p>
        </w:tc>
        <w:tc>
          <w:tcPr>
            <w:tcW w:w="690" w:type="dxa"/>
            <w:shd w:val="clear" w:color="auto" w:fill="auto"/>
            <w:tcMar>
              <w:top w:w="100" w:type="dxa"/>
              <w:left w:w="100" w:type="dxa"/>
              <w:bottom w:w="100" w:type="dxa"/>
              <w:right w:w="100" w:type="dxa"/>
            </w:tcMar>
          </w:tcPr>
          <w:p w14:paraId="703BFB9F" w14:textId="77777777" w:rsidR="00BB4760" w:rsidRDefault="00F91C53">
            <w:pPr>
              <w:widowControl w:val="0"/>
              <w:pBdr>
                <w:top w:val="nil"/>
                <w:left w:val="nil"/>
                <w:bottom w:val="nil"/>
                <w:right w:val="nil"/>
                <w:between w:val="nil"/>
              </w:pBdr>
            </w:pPr>
            <w:r>
              <w:rPr>
                <w:lang w:val="vi-VN" w:bidi="vi-VN"/>
              </w:rPr>
              <w:t>s.</w:t>
            </w:r>
          </w:p>
        </w:tc>
        <w:tc>
          <w:tcPr>
            <w:tcW w:w="2475" w:type="dxa"/>
            <w:shd w:val="clear" w:color="auto" w:fill="auto"/>
            <w:tcMar>
              <w:top w:w="100" w:type="dxa"/>
              <w:left w:w="100" w:type="dxa"/>
              <w:bottom w:w="100" w:type="dxa"/>
              <w:right w:w="100" w:type="dxa"/>
            </w:tcMar>
          </w:tcPr>
          <w:p w14:paraId="4830E9DD" w14:textId="77777777" w:rsidR="00BB4760" w:rsidRDefault="00F91C53">
            <w:pPr>
              <w:widowControl w:val="0"/>
              <w:pBdr>
                <w:top w:val="nil"/>
                <w:left w:val="nil"/>
                <w:bottom w:val="nil"/>
                <w:right w:val="nil"/>
                <w:between w:val="nil"/>
              </w:pBdr>
              <w:jc w:val="right"/>
            </w:pPr>
            <w:r>
              <w:rPr>
                <w:lang w:val="vi-VN" w:bidi="vi-VN"/>
              </w:rPr>
              <w:t>$6,279,820</w:t>
            </w:r>
          </w:p>
        </w:tc>
      </w:tr>
      <w:tr w:rsidR="00BB4760" w14:paraId="4776F884" w14:textId="77777777">
        <w:tc>
          <w:tcPr>
            <w:tcW w:w="3750" w:type="dxa"/>
            <w:tcMar>
              <w:top w:w="100" w:type="dxa"/>
              <w:left w:w="100" w:type="dxa"/>
              <w:bottom w:w="100" w:type="dxa"/>
              <w:right w:w="100" w:type="dxa"/>
            </w:tcMar>
          </w:tcPr>
          <w:p w14:paraId="6EA4AA6F" w14:textId="77777777" w:rsidR="00BB4760" w:rsidRDefault="00F91C53">
            <w:pPr>
              <w:widowControl w:val="0"/>
              <w:pBdr>
                <w:top w:val="nil"/>
                <w:left w:val="nil"/>
                <w:bottom w:val="nil"/>
                <w:right w:val="nil"/>
                <w:between w:val="nil"/>
              </w:pBdr>
            </w:pPr>
            <w:r>
              <w:rPr>
                <w:lang w:val="vi-VN" w:bidi="vi-VN"/>
              </w:rPr>
              <w:t xml:space="preserve">Để cung cấp hỗ trợ kỹ thuật cho các trường và LEA, và các dịch vụ đặc biệt, bao gồm các dịch vụ học sinh đặc biệt được mô tả trong mục 1003A(c)(3) của ESEA cho trẻ em khuyết tật, cho các trường hay LEA đang triển khai hỗ trợ toàn diện và các hoạt động cải thiện hay hỗ trợ trọng tâm và các hoạt động cải thiện theo mục 1111(d) của ESEA dựa trên cơ sở số liệu cho thấy nhóm học sinh khuyết tật liên tục đạt thành tích kém, bao gồm việc cung cấp phát triển chuyên môn cho các giáo viên </w:t>
            </w:r>
            <w:r>
              <w:rPr>
                <w:lang w:val="vi-VN" w:bidi="vi-VN"/>
              </w:rPr>
              <w:lastRenderedPageBreak/>
              <w:t>giáo dục đặc biệt và giáo viên thông thường, là người dạy học sinh khuyết tật, dựa trên nghiên cứu có cơ sở khoa học để cải thiện việc giảng dạy, nhằm cải thiện thành tích học tập dựa trên các tiêu chuẩn học khá cao được mô tả trong mục 1111(b)(1) của ESEA.</w:t>
            </w:r>
          </w:p>
        </w:tc>
        <w:tc>
          <w:tcPr>
            <w:tcW w:w="3405" w:type="dxa"/>
            <w:tcMar>
              <w:top w:w="100" w:type="dxa"/>
              <w:left w:w="100" w:type="dxa"/>
              <w:bottom w:w="100" w:type="dxa"/>
              <w:right w:w="100" w:type="dxa"/>
            </w:tcMar>
          </w:tcPr>
          <w:p w14:paraId="3E2B4E80" w14:textId="77777777" w:rsidR="00BB4760" w:rsidRDefault="00F91C53">
            <w:pPr>
              <w:widowControl w:val="0"/>
              <w:numPr>
                <w:ilvl w:val="0"/>
                <w:numId w:val="9"/>
              </w:numPr>
              <w:pBdr>
                <w:top w:val="nil"/>
                <w:left w:val="nil"/>
                <w:bottom w:val="nil"/>
                <w:right w:val="nil"/>
                <w:between w:val="nil"/>
              </w:pBdr>
            </w:pPr>
            <w:r>
              <w:rPr>
                <w:lang w:val="vi-VN" w:bidi="vi-VN"/>
              </w:rPr>
              <w:lastRenderedPageBreak/>
              <w:t xml:space="preserve">Hỗ trợ các kế hoạch thiết kế lại trường học cụ thể hướng đến học sinh khuyết tật đối với các trường được xác định là Cần Can Thiệp Khẩn Cấp dựa trên tình trạng thành tích kém kéo dài của nhóm học sinh khuyết tật </w:t>
            </w:r>
          </w:p>
        </w:tc>
        <w:tc>
          <w:tcPr>
            <w:tcW w:w="690" w:type="dxa"/>
            <w:tcMar>
              <w:top w:w="100" w:type="dxa"/>
              <w:left w:w="100" w:type="dxa"/>
              <w:bottom w:w="100" w:type="dxa"/>
              <w:right w:w="100" w:type="dxa"/>
            </w:tcMar>
          </w:tcPr>
          <w:p w14:paraId="1E6F46D0" w14:textId="77777777" w:rsidR="00BB4760" w:rsidRDefault="00F91C53">
            <w:pPr>
              <w:widowControl w:val="0"/>
              <w:pBdr>
                <w:top w:val="nil"/>
                <w:left w:val="nil"/>
                <w:bottom w:val="nil"/>
                <w:right w:val="nil"/>
                <w:between w:val="nil"/>
              </w:pBdr>
            </w:pPr>
            <w:r>
              <w:rPr>
                <w:lang w:val="vi-VN" w:bidi="vi-VN"/>
              </w:rPr>
              <w:t>t.</w:t>
            </w:r>
          </w:p>
        </w:tc>
        <w:tc>
          <w:tcPr>
            <w:tcW w:w="2475" w:type="dxa"/>
            <w:tcMar>
              <w:top w:w="100" w:type="dxa"/>
              <w:left w:w="100" w:type="dxa"/>
              <w:bottom w:w="100" w:type="dxa"/>
              <w:right w:w="100" w:type="dxa"/>
            </w:tcMar>
          </w:tcPr>
          <w:p w14:paraId="2DFC69E3" w14:textId="77777777" w:rsidR="00BB4760" w:rsidRDefault="00F91C53">
            <w:pPr>
              <w:widowControl w:val="0"/>
              <w:pBdr>
                <w:top w:val="nil"/>
                <w:left w:val="nil"/>
                <w:bottom w:val="nil"/>
                <w:right w:val="nil"/>
                <w:between w:val="nil"/>
              </w:pBdr>
              <w:jc w:val="right"/>
            </w:pPr>
            <w:r>
              <w:rPr>
                <w:lang w:val="vi-VN" w:bidi="vi-VN"/>
              </w:rPr>
              <w:t>$1,865,726</w:t>
            </w:r>
          </w:p>
        </w:tc>
      </w:tr>
      <w:tr w:rsidR="00BB4760" w14:paraId="4075A9B0" w14:textId="77777777">
        <w:tc>
          <w:tcPr>
            <w:tcW w:w="3750" w:type="dxa"/>
            <w:tcMar>
              <w:top w:w="100" w:type="dxa"/>
              <w:left w:w="100" w:type="dxa"/>
              <w:bottom w:w="100" w:type="dxa"/>
              <w:right w:w="100" w:type="dxa"/>
            </w:tcMar>
          </w:tcPr>
          <w:p w14:paraId="3A28ABA2" w14:textId="77777777" w:rsidR="00BB4760" w:rsidRDefault="00F91C53">
            <w:pPr>
              <w:widowControl w:val="0"/>
              <w:pBdr>
                <w:top w:val="nil"/>
                <w:left w:val="nil"/>
                <w:bottom w:val="nil"/>
                <w:right w:val="nil"/>
                <w:between w:val="nil"/>
              </w:pBdr>
            </w:pPr>
            <w:r>
              <w:rPr>
                <w:b/>
                <w:lang w:val="vi-VN" w:bidi="vi-VN"/>
              </w:rPr>
              <w:t>Nhóm rủi ro cơ quan giáo dục địa phương</w:t>
            </w:r>
            <w:r>
              <w:rPr>
                <w:lang w:val="vi-VN" w:bidi="vi-VN"/>
              </w:rPr>
              <w:t xml:space="preserve"> (20 U.S.C.1411(e)(3)(A)): Nhằm hỗ trợ các cơ quan giáo dục địa phương (bao gồm cả trường đặc cách là cơ quan giáo dục địa phương hay một hiệp hội cơ quan giáo dục địa phương) nhằm đáp ứng nhu cầu của các học sinh cần nhiều hỗ trợ, mỗi Tiểu Bang sẽ có tùy chọn giữ lại cho mỗi năm tài khóa 10 phần trăm số tiền ngân quỹ mà Tiểu Bang dành ra cho các hoạt động Cấp Tiểu Bang theo 20 U.S.C. 1411(e)(2)(A); 34 CFR §300.704.</w:t>
            </w:r>
          </w:p>
        </w:tc>
        <w:tc>
          <w:tcPr>
            <w:tcW w:w="3405" w:type="dxa"/>
            <w:shd w:val="clear" w:color="auto" w:fill="CCCCCC"/>
            <w:tcMar>
              <w:top w:w="100" w:type="dxa"/>
              <w:left w:w="100" w:type="dxa"/>
              <w:bottom w:w="100" w:type="dxa"/>
              <w:right w:w="100" w:type="dxa"/>
            </w:tcMar>
          </w:tcPr>
          <w:p w14:paraId="454D2ADC" w14:textId="77777777" w:rsidR="00BB4760" w:rsidRDefault="00BB4760">
            <w:pPr>
              <w:widowControl w:val="0"/>
              <w:pBdr>
                <w:top w:val="nil"/>
                <w:left w:val="nil"/>
                <w:bottom w:val="nil"/>
                <w:right w:val="nil"/>
                <w:between w:val="nil"/>
              </w:pBdr>
            </w:pPr>
          </w:p>
        </w:tc>
        <w:tc>
          <w:tcPr>
            <w:tcW w:w="690" w:type="dxa"/>
            <w:shd w:val="clear" w:color="auto" w:fill="CCCCCC"/>
            <w:tcMar>
              <w:top w:w="100" w:type="dxa"/>
              <w:left w:w="100" w:type="dxa"/>
              <w:bottom w:w="100" w:type="dxa"/>
              <w:right w:w="100" w:type="dxa"/>
            </w:tcMar>
          </w:tcPr>
          <w:p w14:paraId="3C721EED" w14:textId="77777777" w:rsidR="00BB4760" w:rsidRDefault="00BB4760">
            <w:pPr>
              <w:widowControl w:val="0"/>
              <w:pBdr>
                <w:top w:val="nil"/>
                <w:left w:val="nil"/>
                <w:bottom w:val="nil"/>
                <w:right w:val="nil"/>
                <w:between w:val="nil"/>
              </w:pBdr>
            </w:pPr>
          </w:p>
        </w:tc>
        <w:tc>
          <w:tcPr>
            <w:tcW w:w="2475" w:type="dxa"/>
            <w:shd w:val="clear" w:color="auto" w:fill="CCCCCC"/>
            <w:tcMar>
              <w:top w:w="100" w:type="dxa"/>
              <w:left w:w="100" w:type="dxa"/>
              <w:bottom w:w="100" w:type="dxa"/>
              <w:right w:w="100" w:type="dxa"/>
            </w:tcMar>
          </w:tcPr>
          <w:p w14:paraId="01193E3F" w14:textId="77777777" w:rsidR="00BB4760" w:rsidRDefault="00BB4760">
            <w:pPr>
              <w:widowControl w:val="0"/>
              <w:pBdr>
                <w:top w:val="nil"/>
                <w:left w:val="nil"/>
                <w:bottom w:val="nil"/>
                <w:right w:val="nil"/>
                <w:between w:val="nil"/>
              </w:pBdr>
              <w:jc w:val="right"/>
            </w:pPr>
          </w:p>
        </w:tc>
      </w:tr>
      <w:tr w:rsidR="00BB4760" w14:paraId="36E6F7DC" w14:textId="77777777">
        <w:trPr>
          <w:trHeight w:val="1860"/>
        </w:trPr>
        <w:tc>
          <w:tcPr>
            <w:tcW w:w="3750" w:type="dxa"/>
            <w:tcMar>
              <w:top w:w="100" w:type="dxa"/>
              <w:left w:w="100" w:type="dxa"/>
              <w:bottom w:w="100" w:type="dxa"/>
              <w:right w:w="100" w:type="dxa"/>
            </w:tcMar>
          </w:tcPr>
          <w:p w14:paraId="7CFBA49E" w14:textId="77777777" w:rsidR="00BB4760" w:rsidRDefault="00F91C53">
            <w:pPr>
              <w:widowControl w:val="0"/>
              <w:pBdr>
                <w:top w:val="nil"/>
                <w:left w:val="nil"/>
                <w:bottom w:val="nil"/>
                <w:right w:val="nil"/>
                <w:between w:val="nil"/>
              </w:pBdr>
            </w:pPr>
            <w:r>
              <w:rPr>
                <w:lang w:val="vi-VN" w:bidi="vi-VN"/>
              </w:rPr>
              <w:t>Để thiết lập và giải ngân từ ngân quỹ chi phí cao cho các cơ quan giáo dục đặc biệt theo 20U.S.C.1411(e)(3) trong năm tài khóa đầu tiên và các năm tài khóa tiếp theo của ngân quỹ chi phí cao; và</w:t>
            </w:r>
          </w:p>
        </w:tc>
        <w:tc>
          <w:tcPr>
            <w:tcW w:w="3405" w:type="dxa"/>
            <w:tcMar>
              <w:top w:w="100" w:type="dxa"/>
              <w:left w:w="100" w:type="dxa"/>
              <w:bottom w:w="100" w:type="dxa"/>
              <w:right w:w="100" w:type="dxa"/>
            </w:tcMar>
          </w:tcPr>
          <w:p w14:paraId="5CE74B57" w14:textId="77777777" w:rsidR="00BB4760" w:rsidRDefault="00F91C53">
            <w:pPr>
              <w:widowControl w:val="0"/>
              <w:numPr>
                <w:ilvl w:val="0"/>
                <w:numId w:val="4"/>
              </w:numPr>
              <w:pBdr>
                <w:top w:val="nil"/>
                <w:left w:val="nil"/>
                <w:bottom w:val="nil"/>
                <w:right w:val="nil"/>
                <w:between w:val="nil"/>
              </w:pBdr>
            </w:pPr>
            <w:r>
              <w:rPr>
                <w:lang w:val="vi-VN" w:bidi="vi-VN"/>
              </w:rPr>
              <w:t>Quỹ chi phí cao để hỗ trợ các chi phí bổ sung gắn liền với học sinh có nhu cầu phức tạp</w:t>
            </w:r>
          </w:p>
        </w:tc>
        <w:tc>
          <w:tcPr>
            <w:tcW w:w="690" w:type="dxa"/>
            <w:tcMar>
              <w:top w:w="100" w:type="dxa"/>
              <w:left w:w="100" w:type="dxa"/>
              <w:bottom w:w="100" w:type="dxa"/>
              <w:right w:w="100" w:type="dxa"/>
            </w:tcMar>
          </w:tcPr>
          <w:p w14:paraId="304231E2" w14:textId="77777777" w:rsidR="00BB4760" w:rsidRDefault="00F91C53">
            <w:pPr>
              <w:widowControl w:val="0"/>
              <w:pBdr>
                <w:top w:val="nil"/>
                <w:left w:val="nil"/>
                <w:bottom w:val="nil"/>
                <w:right w:val="nil"/>
                <w:between w:val="nil"/>
              </w:pBdr>
            </w:pPr>
            <w:r>
              <w:rPr>
                <w:lang w:val="vi-VN" w:bidi="vi-VN"/>
              </w:rPr>
              <w:t>u.</w:t>
            </w:r>
          </w:p>
        </w:tc>
        <w:tc>
          <w:tcPr>
            <w:tcW w:w="2475" w:type="dxa"/>
            <w:tcMar>
              <w:top w:w="100" w:type="dxa"/>
              <w:left w:w="100" w:type="dxa"/>
              <w:bottom w:w="100" w:type="dxa"/>
              <w:right w:w="100" w:type="dxa"/>
            </w:tcMar>
          </w:tcPr>
          <w:p w14:paraId="76806671" w14:textId="77777777" w:rsidR="00BB4760" w:rsidRDefault="00F91C53">
            <w:pPr>
              <w:widowControl w:val="0"/>
              <w:pBdr>
                <w:top w:val="nil"/>
                <w:left w:val="nil"/>
                <w:bottom w:val="nil"/>
                <w:right w:val="nil"/>
                <w:between w:val="nil"/>
              </w:pBdr>
              <w:jc w:val="right"/>
            </w:pPr>
            <w:r>
              <w:rPr>
                <w:lang w:val="vi-VN" w:bidi="vi-VN"/>
              </w:rPr>
              <w:t>$4.400.000</w:t>
            </w:r>
          </w:p>
        </w:tc>
      </w:tr>
      <w:tr w:rsidR="00BB4760" w14:paraId="3F7BCB61" w14:textId="77777777">
        <w:tc>
          <w:tcPr>
            <w:tcW w:w="3750" w:type="dxa"/>
            <w:tcMar>
              <w:top w:w="100" w:type="dxa"/>
              <w:left w:w="100" w:type="dxa"/>
              <w:bottom w:w="100" w:type="dxa"/>
              <w:right w:w="100" w:type="dxa"/>
            </w:tcMar>
          </w:tcPr>
          <w:p w14:paraId="55BF81AC" w14:textId="77777777" w:rsidR="00BB4760" w:rsidRDefault="00F91C53">
            <w:pPr>
              <w:widowControl w:val="0"/>
              <w:pBdr>
                <w:top w:val="nil"/>
                <w:left w:val="nil"/>
                <w:bottom w:val="nil"/>
                <w:right w:val="nil"/>
                <w:between w:val="nil"/>
              </w:pBdr>
            </w:pPr>
            <w:r>
              <w:rPr>
                <w:lang w:val="vi-VN" w:bidi="vi-VN"/>
              </w:rPr>
              <w:t xml:space="preserve">Để hỗ trợ các cách thức đổi mới và hiệu quả về chia sẻ chi phí bởi Tiểu Bang, bởi một cơ quan giáo dục địa phương, hay giữa một hiệp hội các cơ quan giáo dục địa phương, </w:t>
            </w:r>
          </w:p>
          <w:p w14:paraId="2EDE79A7" w14:textId="77777777" w:rsidR="00BB4760" w:rsidRDefault="00F91C53">
            <w:pPr>
              <w:widowControl w:val="0"/>
              <w:pBdr>
                <w:top w:val="nil"/>
                <w:left w:val="nil"/>
                <w:bottom w:val="nil"/>
                <w:right w:val="nil"/>
                <w:between w:val="nil"/>
              </w:pBdr>
            </w:pPr>
            <w:r>
              <w:rPr>
                <w:lang w:val="vi-VN" w:bidi="vi-VN"/>
              </w:rPr>
              <w:t>cơ quan, theo quyết định của Nhà nước phối hợp với đại diện các cơ quan giáo dục địa phương, tuân theo 20U.S.C. 1411(e)(3)(B)(ii) [Số tiền có thể không quá 5% số tiền dành riêng cho Nhóm Rủi ro LEA.].</w:t>
            </w:r>
          </w:p>
        </w:tc>
        <w:tc>
          <w:tcPr>
            <w:tcW w:w="3405" w:type="dxa"/>
            <w:tcMar>
              <w:top w:w="100" w:type="dxa"/>
              <w:left w:w="100" w:type="dxa"/>
              <w:bottom w:w="100" w:type="dxa"/>
              <w:right w:w="100" w:type="dxa"/>
            </w:tcMar>
          </w:tcPr>
          <w:p w14:paraId="27EDD12A" w14:textId="77777777" w:rsidR="00BB4760" w:rsidRDefault="00BB4760">
            <w:pPr>
              <w:widowControl w:val="0"/>
              <w:pBdr>
                <w:top w:val="nil"/>
                <w:left w:val="nil"/>
                <w:bottom w:val="nil"/>
                <w:right w:val="nil"/>
                <w:between w:val="nil"/>
              </w:pBdr>
            </w:pPr>
          </w:p>
        </w:tc>
        <w:tc>
          <w:tcPr>
            <w:tcW w:w="690" w:type="dxa"/>
            <w:tcMar>
              <w:top w:w="100" w:type="dxa"/>
              <w:left w:w="100" w:type="dxa"/>
              <w:bottom w:w="100" w:type="dxa"/>
              <w:right w:w="100" w:type="dxa"/>
            </w:tcMar>
          </w:tcPr>
          <w:p w14:paraId="697DF566" w14:textId="77777777" w:rsidR="00BB4760" w:rsidRDefault="00F91C53">
            <w:pPr>
              <w:widowControl w:val="0"/>
              <w:pBdr>
                <w:top w:val="nil"/>
                <w:left w:val="nil"/>
                <w:bottom w:val="nil"/>
                <w:right w:val="nil"/>
                <w:between w:val="nil"/>
              </w:pBdr>
            </w:pPr>
            <w:r>
              <w:rPr>
                <w:lang w:val="vi-VN" w:bidi="vi-VN"/>
              </w:rPr>
              <w:t>v.</w:t>
            </w:r>
          </w:p>
        </w:tc>
        <w:tc>
          <w:tcPr>
            <w:tcW w:w="2475" w:type="dxa"/>
            <w:tcMar>
              <w:top w:w="100" w:type="dxa"/>
              <w:left w:w="100" w:type="dxa"/>
              <w:bottom w:w="100" w:type="dxa"/>
              <w:right w:w="100" w:type="dxa"/>
            </w:tcMar>
          </w:tcPr>
          <w:p w14:paraId="203C2C4A" w14:textId="77777777" w:rsidR="00BB4760" w:rsidRDefault="00F91C53">
            <w:pPr>
              <w:widowControl w:val="0"/>
              <w:pBdr>
                <w:top w:val="nil"/>
                <w:left w:val="nil"/>
                <w:bottom w:val="nil"/>
                <w:right w:val="nil"/>
                <w:between w:val="nil"/>
              </w:pBdr>
              <w:jc w:val="right"/>
            </w:pPr>
            <w:r>
              <w:rPr>
                <w:lang w:val="vi-VN" w:bidi="vi-VN"/>
              </w:rPr>
              <w:t>$0</w:t>
            </w:r>
          </w:p>
        </w:tc>
      </w:tr>
      <w:tr w:rsidR="00BB4760" w14:paraId="29E9AB0F" w14:textId="77777777">
        <w:tc>
          <w:tcPr>
            <w:tcW w:w="3750" w:type="dxa"/>
            <w:tcMar>
              <w:top w:w="100" w:type="dxa"/>
              <w:left w:w="100" w:type="dxa"/>
              <w:bottom w:w="100" w:type="dxa"/>
              <w:right w:w="100" w:type="dxa"/>
            </w:tcMar>
          </w:tcPr>
          <w:p w14:paraId="0B36206F" w14:textId="77777777" w:rsidR="00BB4760" w:rsidRDefault="00F91C53">
            <w:pPr>
              <w:widowControl w:val="0"/>
              <w:pBdr>
                <w:top w:val="nil"/>
                <w:left w:val="nil"/>
                <w:bottom w:val="nil"/>
                <w:right w:val="nil"/>
                <w:between w:val="nil"/>
              </w:pBdr>
            </w:pPr>
            <w:r>
              <w:rPr>
                <w:lang w:val="vi-VN" w:bidi="vi-VN"/>
              </w:rPr>
              <w:t>Thiết lập Quỹ Chi Phí Cao (20 U.S.C.1411(e)(3)(B)(i);34 CFR§300.704)</w:t>
            </w:r>
          </w:p>
        </w:tc>
        <w:tc>
          <w:tcPr>
            <w:tcW w:w="3405" w:type="dxa"/>
            <w:shd w:val="clear" w:color="auto" w:fill="CCCCCC"/>
            <w:tcMar>
              <w:top w:w="100" w:type="dxa"/>
              <w:left w:w="100" w:type="dxa"/>
              <w:bottom w:w="100" w:type="dxa"/>
              <w:right w:w="100" w:type="dxa"/>
            </w:tcMar>
          </w:tcPr>
          <w:p w14:paraId="3686EDC9" w14:textId="77777777" w:rsidR="00BB4760" w:rsidRDefault="00BB4760">
            <w:pPr>
              <w:widowControl w:val="0"/>
              <w:pBdr>
                <w:top w:val="nil"/>
                <w:left w:val="nil"/>
                <w:bottom w:val="nil"/>
                <w:right w:val="nil"/>
                <w:between w:val="nil"/>
              </w:pBdr>
            </w:pPr>
          </w:p>
        </w:tc>
        <w:tc>
          <w:tcPr>
            <w:tcW w:w="690" w:type="dxa"/>
            <w:shd w:val="clear" w:color="auto" w:fill="CCCCCC"/>
            <w:tcMar>
              <w:top w:w="100" w:type="dxa"/>
              <w:left w:w="100" w:type="dxa"/>
              <w:bottom w:w="100" w:type="dxa"/>
              <w:right w:w="100" w:type="dxa"/>
            </w:tcMar>
          </w:tcPr>
          <w:p w14:paraId="715CF8FB" w14:textId="77777777" w:rsidR="00BB4760" w:rsidRDefault="00BB4760">
            <w:pPr>
              <w:widowControl w:val="0"/>
              <w:pBdr>
                <w:top w:val="nil"/>
                <w:left w:val="nil"/>
                <w:bottom w:val="nil"/>
                <w:right w:val="nil"/>
                <w:between w:val="nil"/>
              </w:pBdr>
            </w:pPr>
          </w:p>
        </w:tc>
        <w:tc>
          <w:tcPr>
            <w:tcW w:w="2475" w:type="dxa"/>
            <w:shd w:val="clear" w:color="auto" w:fill="CCCCCC"/>
            <w:tcMar>
              <w:top w:w="100" w:type="dxa"/>
              <w:left w:w="100" w:type="dxa"/>
              <w:bottom w:w="100" w:type="dxa"/>
              <w:right w:w="100" w:type="dxa"/>
            </w:tcMar>
          </w:tcPr>
          <w:p w14:paraId="16C8A188" w14:textId="77777777" w:rsidR="00BB4760" w:rsidRDefault="00BB4760">
            <w:pPr>
              <w:widowControl w:val="0"/>
              <w:pBdr>
                <w:top w:val="nil"/>
                <w:left w:val="nil"/>
                <w:bottom w:val="nil"/>
                <w:right w:val="nil"/>
                <w:between w:val="nil"/>
              </w:pBdr>
            </w:pPr>
          </w:p>
        </w:tc>
      </w:tr>
      <w:tr w:rsidR="00BB4760" w14:paraId="418DCBCC" w14:textId="77777777">
        <w:tc>
          <w:tcPr>
            <w:tcW w:w="3750" w:type="dxa"/>
            <w:tcMar>
              <w:top w:w="100" w:type="dxa"/>
              <w:left w:w="100" w:type="dxa"/>
              <w:bottom w:w="100" w:type="dxa"/>
              <w:right w:w="100" w:type="dxa"/>
            </w:tcMar>
          </w:tcPr>
          <w:p w14:paraId="04543153" w14:textId="77777777" w:rsidR="00BB4760" w:rsidRDefault="00F91C53">
            <w:pPr>
              <w:widowControl w:val="0"/>
              <w:pBdr>
                <w:top w:val="nil"/>
                <w:left w:val="nil"/>
                <w:bottom w:val="nil"/>
                <w:right w:val="nil"/>
                <w:between w:val="nil"/>
              </w:pBdr>
            </w:pPr>
            <w:r>
              <w:rPr>
                <w:lang w:val="vi-VN" w:bidi="vi-VN"/>
              </w:rPr>
              <w:t xml:space="preserve">Một Tiểu Bang không được sử dụng bất kỳ phần ngân quỹ nào mà Tiểu Bang đó </w:t>
            </w:r>
            <w:r>
              <w:rPr>
                <w:lang w:val="vi-VN" w:bidi="vi-VN"/>
              </w:rPr>
              <w:lastRenderedPageBreak/>
              <w:t>giữ lại theo 20 U.S.C.1411(e)(3)(A)(i); 34 CFR §300.704, nhưng có thể sử dụng các ngân quỹ mà Tiểu Bang đó giữ lại theo 20 U.S.C. 1411(e)(1);34 CFR §300.704,thành lập và hỗ trợ quỹ chi phí cao.</w:t>
            </w:r>
          </w:p>
        </w:tc>
        <w:tc>
          <w:tcPr>
            <w:tcW w:w="3405" w:type="dxa"/>
            <w:shd w:val="clear" w:color="auto" w:fill="CCCCCC"/>
            <w:tcMar>
              <w:top w:w="100" w:type="dxa"/>
              <w:left w:w="100" w:type="dxa"/>
              <w:bottom w:w="100" w:type="dxa"/>
              <w:right w:w="100" w:type="dxa"/>
            </w:tcMar>
          </w:tcPr>
          <w:p w14:paraId="2CF4EC95" w14:textId="77777777" w:rsidR="00BB4760" w:rsidRDefault="00BB4760">
            <w:pPr>
              <w:widowControl w:val="0"/>
              <w:pBdr>
                <w:top w:val="nil"/>
                <w:left w:val="nil"/>
                <w:bottom w:val="nil"/>
                <w:right w:val="nil"/>
                <w:between w:val="nil"/>
              </w:pBdr>
            </w:pPr>
          </w:p>
        </w:tc>
        <w:tc>
          <w:tcPr>
            <w:tcW w:w="690" w:type="dxa"/>
            <w:shd w:val="clear" w:color="auto" w:fill="CCCCCC"/>
            <w:tcMar>
              <w:top w:w="100" w:type="dxa"/>
              <w:left w:w="100" w:type="dxa"/>
              <w:bottom w:w="100" w:type="dxa"/>
              <w:right w:w="100" w:type="dxa"/>
            </w:tcMar>
          </w:tcPr>
          <w:p w14:paraId="4B24E925" w14:textId="77777777" w:rsidR="00BB4760" w:rsidRDefault="00BB4760">
            <w:pPr>
              <w:widowControl w:val="0"/>
              <w:pBdr>
                <w:top w:val="nil"/>
                <w:left w:val="nil"/>
                <w:bottom w:val="nil"/>
                <w:right w:val="nil"/>
                <w:between w:val="nil"/>
              </w:pBdr>
            </w:pPr>
          </w:p>
        </w:tc>
        <w:tc>
          <w:tcPr>
            <w:tcW w:w="2475" w:type="dxa"/>
            <w:shd w:val="clear" w:color="auto" w:fill="CCCCCC"/>
            <w:tcMar>
              <w:top w:w="100" w:type="dxa"/>
              <w:left w:w="100" w:type="dxa"/>
              <w:bottom w:w="100" w:type="dxa"/>
              <w:right w:w="100" w:type="dxa"/>
            </w:tcMar>
          </w:tcPr>
          <w:p w14:paraId="62110230" w14:textId="77777777" w:rsidR="00BB4760" w:rsidRDefault="00BB4760">
            <w:pPr>
              <w:widowControl w:val="0"/>
              <w:pBdr>
                <w:top w:val="nil"/>
                <w:left w:val="nil"/>
                <w:bottom w:val="nil"/>
                <w:right w:val="nil"/>
                <w:between w:val="nil"/>
              </w:pBdr>
            </w:pPr>
          </w:p>
        </w:tc>
      </w:tr>
    </w:tbl>
    <w:p w14:paraId="77D01B36" w14:textId="77777777" w:rsidR="00BB4760" w:rsidRDefault="00BB4760">
      <w:bookmarkStart w:id="4" w:name="_6kpmys74hr9e" w:colFirst="0" w:colLast="0"/>
      <w:bookmarkEnd w:id="4"/>
    </w:p>
    <w:sectPr w:rsidR="00BB4760">
      <w:headerReference w:type="default" r:id="rId8"/>
      <w:footerReference w:type="default" r:id="rId9"/>
      <w:pgSz w:w="12240" w:h="15840"/>
      <w:pgMar w:top="21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B095C" w14:textId="77777777" w:rsidR="00F91C53" w:rsidRDefault="00F91C53">
      <w:r>
        <w:separator/>
      </w:r>
    </w:p>
  </w:endnote>
  <w:endnote w:type="continuationSeparator" w:id="0">
    <w:p w14:paraId="438176E5" w14:textId="77777777" w:rsidR="00F91C53" w:rsidRDefault="00F9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06B1" w14:textId="77777777" w:rsidR="00BB4760" w:rsidRDefault="00BB4760">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0D91D" w14:textId="77777777" w:rsidR="00F91C53" w:rsidRDefault="00F91C53">
      <w:r>
        <w:separator/>
      </w:r>
    </w:p>
  </w:footnote>
  <w:footnote w:type="continuationSeparator" w:id="0">
    <w:p w14:paraId="647B1FC3" w14:textId="77777777" w:rsidR="00F91C53" w:rsidRDefault="00F91C53">
      <w:r>
        <w:continuationSeparator/>
      </w:r>
    </w:p>
  </w:footnote>
  <w:footnote w:id="1">
    <w:p w14:paraId="25FA2E17" w14:textId="77777777" w:rsidR="00BB4760" w:rsidRDefault="00F91C53">
      <w:pPr>
        <w:rPr>
          <w:sz w:val="20"/>
          <w:szCs w:val="20"/>
        </w:rPr>
      </w:pPr>
      <w:r>
        <w:rPr>
          <w:vertAlign w:val="superscript"/>
          <w:lang w:val="vi-VN" w:bidi="vi-VN"/>
        </w:rPr>
        <w:footnoteRef/>
      </w:r>
      <w:r>
        <w:rPr>
          <w:sz w:val="20"/>
          <w:szCs w:val="20"/>
          <w:lang w:val="vi-VN" w:bidi="vi-VN"/>
        </w:rPr>
        <w:t xml:space="preserve"> </w:t>
      </w:r>
      <w:hyperlink r:id="rId1">
        <w:r>
          <w:rPr>
            <w:color w:val="1155CC"/>
            <w:sz w:val="20"/>
            <w:szCs w:val="20"/>
            <w:u w:val="single"/>
            <w:lang w:val="vi-VN" w:bidi="vi-VN"/>
          </w:rPr>
          <w:t>Lời kêu gọi TA Toàn quốc OSEP, ngày 10 tháng Hai, 2022</w:t>
        </w:r>
      </w:hyperlink>
      <w:hyperlink r:id="rId2">
        <w:r>
          <w:rPr>
            <w:color w:val="1155CC"/>
            <w:sz w:val="20"/>
            <w:szCs w:val="20"/>
            <w:u w:val="single"/>
            <w:lang w:val="vi-VN" w:bidi="vi-VN"/>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35F4F" w14:textId="77777777" w:rsidR="00BB4760" w:rsidRDefault="00F91C53">
    <w:pPr>
      <w:pBdr>
        <w:top w:val="nil"/>
        <w:left w:val="nil"/>
        <w:bottom w:val="nil"/>
        <w:right w:val="nil"/>
        <w:between w:val="nil"/>
      </w:pBdr>
      <w:tabs>
        <w:tab w:val="center" w:pos="4680"/>
        <w:tab w:val="right" w:pos="9360"/>
      </w:tabs>
      <w:rPr>
        <w:color w:val="000000"/>
      </w:rPr>
    </w:pPr>
    <w:r>
      <w:rPr>
        <w:noProof/>
        <w:color w:val="000000"/>
        <w:lang w:val="vi-VN" w:bidi="vi-VN"/>
      </w:rPr>
      <w:drawing>
        <wp:inline distT="0" distB="0" distL="0" distR="0" wp14:anchorId="18F75015" wp14:editId="62C7E7FB">
          <wp:extent cx="6858000" cy="701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701040"/>
                  </a:xfrm>
                  <a:prstGeom prst="rect">
                    <a:avLst/>
                  </a:prstGeom>
                  <a:ln/>
                </pic:spPr>
              </pic:pic>
            </a:graphicData>
          </a:graphic>
        </wp:inline>
      </w:drawing>
    </w:r>
    <w:r>
      <w:rPr>
        <w:noProof/>
        <w:color w:val="000000"/>
        <w:lang w:val="vi-VN" w:bidi="vi-VN"/>
      </w:rPr>
      <mc:AlternateContent>
        <mc:Choice Requires="wps">
          <w:drawing>
            <wp:anchor distT="0" distB="0" distL="0" distR="0" simplePos="0" relativeHeight="251658240" behindDoc="0" locked="0" layoutInCell="1" hidden="0" allowOverlap="1" wp14:anchorId="2A1B646C" wp14:editId="77E84DB6">
              <wp:simplePos x="0" y="0"/>
              <wp:positionH relativeFrom="column">
                <wp:posOffset>2181225</wp:posOffset>
              </wp:positionH>
              <wp:positionV relativeFrom="paragraph">
                <wp:posOffset>28575</wp:posOffset>
              </wp:positionV>
              <wp:extent cx="4762500" cy="638649"/>
              <wp:effectExtent l="0" t="0" r="0" b="0"/>
              <wp:wrapNone/>
              <wp:docPr id="1" name="Rectangle 1"/>
              <wp:cNvGraphicFramePr/>
              <a:graphic xmlns:a="http://schemas.openxmlformats.org/drawingml/2006/main">
                <a:graphicData uri="http://schemas.microsoft.com/office/word/2010/wordprocessingShape">
                  <wps:wsp>
                    <wps:cNvSpPr/>
                    <wps:spPr>
                      <a:xfrm>
                        <a:off x="2868230" y="3455515"/>
                        <a:ext cx="4955540" cy="648970"/>
                      </a:xfrm>
                      <a:prstGeom prst="rect">
                        <a:avLst/>
                      </a:prstGeom>
                      <a:noFill/>
                      <a:ln>
                        <a:noFill/>
                      </a:ln>
                    </wps:spPr>
                    <wps:txbx>
                      <w:txbxContent>
                        <w:p w14:paraId="2CFD8B47" w14:textId="77777777" w:rsidR="00BB4760" w:rsidRDefault="00F91C53">
                          <w:pPr>
                            <w:jc w:val="right"/>
                            <w:textDirection w:val="btLr"/>
                          </w:pPr>
                          <w:r>
                            <w:rPr>
                              <w:b/>
                              <w:color w:val="000000"/>
                              <w:sz w:val="28"/>
                              <w:lang w:val="vi-VN" w:bidi="vi-VN"/>
                            </w:rPr>
                            <w:t>Các Hoạt Động Đơn Xin Nhận Tài Trợ IDEA FFY 22 IDEA</w:t>
                          </w:r>
                        </w:p>
                      </w:txbxContent>
                    </wps:txbx>
                    <wps:bodyPr spcFirstLastPara="1" wrap="square" lIns="91425" tIns="45700" rIns="91425" bIns="45700" anchor="b" anchorCtr="0">
                      <a:noAutofit/>
                    </wps:bodyPr>
                  </wps:wsp>
                </a:graphicData>
              </a:graphic>
            </wp:anchor>
          </w:drawing>
        </mc:Choice>
        <mc:Fallback>
          <w:pict>
            <v:rect w14:anchorId="2A1B646C" id="Rectangle 1" o:spid="_x0000_s1026" style="position:absolute;margin-left:171.75pt;margin-top:2.25pt;width:375pt;height:50.3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" filled="f" stroked="f">
              <v:textbox inset="2.53958mm,1.2694mm,2.53958mm,1.2694mm">
                <w:txbxContent>
                  <w:p w14:paraId="2CFD8B47" w14:textId="77777777" w:rsidR="00BB4760" w:rsidRDefault="00F91C53">
                    <w:pPr>
                      <w:jc w:val="right"/>
                      <w:textDirection w:val="btLr"/>
                    </w:pPr>
                    <w:r>
                      <w:rPr>
                        <w:b/>
                        <w:color w:val="000000"/>
                        <w:sz w:val="28"/>
                        <w:lang w:val="vi-VN" w:bidi="vi-VN"/>
                      </w:rPr>
                      <w:t>Các Hoạt Động Đơn Xin Nhận Tài Trợ IDEA FFY 22 IDEA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013"/>
    <w:multiLevelType w:val="multilevel"/>
    <w:tmpl w:val="97C25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D7BFF"/>
    <w:multiLevelType w:val="multilevel"/>
    <w:tmpl w:val="6B144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57610"/>
    <w:multiLevelType w:val="multilevel"/>
    <w:tmpl w:val="312E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70274"/>
    <w:multiLevelType w:val="multilevel"/>
    <w:tmpl w:val="9162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5227F5"/>
    <w:multiLevelType w:val="multilevel"/>
    <w:tmpl w:val="2BB29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A63CED"/>
    <w:multiLevelType w:val="multilevel"/>
    <w:tmpl w:val="0BA63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31646B"/>
    <w:multiLevelType w:val="multilevel"/>
    <w:tmpl w:val="71EE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BD490E"/>
    <w:multiLevelType w:val="multilevel"/>
    <w:tmpl w:val="C590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207FAA"/>
    <w:multiLevelType w:val="multilevel"/>
    <w:tmpl w:val="06241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D010DD"/>
    <w:multiLevelType w:val="multilevel"/>
    <w:tmpl w:val="50C61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9"/>
  </w:num>
  <w:num w:numId="5">
    <w:abstractNumId w:val="0"/>
  </w:num>
  <w:num w:numId="6">
    <w:abstractNumId w:val="2"/>
  </w:num>
  <w:num w:numId="7">
    <w:abstractNumId w:val="4"/>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60"/>
    <w:rsid w:val="004F3126"/>
    <w:rsid w:val="00BB4760"/>
    <w:rsid w:val="00DE2378"/>
    <w:rsid w:val="00F9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76A3"/>
  <w15:docId w15:val="{C7735DE6-C9E1-498F-B778-8871945C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uisianabelieves.com/docs/default-source/louisiana-believes/believe-to-achieve-educational-priori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sepideasthatwork.org/sites/default/files/January%202021%20MSIP%20National%20TA%20Call.pdf" TargetMode="External"/><Relationship Id="rId1" Type="http://schemas.openxmlformats.org/officeDocument/2006/relationships/hyperlink" Target="https://osepideasthatwork.org/sites/default/files/2.10_MSIP_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Jordan</dc:creator>
  <cp:lastModifiedBy>Administrator</cp:lastModifiedBy>
  <cp:revision>2</cp:revision>
  <dcterms:created xsi:type="dcterms:W3CDTF">2022-03-24T10:43:00Z</dcterms:created>
  <dcterms:modified xsi:type="dcterms:W3CDTF">2022-03-24T10:43:00Z</dcterms:modified>
</cp:coreProperties>
</file>