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200" w:line="240" w:lineRule="auto"/>
        <w:rPr>
          <w:rFonts w:ascii="Public Sans" w:cs="Public Sans" w:eastAsia="Public Sans" w:hAnsi="Public Sans"/>
          <w:color w:val="4e4e51"/>
          <w:sz w:val="20"/>
          <w:szCs w:val="20"/>
        </w:rPr>
      </w:pPr>
      <w:bookmarkStart w:colFirst="0" w:colLast="0" w:name="_7eke042h1yyy" w:id="0"/>
      <w:bookmarkEnd w:id="0"/>
      <w:r w:rsidDel="00000000" w:rsidR="00000000" w:rsidRPr="00000000">
        <w:rPr>
          <w:rFonts w:ascii="Public Sans" w:cs="Public Sans" w:eastAsia="Public Sans" w:hAnsi="Public Sans"/>
          <w:b w:val="1"/>
          <w:bCs w:val="1"/>
          <w:color w:val="4e4e51"/>
          <w:sz w:val="20"/>
          <w:szCs w:val="20"/>
          <w:rtl w:val="0"/>
        </w:rPr>
        <w:t xml:space="preserve">FOR IMMEDIATE RELEASE </w:t>
      </w:r>
      <w:r w:rsidDel="00000000" w:rsidR="00000000" w:rsidRPr="00000000">
        <w:rPr>
          <w:rFonts w:ascii="Public Sans" w:cs="Public Sans" w:eastAsia="Public Sans" w:hAnsi="Public Sans"/>
          <w:color w:val="4e4e51"/>
          <w:sz w:val="20"/>
          <w:szCs w:val="20"/>
          <w:rtl w:val="0"/>
        </w:rPr>
        <w:t xml:space="preserve">|</w:t>
      </w:r>
      <w:r w:rsidDel="00000000" w:rsidR="00000000" w:rsidRPr="00000000">
        <w:rPr>
          <w:rFonts w:ascii="Public Sans" w:cs="Public Sans" w:eastAsia="Public Sans" w:hAnsi="Public Sans"/>
          <w:b w:val="1"/>
          <w:bCs w:val="1"/>
          <w:color w:val="4e4e51"/>
          <w:sz w:val="20"/>
          <w:szCs w:val="20"/>
          <w:rtl w:val="0"/>
        </w:rPr>
        <w:t xml:space="preserve"> </w:t>
      </w:r>
      <w:r w:rsidDel="00000000" w:rsidR="00000000" w:rsidRPr="00000000">
        <w:rPr>
          <w:rFonts w:ascii="Public Sans" w:cs="Public Sans" w:eastAsia="Public Sans" w:hAnsi="Public Sans"/>
          <w:color w:val="4e4e51"/>
          <w:sz w:val="20"/>
          <w:szCs w:val="20"/>
          <w:rtl w:val="0"/>
        </w:rPr>
        <w:t xml:space="preserve">XX/XX/25</w:t>
      </w:r>
      <w:r w:rsidDel="00000000" w:rsidR="00000000" w:rsidRPr="00000000">
        <w:rPr>
          <w:rFonts w:ascii="Public Sans" w:cs="Public Sans" w:eastAsia="Public Sans" w:hAnsi="Public Sans"/>
          <w:color w:val="4e4e51"/>
          <w:sz w:val="20"/>
          <w:szCs w:val="20"/>
          <w:rtl w:val="0"/>
        </w:rPr>
        <w:br w:type="textWrapping"/>
        <w:t xml:space="preserve">Media Contact: </w:t>
      </w:r>
      <w:r w:rsidDel="00000000" w:rsidR="00000000" w:rsidRPr="00000000">
        <w:rPr>
          <w:rFonts w:ascii="Public Sans" w:cs="Public Sans" w:eastAsia="Public Sans" w:hAnsi="Public Sans"/>
          <w:color w:val="4e4e51"/>
          <w:sz w:val="20"/>
          <w:szCs w:val="20"/>
          <w:rtl w:val="0"/>
        </w:rPr>
        <w:t xml:space="preserve">[INSERT NAME]</w:t>
      </w:r>
    </w:p>
    <w:p w:rsidR="00000000" w:rsidDel="00000000" w:rsidP="00000000" w:rsidRDefault="00000000" w:rsidRPr="00000000" w14:paraId="00000002">
      <w:pPr>
        <w:spacing w:after="200" w:line="288" w:lineRule="auto"/>
        <w:jc w:val="center"/>
        <w:rPr>
          <w:rFonts w:ascii="Public Sans" w:cs="Public Sans" w:eastAsia="Public Sans" w:hAnsi="Public Sans"/>
          <w:i w:val="1"/>
          <w:iCs w:val="1"/>
          <w:color w:val="4e4e51"/>
          <w:sz w:val="24"/>
          <w:szCs w:val="24"/>
        </w:rPr>
      </w:pPr>
      <w:r w:rsidDel="00000000" w:rsidR="00000000" w:rsidRPr="00000000">
        <w:pict>
          <v:rect style="width:0.0pt;height:1.5pt" o:hr="t" o:hrstd="t" o:hralign="center" fillcolor="#A0A0A0" stroked="f"/>
        </w:pict>
      </w:r>
      <w:r w:rsidDel="00000000" w:rsidR="00000000" w:rsidRPr="00000000">
        <w:rPr>
          <w:rFonts w:ascii="Public Sans" w:cs="Public Sans" w:eastAsia="Public Sans" w:hAnsi="Public Sans"/>
          <w:b w:val="1"/>
          <w:bCs w:val="1"/>
          <w:color w:val="4e4e51"/>
          <w:sz w:val="28"/>
          <w:szCs w:val="28"/>
          <w:rtl w:val="0"/>
        </w:rPr>
        <w:t xml:space="preserve">[</w:t>
      </w:r>
      <w:r w:rsidDel="00000000" w:rsidR="00000000" w:rsidRPr="00000000">
        <w:rPr>
          <w:rFonts w:ascii="Public Sans" w:cs="Public Sans" w:eastAsia="Public Sans" w:hAnsi="Public Sans"/>
          <w:b w:val="1"/>
          <w:bCs w:val="1"/>
          <w:color w:val="4e4e51"/>
          <w:sz w:val="28"/>
          <w:szCs w:val="28"/>
          <w:rtl w:val="0"/>
        </w:rPr>
        <w:t xml:space="preserve">System Name</w:t>
      </w:r>
      <w:r w:rsidDel="00000000" w:rsidR="00000000" w:rsidRPr="00000000">
        <w:rPr>
          <w:rFonts w:ascii="Public Sans" w:cs="Public Sans" w:eastAsia="Public Sans" w:hAnsi="Public Sans"/>
          <w:b w:val="1"/>
          <w:bCs w:val="1"/>
          <w:color w:val="4e4e51"/>
          <w:sz w:val="28"/>
          <w:szCs w:val="28"/>
          <w:rtl w:val="0"/>
        </w:rPr>
        <w:t xml:space="preserve">] ANNOUNCES </w:t>
        <w:br w:type="textWrapping"/>
        <w:t xml:space="preserve">2024-2025 SCHOOL PERFORMANCE SCORES </w:t>
        <w:br w:type="textWrapping"/>
      </w:r>
      <w:r w:rsidDel="00000000" w:rsidR="00000000" w:rsidRPr="00000000">
        <w:rPr>
          <w:rFonts w:ascii="Public Sans" w:cs="Public Sans" w:eastAsia="Public Sans" w:hAnsi="Public Sans"/>
          <w:i w:val="1"/>
          <w:iCs w:val="1"/>
          <w:color w:val="4e4e51"/>
          <w:sz w:val="24"/>
          <w:szCs w:val="24"/>
          <w:rtl w:val="0"/>
        </w:rPr>
        <w:t xml:space="preserve">[</w:t>
      </w:r>
      <w:r w:rsidDel="00000000" w:rsidR="00000000" w:rsidRPr="00000000">
        <w:rPr>
          <w:rFonts w:ascii="Public Sans" w:cs="Public Sans" w:eastAsia="Public Sans" w:hAnsi="Public Sans"/>
          <w:i w:val="1"/>
          <w:iCs w:val="1"/>
          <w:color w:val="4e4e51"/>
          <w:sz w:val="24"/>
          <w:szCs w:val="24"/>
          <w:rtl w:val="0"/>
        </w:rPr>
        <w:t xml:space="preserve">Insert relevant sub title based off of scores</w:t>
      </w:r>
      <w:r w:rsidDel="00000000" w:rsidR="00000000" w:rsidRPr="00000000">
        <w:rPr>
          <w:rFonts w:ascii="Public Sans" w:cs="Public Sans" w:eastAsia="Public Sans" w:hAnsi="Public Sans"/>
          <w:i w:val="1"/>
          <w:iCs w:val="1"/>
          <w:color w:val="4e4e51"/>
          <w:sz w:val="24"/>
          <w:szCs w:val="24"/>
          <w:rtl w:val="0"/>
        </w:rPr>
        <w:t xml:space="preserve">]</w:t>
      </w:r>
    </w:p>
    <w:p w:rsidR="00000000" w:rsidDel="00000000" w:rsidP="00000000" w:rsidRDefault="00000000" w:rsidRPr="00000000" w14:paraId="00000003">
      <w:pPr>
        <w:spacing w:after="240" w:before="240" w:line="276" w:lineRule="auto"/>
        <w:rPr>
          <w:rFonts w:ascii="Public Sans" w:cs="Public Sans" w:eastAsia="Public Sans" w:hAnsi="Public Sans"/>
          <w:color w:val="4e4e51"/>
        </w:rPr>
      </w:pPr>
      <w:r w:rsidDel="00000000" w:rsidR="00000000" w:rsidRPr="00000000">
        <w:rPr>
          <w:rFonts w:ascii="Public Sans" w:cs="Public Sans" w:eastAsia="Public Sans" w:hAnsi="Public Sans"/>
          <w:b w:val="1"/>
          <w:bCs w:val="1"/>
          <w:color w:val="4e4e51"/>
          <w:rtl w:val="0"/>
        </w:rPr>
        <w:t xml:space="preserve">[CITY, LA]</w:t>
      </w:r>
      <w:r w:rsidDel="00000000" w:rsidR="00000000" w:rsidRPr="00000000">
        <w:rPr>
          <w:rFonts w:ascii="Public Sans" w:cs="Public Sans" w:eastAsia="Public Sans" w:hAnsi="Public Sans"/>
          <w:color w:val="4e4e51"/>
          <w:rtl w:val="0"/>
        </w:rPr>
        <w:t xml:space="preserve"> – </w:t>
      </w:r>
      <w:r w:rsidDel="00000000" w:rsidR="00000000" w:rsidRPr="00000000">
        <w:rPr>
          <w:rFonts w:ascii="Public Sans" w:cs="Public Sans" w:eastAsia="Public Sans" w:hAnsi="Public Sans"/>
          <w:color w:val="4e4e51"/>
          <w:rtl w:val="0"/>
        </w:rPr>
        <w:t xml:space="preserve">[</w:t>
      </w:r>
      <w:r w:rsidDel="00000000" w:rsidR="00000000" w:rsidRPr="00000000">
        <w:rPr>
          <w:rFonts w:ascii="Public Sans" w:cs="Public Sans" w:eastAsia="Public Sans" w:hAnsi="Public Sans"/>
          <w:color w:val="4e4e51"/>
          <w:rtl w:val="0"/>
        </w:rPr>
        <w:t xml:space="preserve">System Name</w:t>
      </w:r>
      <w:r w:rsidDel="00000000" w:rsidR="00000000" w:rsidRPr="00000000">
        <w:rPr>
          <w:rFonts w:ascii="Public Sans" w:cs="Public Sans" w:eastAsia="Public Sans" w:hAnsi="Public Sans"/>
          <w:color w:val="4e4e51"/>
          <w:rtl w:val="0"/>
        </w:rPr>
        <w:t xml:space="preserve">]</w:t>
      </w:r>
      <w:r w:rsidDel="00000000" w:rsidR="00000000" w:rsidRPr="00000000">
        <w:rPr>
          <w:rFonts w:ascii="Public Sans" w:cs="Public Sans" w:eastAsia="Public Sans" w:hAnsi="Public Sans"/>
          <w:color w:val="4e4e51"/>
          <w:rtl w:val="0"/>
        </w:rPr>
        <w:t xml:space="preserve"> announced its School and District Performance Scores for the 2024-2025 school year today. </w:t>
      </w:r>
      <w:r w:rsidDel="00000000" w:rsidR="00000000" w:rsidRPr="00000000">
        <w:rPr>
          <w:rFonts w:ascii="Public Sans" w:cs="Public Sans" w:eastAsia="Public Sans" w:hAnsi="Public Sans"/>
          <w:color w:val="4e4e51"/>
          <w:rtl w:val="0"/>
        </w:rPr>
        <w:t xml:space="preserve">[Insert 1-2 sentences briefly summarizing scores]</w:t>
      </w:r>
    </w:p>
    <w:p w:rsidR="00000000" w:rsidDel="00000000" w:rsidP="00000000" w:rsidRDefault="00000000" w:rsidRPr="00000000" w14:paraId="00000004">
      <w:pPr>
        <w:spacing w:after="240" w:before="24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w:t>
      </w:r>
      <w:r w:rsidDel="00000000" w:rsidR="00000000" w:rsidRPr="00000000">
        <w:rPr>
          <w:rFonts w:ascii="Public Sans" w:cs="Public Sans" w:eastAsia="Public Sans" w:hAnsi="Public Sans"/>
          <w:color w:val="4e4e51"/>
          <w:rtl w:val="0"/>
        </w:rPr>
        <w:t xml:space="preserve">Insert quote from district superintendent or board leader about the results, progress, or goals.</w:t>
      </w:r>
      <w:r w:rsidDel="00000000" w:rsidR="00000000" w:rsidRPr="00000000">
        <w:rPr>
          <w:rFonts w:ascii="Public Sans" w:cs="Public Sans" w:eastAsia="Public Sans" w:hAnsi="Public Sans"/>
          <w:color w:val="4e4e51"/>
          <w:rtl w:val="0"/>
        </w:rPr>
        <w:t xml:space="preserve">]”</w:t>
      </w:r>
    </w:p>
    <w:p w:rsidR="00000000" w:rsidDel="00000000" w:rsidP="00000000" w:rsidRDefault="00000000" w:rsidRPr="00000000" w14:paraId="00000005">
      <w:pPr>
        <w:spacing w:after="200" w:line="276" w:lineRule="auto"/>
        <w:rPr>
          <w:rFonts w:ascii="Public Sans" w:cs="Public Sans" w:eastAsia="Public Sans" w:hAnsi="Public Sans"/>
          <w:color w:val="4e4e51"/>
        </w:rPr>
      </w:pPr>
      <w:r w:rsidDel="00000000" w:rsidR="00000000" w:rsidRPr="00000000">
        <w:rPr>
          <w:rFonts w:ascii="Public Sans" w:cs="Public Sans" w:eastAsia="Public Sans" w:hAnsi="Public Sans"/>
          <w:b w:val="1"/>
          <w:bCs w:val="1"/>
          <w:color w:val="017f92"/>
          <w:sz w:val="24"/>
          <w:szCs w:val="24"/>
          <w:rtl w:val="0"/>
        </w:rPr>
        <w:t xml:space="preserve">[</w:t>
      </w:r>
      <w:r w:rsidDel="00000000" w:rsidR="00000000" w:rsidRPr="00000000">
        <w:rPr>
          <w:rFonts w:ascii="Public Sans" w:cs="Public Sans" w:eastAsia="Public Sans" w:hAnsi="Public Sans"/>
          <w:b w:val="1"/>
          <w:bCs w:val="1"/>
          <w:color w:val="017f92"/>
          <w:sz w:val="24"/>
          <w:szCs w:val="24"/>
          <w:rtl w:val="0"/>
        </w:rPr>
        <w:t xml:space="preserve">System Name</w:t>
      </w:r>
      <w:r w:rsidDel="00000000" w:rsidR="00000000" w:rsidRPr="00000000">
        <w:rPr>
          <w:rFonts w:ascii="Public Sans" w:cs="Public Sans" w:eastAsia="Public Sans" w:hAnsi="Public Sans"/>
          <w:b w:val="1"/>
          <w:bCs w:val="1"/>
          <w:color w:val="017f92"/>
          <w:sz w:val="24"/>
          <w:szCs w:val="24"/>
          <w:rtl w:val="0"/>
        </w:rPr>
        <w:t xml:space="preserve">] Highlights:</w:t>
      </w:r>
      <w:r w:rsidDel="00000000" w:rsidR="00000000" w:rsidRPr="00000000">
        <w:rPr>
          <w:rFonts w:ascii="Public Sans" w:cs="Public Sans" w:eastAsia="Public Sans" w:hAnsi="Public Sans"/>
          <w:b w:val="1"/>
          <w:bCs w:val="1"/>
          <w:color w:val="4e4e51"/>
          <w:sz w:val="24"/>
          <w:szCs w:val="24"/>
          <w:rtl w:val="0"/>
        </w:rPr>
        <w:br w:type="textWrapping"/>
      </w:r>
      <w:r w:rsidDel="00000000" w:rsidR="00000000" w:rsidRPr="00000000">
        <w:rPr>
          <w:rFonts w:ascii="Public Sans" w:cs="Public Sans" w:eastAsia="Public Sans" w:hAnsi="Public Sans"/>
          <w:color w:val="4e4e51"/>
          <w:rtl w:val="0"/>
        </w:rPr>
        <w:t xml:space="preserve">[</w:t>
      </w:r>
      <w:r w:rsidDel="00000000" w:rsidR="00000000" w:rsidRPr="00000000">
        <w:rPr>
          <w:rFonts w:ascii="Public Sans" w:cs="Public Sans" w:eastAsia="Public Sans" w:hAnsi="Public Sans"/>
          <w:color w:val="4e4e51"/>
          <w:rtl w:val="0"/>
        </w:rPr>
        <w:t xml:space="preserve">System Name</w:t>
      </w:r>
      <w:r w:rsidDel="00000000" w:rsidR="00000000" w:rsidRPr="00000000">
        <w:rPr>
          <w:rFonts w:ascii="Public Sans" w:cs="Public Sans" w:eastAsia="Public Sans" w:hAnsi="Public Sans"/>
          <w:color w:val="4e4e51"/>
          <w:rtl w:val="0"/>
        </w:rPr>
        <w:t xml:space="preserve">] earned a [XX.X] school performance score, reflecting [</w:t>
      </w:r>
      <w:r w:rsidDel="00000000" w:rsidR="00000000" w:rsidRPr="00000000">
        <w:rPr>
          <w:rFonts w:ascii="Public Sans" w:cs="Public Sans" w:eastAsia="Public Sans" w:hAnsi="Public Sans"/>
          <w:color w:val="4e4e51"/>
          <w:rtl w:val="0"/>
        </w:rPr>
        <w:t xml:space="preserve">an increase/decrease/no change</w:t>
      </w:r>
      <w:r w:rsidDel="00000000" w:rsidR="00000000" w:rsidRPr="00000000">
        <w:rPr>
          <w:rFonts w:ascii="Public Sans" w:cs="Public Sans" w:eastAsia="Public Sans" w:hAnsi="Public Sans"/>
          <w:color w:val="4e4e51"/>
          <w:rtl w:val="0"/>
        </w:rPr>
        <w:t xml:space="preserve">] from last year’s score of [</w:t>
      </w:r>
      <w:r w:rsidDel="00000000" w:rsidR="00000000" w:rsidRPr="00000000">
        <w:rPr>
          <w:rFonts w:ascii="Public Sans" w:cs="Public Sans" w:eastAsia="Public Sans" w:hAnsi="Public Sans"/>
          <w:color w:val="4e4e51"/>
          <w:rtl w:val="0"/>
        </w:rPr>
        <w:t xml:space="preserve">XX.X</w:t>
      </w:r>
      <w:r w:rsidDel="00000000" w:rsidR="00000000" w:rsidRPr="00000000">
        <w:rPr>
          <w:rFonts w:ascii="Public Sans" w:cs="Public Sans" w:eastAsia="Public Sans" w:hAnsi="Public Sans"/>
          <w:color w:val="4e4e51"/>
          <w:rtl w:val="0"/>
        </w:rPr>
        <w:t xml:space="preserve">].</w:t>
      </w:r>
    </w:p>
    <w:p w:rsidR="00000000" w:rsidDel="00000000" w:rsidP="00000000" w:rsidRDefault="00000000" w:rsidRPr="00000000" w14:paraId="00000006">
      <w:pPr>
        <w:spacing w:after="20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[System highlights may include:]</w:t>
      </w: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[Percentage or number of A and B schools]</w:t>
      </w:r>
    </w:p>
    <w:p w:rsidR="00000000" w:rsidDel="00000000" w:rsidP="00000000" w:rsidRDefault="00000000" w:rsidRPr="00000000" w14:paraId="00000008">
      <w:pPr>
        <w:numPr>
          <w:ilvl w:val="0"/>
          <w:numId w:val="1"/>
        </w:numPr>
        <w:spacing w:after="0" w:afterAutospacing="0" w:before="0" w:before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[Percentage or number of schools increasing score]</w:t>
      </w:r>
    </w:p>
    <w:p w:rsidR="00000000" w:rsidDel="00000000" w:rsidP="00000000" w:rsidRDefault="00000000" w:rsidRPr="00000000" w14:paraId="00000009">
      <w:pPr>
        <w:numPr>
          <w:ilvl w:val="0"/>
          <w:numId w:val="1"/>
        </w:numPr>
        <w:spacing w:after="0" w:afterAutospacing="0" w:before="0" w:before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[Percentage or number of schools increasing letter grade]</w:t>
      </w:r>
    </w:p>
    <w:p w:rsidR="00000000" w:rsidDel="00000000" w:rsidP="00000000" w:rsidRDefault="00000000" w:rsidRPr="00000000" w14:paraId="0000000A">
      <w:pPr>
        <w:numPr>
          <w:ilvl w:val="0"/>
          <w:numId w:val="1"/>
        </w:numPr>
        <w:spacing w:after="0" w:afterAutospacing="0" w:before="0" w:before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[Percentage or number of schools earning Top Gains]</w:t>
      </w:r>
    </w:p>
    <w:p w:rsidR="00000000" w:rsidDel="00000000" w:rsidP="00000000" w:rsidRDefault="00000000" w:rsidRPr="00000000" w14:paraId="0000000B">
      <w:pPr>
        <w:numPr>
          <w:ilvl w:val="0"/>
          <w:numId w:val="1"/>
        </w:numPr>
        <w:spacing w:after="0" w:afterAutospacing="0" w:before="0" w:before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[Percentage or number of schools earning Opportunity Honoree]</w:t>
      </w:r>
    </w:p>
    <w:p w:rsidR="00000000" w:rsidDel="00000000" w:rsidP="00000000" w:rsidRDefault="00000000" w:rsidRPr="00000000" w14:paraId="0000000C">
      <w:pPr>
        <w:numPr>
          <w:ilvl w:val="0"/>
          <w:numId w:val="1"/>
        </w:numPr>
        <w:spacing w:after="0" w:afterAutospacing="0" w:before="0" w:before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[School with highest overall score]</w:t>
      </w:r>
    </w:p>
    <w:p w:rsidR="00000000" w:rsidDel="00000000" w:rsidP="00000000" w:rsidRDefault="00000000" w:rsidRPr="00000000" w14:paraId="0000000D">
      <w:pPr>
        <w:numPr>
          <w:ilvl w:val="0"/>
          <w:numId w:val="1"/>
        </w:numPr>
        <w:spacing w:after="0" w:afterAutospacing="0" w:before="0" w:before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[School with most growth]</w:t>
      </w:r>
    </w:p>
    <w:p w:rsidR="00000000" w:rsidDel="00000000" w:rsidP="00000000" w:rsidRDefault="00000000" w:rsidRPr="00000000" w14:paraId="0000000E">
      <w:pPr>
        <w:numPr>
          <w:ilvl w:val="0"/>
          <w:numId w:val="1"/>
        </w:numPr>
        <w:spacing w:after="0" w:afterAutospacing="0" w:before="0" w:before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[System or school trends over the long-term: five years, since 2020, etc.]</w:t>
      </w:r>
    </w:p>
    <w:p w:rsidR="00000000" w:rsidDel="00000000" w:rsidP="00000000" w:rsidRDefault="00000000" w:rsidRPr="00000000" w14:paraId="0000000F">
      <w:pPr>
        <w:numPr>
          <w:ilvl w:val="0"/>
          <w:numId w:val="1"/>
        </w:numPr>
        <w:spacing w:after="240" w:before="0" w:before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w:t>
      </w:r>
      <w:r w:rsidDel="00000000" w:rsidR="00000000" w:rsidRPr="00000000">
        <w:rPr>
          <w:rFonts w:ascii="Public Sans" w:cs="Public Sans" w:eastAsia="Public Sans" w:hAnsi="Public Sans"/>
          <w:color w:val="4e4e51"/>
          <w:rtl w:val="0"/>
        </w:rPr>
        <w:t xml:space="preserve">Any additional highlights or area of focus</w:t>
      </w:r>
      <w:r w:rsidDel="00000000" w:rsidR="00000000" w:rsidRPr="00000000">
        <w:rPr>
          <w:rFonts w:ascii="Public Sans" w:cs="Public Sans" w:eastAsia="Public Sans" w:hAnsi="Public Sans"/>
          <w:color w:val="4e4e51"/>
          <w:rtl w:val="0"/>
        </w:rPr>
        <w:t xml:space="preserve">].</w:t>
      </w:r>
    </w:p>
    <w:p w:rsidR="00000000" w:rsidDel="00000000" w:rsidP="00000000" w:rsidRDefault="00000000" w:rsidRPr="00000000" w14:paraId="00000010">
      <w:pPr>
        <w:spacing w:after="240" w:before="24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[Paragraph about the actions you have taken to achieve these results and/or what you are doing to improve.]</w:t>
      </w:r>
    </w:p>
    <w:p w:rsidR="00000000" w:rsidDel="00000000" w:rsidP="00000000" w:rsidRDefault="00000000" w:rsidRPr="00000000" w14:paraId="00000011">
      <w:pPr>
        <w:spacing w:after="240" w:before="240" w:line="276" w:lineRule="auto"/>
        <w:ind w:left="0" w:firstLine="0"/>
        <w:rPr>
          <w:rFonts w:ascii="Public Sans" w:cs="Public Sans" w:eastAsia="Public Sans" w:hAnsi="Public Sans"/>
          <w:b w:val="1"/>
          <w:bCs w:val="1"/>
          <w:color w:val="017f92"/>
          <w:sz w:val="24"/>
          <w:szCs w:val="24"/>
        </w:rPr>
      </w:pPr>
      <w:r w:rsidDel="00000000" w:rsidR="00000000" w:rsidRPr="00000000">
        <w:rPr>
          <w:rFonts w:ascii="Public Sans" w:cs="Public Sans" w:eastAsia="Public Sans" w:hAnsi="Public Sans"/>
          <w:b w:val="1"/>
          <w:bCs w:val="1"/>
          <w:color w:val="017f92"/>
          <w:sz w:val="24"/>
          <w:szCs w:val="24"/>
          <w:rtl w:val="0"/>
        </w:rPr>
        <w:t xml:space="preserve">Louisiana Highlights:</w:t>
      </w:r>
    </w:p>
    <w:p w:rsidR="00000000" w:rsidDel="00000000" w:rsidP="00000000" w:rsidRDefault="00000000" w:rsidRPr="00000000" w14:paraId="00000012">
      <w:pPr>
        <w:spacing w:after="240" w:before="24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Louisiana’s statewide performance score is 80.9, an increase of more than five points since 2021 (75.3) and nearly a full point above last year’s score of 80.2. Statewide results held steady or improved across all index areas. </w:t>
      </w:r>
    </w:p>
    <w:p w:rsidR="00000000" w:rsidDel="00000000" w:rsidP="00000000" w:rsidRDefault="00000000" w:rsidRPr="00000000" w14:paraId="00000013">
      <w:pPr>
        <w:spacing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Overall, 21 percent of schools earned a letter grade of A, 31 percent earned a B, 32 percent earned a C, 12 percent earned a D, and 4 percent earned an F. Forty-four percent of elementary and middle schools earned an A or B and 70 percent of high schools earned an A or B.</w:t>
      </w:r>
    </w:p>
    <w:p w:rsidR="00000000" w:rsidDel="00000000" w:rsidP="00000000" w:rsidRDefault="00000000" w:rsidRPr="00000000" w14:paraId="00000014">
      <w:pPr>
        <w:spacing w:after="240" w:before="24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Individual School and District Performance Scores are now available </w:t>
      </w:r>
      <w:hyperlink r:id="rId6">
        <w:r w:rsidDel="00000000" w:rsidR="00000000" w:rsidRPr="00000000">
          <w:rPr>
            <w:rFonts w:ascii="Public Sans" w:cs="Public Sans" w:eastAsia="Public Sans" w:hAnsi="Public Sans"/>
            <w:color w:val="1155cc"/>
            <w:u w:val="single"/>
            <w:rtl w:val="0"/>
          </w:rPr>
          <w:t xml:space="preserve">on the LDOE website</w:t>
        </w:r>
      </w:hyperlink>
      <w:r w:rsidDel="00000000" w:rsidR="00000000" w:rsidRPr="00000000">
        <w:rPr>
          <w:rFonts w:ascii="Public Sans" w:cs="Public Sans" w:eastAsia="Public Sans" w:hAnsi="Public Sans"/>
          <w:color w:val="4e4e51"/>
          <w:rtl w:val="0"/>
        </w:rPr>
        <w:t xml:space="preserve">.</w:t>
      </w:r>
    </w:p>
    <w:p w:rsidR="00000000" w:rsidDel="00000000" w:rsidP="00000000" w:rsidRDefault="00000000" w:rsidRPr="00000000" w14:paraId="00000015">
      <w:pPr>
        <w:pStyle w:val="Heading2"/>
        <w:spacing w:after="0" w:before="120" w:line="276" w:lineRule="auto"/>
        <w:rPr>
          <w:rFonts w:ascii="Public Sans" w:cs="Public Sans" w:eastAsia="Public Sans" w:hAnsi="Public Sans"/>
          <w:b w:val="1"/>
          <w:bCs w:val="1"/>
          <w:color w:val="017f92"/>
          <w:sz w:val="24"/>
          <w:szCs w:val="24"/>
        </w:rPr>
      </w:pPr>
      <w:bookmarkStart w:colFirst="0" w:colLast="0" w:name="_ni5pg4p4yfyd" w:id="1"/>
      <w:bookmarkEnd w:id="1"/>
      <w:r w:rsidDel="00000000" w:rsidR="00000000" w:rsidRPr="00000000">
        <w:rPr>
          <w:rFonts w:ascii="Public Sans" w:cs="Public Sans" w:eastAsia="Public Sans" w:hAnsi="Public Sans"/>
          <w:b w:val="1"/>
          <w:bCs w:val="1"/>
          <w:color w:val="017f92"/>
          <w:sz w:val="24"/>
          <w:szCs w:val="24"/>
          <w:rtl w:val="0"/>
        </w:rPr>
        <w:t xml:space="preserve">Final Performance Scores Under Current System</w:t>
      </w:r>
    </w:p>
    <w:p w:rsidR="00000000" w:rsidDel="00000000" w:rsidP="00000000" w:rsidRDefault="00000000" w:rsidRPr="00000000" w14:paraId="00000016">
      <w:pPr>
        <w:spacing w:after="20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This year’s release is the final set of official results calculated using the current accountability formula, which has been criticized as outdated, difficult to understand, and no longer reflecting the level of preparation Louisiana students need for true career and college readiness.</w:t>
      </w:r>
    </w:p>
    <w:p w:rsidR="00000000" w:rsidDel="00000000" w:rsidP="00000000" w:rsidRDefault="00000000" w:rsidRPr="00000000" w14:paraId="00000017">
      <w:pPr>
        <w:spacing w:after="20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Beginning next year, Louisiana will transition to a revised system, </w:t>
      </w:r>
      <w:hyperlink r:id="rId7">
        <w:r w:rsidDel="00000000" w:rsidR="00000000" w:rsidRPr="00000000">
          <w:rPr>
            <w:rFonts w:ascii="Public Sans" w:cs="Public Sans" w:eastAsia="Public Sans" w:hAnsi="Public Sans"/>
            <w:color w:val="1155cc"/>
            <w:u w:val="single"/>
            <w:rtl w:val="0"/>
          </w:rPr>
          <w:t xml:space="preserve">Grow. Achieve. Thrive.</w:t>
        </w:r>
      </w:hyperlink>
      <w:r w:rsidDel="00000000" w:rsidR="00000000" w:rsidRPr="00000000">
        <w:rPr>
          <w:rFonts w:ascii="Public Sans" w:cs="Public Sans" w:eastAsia="Public Sans" w:hAnsi="Public Sans"/>
          <w:color w:val="4e4e51"/>
          <w:rtl w:val="0"/>
        </w:rPr>
        <w:t xml:space="preserve">, that raises expectations for student performance, uses clear and transparent measures, and places greater emphasis on whether students graduate ready for a career, college, or military service.</w:t>
      </w:r>
    </w:p>
    <w:p w:rsidR="00000000" w:rsidDel="00000000" w:rsidP="00000000" w:rsidRDefault="00000000" w:rsidRPr="00000000" w14:paraId="00000018">
      <w:pPr>
        <w:spacing w:after="20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Schools and systems will be measured using a straightforward scorecard organized around three clear expectations for every student:</w:t>
      </w:r>
    </w:p>
    <w:p w:rsidR="00000000" w:rsidDel="00000000" w:rsidP="00000000" w:rsidRDefault="00000000" w:rsidRPr="00000000" w14:paraId="00000019">
      <w:pPr>
        <w:numPr>
          <w:ilvl w:val="0"/>
          <w:numId w:val="2"/>
        </w:numPr>
        <w:spacing w:after="0" w:after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b w:val="1"/>
          <w:bCs w:val="1"/>
          <w:color w:val="4e4e51"/>
          <w:rtl w:val="0"/>
        </w:rPr>
        <w:t xml:space="preserve">Grow:</w:t>
      </w:r>
      <w:r w:rsidDel="00000000" w:rsidR="00000000" w:rsidRPr="00000000">
        <w:rPr>
          <w:rFonts w:ascii="Public Sans" w:cs="Public Sans" w:eastAsia="Public Sans" w:hAnsi="Public Sans"/>
          <w:color w:val="4e4e51"/>
          <w:rtl w:val="0"/>
        </w:rPr>
        <w:t xml:space="preserve"> Students should make meaningful academic progress every year</w:t>
      </w:r>
    </w:p>
    <w:p w:rsidR="00000000" w:rsidDel="00000000" w:rsidP="00000000" w:rsidRDefault="00000000" w:rsidRPr="00000000" w14:paraId="0000001A">
      <w:pPr>
        <w:numPr>
          <w:ilvl w:val="0"/>
          <w:numId w:val="2"/>
        </w:numPr>
        <w:spacing w:after="0" w:afterAutospacing="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b w:val="1"/>
          <w:bCs w:val="1"/>
          <w:color w:val="4e4e51"/>
          <w:rtl w:val="0"/>
        </w:rPr>
        <w:t xml:space="preserve">Achieve:</w:t>
      </w:r>
      <w:r w:rsidDel="00000000" w:rsidR="00000000" w:rsidRPr="00000000">
        <w:rPr>
          <w:rFonts w:ascii="Public Sans" w:cs="Public Sans" w:eastAsia="Public Sans" w:hAnsi="Public Sans"/>
          <w:color w:val="4e4e51"/>
          <w:rtl w:val="0"/>
        </w:rPr>
        <w:t xml:space="preserve"> Students should reach proficiency in key subjects</w:t>
      </w:r>
    </w:p>
    <w:p w:rsidR="00000000" w:rsidDel="00000000" w:rsidP="00000000" w:rsidRDefault="00000000" w:rsidRPr="00000000" w14:paraId="0000001B">
      <w:pPr>
        <w:numPr>
          <w:ilvl w:val="0"/>
          <w:numId w:val="2"/>
        </w:numPr>
        <w:spacing w:after="200" w:line="276" w:lineRule="auto"/>
        <w:ind w:left="720" w:hanging="360"/>
        <w:rPr>
          <w:rFonts w:ascii="Public Sans" w:cs="Public Sans" w:eastAsia="Public Sans" w:hAnsi="Public Sans"/>
          <w:color w:val="4e4e51"/>
        </w:rPr>
      </w:pPr>
      <w:r w:rsidDel="00000000" w:rsidR="00000000" w:rsidRPr="00000000">
        <w:rPr>
          <w:rFonts w:ascii="Public Sans" w:cs="Public Sans" w:eastAsia="Public Sans" w:hAnsi="Public Sans"/>
          <w:b w:val="1"/>
          <w:bCs w:val="1"/>
          <w:color w:val="4e4e51"/>
          <w:rtl w:val="0"/>
        </w:rPr>
        <w:t xml:space="preserve">Thrive:</w:t>
      </w:r>
      <w:r w:rsidDel="00000000" w:rsidR="00000000" w:rsidRPr="00000000">
        <w:rPr>
          <w:rFonts w:ascii="Public Sans" w:cs="Public Sans" w:eastAsia="Public Sans" w:hAnsi="Public Sans"/>
          <w:color w:val="4e4e51"/>
          <w:rtl w:val="0"/>
        </w:rPr>
        <w:t xml:space="preserve"> Students should graduate on time and be prepared for a career, college, or service</w:t>
      </w:r>
    </w:p>
    <w:p w:rsidR="00000000" w:rsidDel="00000000" w:rsidP="00000000" w:rsidRDefault="00000000" w:rsidRPr="00000000" w14:paraId="0000001C">
      <w:pPr>
        <w:spacing w:after="20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Because the new model raises expectations and uses different measures than the current formula, some schools and systems may see a change in their letter grades. These shifts reflect the establishment of a new statewide baseline under a higher bar. As with any major change, the first year of implementation serves as a reset point from which future growth will be measured.</w:t>
      </w:r>
    </w:p>
    <w:p w:rsidR="00000000" w:rsidDel="00000000" w:rsidP="00000000" w:rsidRDefault="00000000" w:rsidRPr="00000000" w14:paraId="0000001D">
      <w:pPr>
        <w:spacing w:after="200" w:line="276" w:lineRule="auto"/>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To support the transition, the Louisiana Department of Education has produced simulated 2025 performance scores using the revised formula. These simulations are not official results, but provide schools and systems with a preview of how the new model will impact current performance.</w:t>
      </w:r>
      <w:r w:rsidDel="00000000" w:rsidR="00000000" w:rsidRPr="00000000">
        <w:rPr>
          <w:rtl w:val="0"/>
        </w:rPr>
      </w:r>
    </w:p>
    <w:p w:rsidR="00000000" w:rsidDel="00000000" w:rsidP="00000000" w:rsidRDefault="00000000" w:rsidRPr="00000000" w14:paraId="0000001E">
      <w:pPr>
        <w:spacing w:after="80" w:before="360" w:line="276" w:lineRule="auto"/>
        <w:rPr>
          <w:rFonts w:ascii="Public Sans" w:cs="Public Sans" w:eastAsia="Public Sans" w:hAnsi="Public Sans"/>
          <w:color w:val="4e4e51"/>
        </w:rPr>
      </w:pPr>
      <w:r w:rsidDel="00000000" w:rsidR="00000000" w:rsidRPr="00000000">
        <w:rPr>
          <w:rFonts w:ascii="Public Sans" w:cs="Public Sans" w:eastAsia="Public Sans" w:hAnsi="Public Sans"/>
          <w:b w:val="1"/>
          <w:bCs w:val="1"/>
          <w:color w:val="017f92"/>
          <w:sz w:val="24"/>
          <w:szCs w:val="24"/>
          <w:rtl w:val="0"/>
        </w:rPr>
        <w:t xml:space="preserve">About [</w:t>
      </w:r>
      <w:r w:rsidDel="00000000" w:rsidR="00000000" w:rsidRPr="00000000">
        <w:rPr>
          <w:rFonts w:ascii="Public Sans" w:cs="Public Sans" w:eastAsia="Public Sans" w:hAnsi="Public Sans"/>
          <w:b w:val="1"/>
          <w:bCs w:val="1"/>
          <w:color w:val="017f92"/>
          <w:sz w:val="24"/>
          <w:szCs w:val="24"/>
          <w:rtl w:val="0"/>
        </w:rPr>
        <w:t xml:space="preserve">System Name</w:t>
      </w:r>
      <w:r w:rsidDel="00000000" w:rsidR="00000000" w:rsidRPr="00000000">
        <w:rPr>
          <w:rFonts w:ascii="Public Sans" w:cs="Public Sans" w:eastAsia="Public Sans" w:hAnsi="Public Sans"/>
          <w:b w:val="1"/>
          <w:bCs w:val="1"/>
          <w:color w:val="017f92"/>
          <w:sz w:val="24"/>
          <w:szCs w:val="24"/>
          <w:rtl w:val="0"/>
        </w:rPr>
        <w:t xml:space="preserve">]</w:t>
      </w:r>
      <w:r w:rsidDel="00000000" w:rsidR="00000000" w:rsidRPr="00000000">
        <w:rPr>
          <w:rFonts w:ascii="Public Sans" w:cs="Public Sans" w:eastAsia="Public Sans" w:hAnsi="Public Sans"/>
          <w:b w:val="1"/>
          <w:bCs w:val="1"/>
          <w:color w:val="4e4e51"/>
          <w:sz w:val="24"/>
          <w:szCs w:val="24"/>
          <w:rtl w:val="0"/>
        </w:rPr>
        <w:br w:type="textWrapping"/>
      </w:r>
      <w:r w:rsidDel="00000000" w:rsidR="00000000" w:rsidRPr="00000000">
        <w:rPr>
          <w:rFonts w:ascii="Public Sans" w:cs="Public Sans" w:eastAsia="Public Sans" w:hAnsi="Public Sans"/>
          <w:color w:val="4e4e51"/>
          <w:rtl w:val="0"/>
        </w:rPr>
        <w:t xml:space="preserve">[Insert district boilerplate – mission statement, number of schools, number of students, programs offered, etc.]</w:t>
      </w:r>
    </w:p>
    <w:p w:rsidR="00000000" w:rsidDel="00000000" w:rsidP="00000000" w:rsidRDefault="00000000" w:rsidRPr="00000000" w14:paraId="0000001F">
      <w:pPr>
        <w:spacing w:after="200" w:line="276" w:lineRule="auto"/>
        <w:jc w:val="center"/>
        <w:rPr>
          <w:rFonts w:ascii="Public Sans" w:cs="Public Sans" w:eastAsia="Public Sans" w:hAnsi="Public Sans"/>
          <w:color w:val="4e4e51"/>
        </w:rPr>
      </w:pPr>
      <w:r w:rsidDel="00000000" w:rsidR="00000000" w:rsidRPr="00000000">
        <w:rPr>
          <w:rtl w:val="0"/>
        </w:rPr>
      </w:r>
    </w:p>
    <w:p w:rsidR="00000000" w:rsidDel="00000000" w:rsidP="00000000" w:rsidRDefault="00000000" w:rsidRPr="00000000" w14:paraId="00000020">
      <w:pPr>
        <w:spacing w:after="240" w:before="240" w:line="276" w:lineRule="auto"/>
        <w:jc w:val="center"/>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w:t>
      </w:r>
    </w:p>
    <w:p w:rsidR="00000000" w:rsidDel="00000000" w:rsidP="00000000" w:rsidRDefault="00000000" w:rsidRPr="00000000" w14:paraId="00000021">
      <w:pPr>
        <w:spacing w:line="276" w:lineRule="auto"/>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rFonts w:ascii="Public Sans" w:cs="Public Sans" w:eastAsia="Public Sans" w:hAnsi="Public Sans"/>
        <w:color w:val="4e4e51"/>
      </w:rPr>
    </w:pPr>
    <w:r w:rsidDel="00000000" w:rsidR="00000000" w:rsidRPr="00000000">
      <w:rPr>
        <w:rFonts w:ascii="Public Sans" w:cs="Public Sans" w:eastAsia="Public Sans" w:hAnsi="Public Sans"/>
        <w:color w:val="4e4e51"/>
        <w:rtl w:val="0"/>
      </w:rPr>
      <w:t xml:space="preserve">[ SCHOOL/SYSTEM LOGO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e.louisiana.gov/data-and-reports/performance-scores" TargetMode="External"/><Relationship Id="rId7" Type="http://schemas.openxmlformats.org/officeDocument/2006/relationships/hyperlink" Target="https://doe.louisiana.gov/school-system-leaders/measuring-results/accountabilit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