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26188D1" w:rsidR="002650B2" w:rsidRPr="00903513" w:rsidRDefault="00AA5F71" w:rsidP="007E25CE">
      <w:pPr>
        <w:jc w:val="center"/>
        <w:rPr>
          <w:b/>
          <w:noProof/>
          <w:sz w:val="28"/>
          <w:szCs w:val="28"/>
        </w:rPr>
      </w:pPr>
      <w:r>
        <w:rPr>
          <w:b/>
          <w:noProof/>
          <w:sz w:val="28"/>
          <w:szCs w:val="28"/>
        </w:rPr>
        <w:t xml:space="preserve">Statewide Credential Getting Started </w:t>
      </w:r>
      <w:r w:rsidR="0011366E" w:rsidRPr="0011366E">
        <w:rPr>
          <w:b/>
          <w:noProof/>
          <w:sz w:val="28"/>
          <w:szCs w:val="28"/>
          <w:highlight w:val="yellow"/>
        </w:rPr>
        <w:t>TEACHER GUIDE</w:t>
      </w:r>
    </w:p>
    <w:p w14:paraId="433F7BDC" w14:textId="7D596A75"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AA5F71">
        <w:rPr>
          <w:noProof/>
          <w:sz w:val="20"/>
          <w:szCs w:val="20"/>
        </w:rPr>
        <w:t>June</w:t>
      </w:r>
      <w:r w:rsidR="00204A60">
        <w:rPr>
          <w:noProof/>
          <w:sz w:val="20"/>
          <w:szCs w:val="20"/>
        </w:rPr>
        <w:t xml:space="preserve"> 16</w:t>
      </w:r>
      <w:r w:rsidR="00864DA8">
        <w:rPr>
          <w:noProof/>
          <w:sz w:val="20"/>
          <w:szCs w:val="20"/>
        </w:rPr>
        <w:t>, 2017</w:t>
      </w:r>
      <w:r w:rsidR="007C2D81" w:rsidRPr="001A742D">
        <w:rPr>
          <w:noProof/>
          <w:sz w:val="20"/>
          <w:szCs w:val="20"/>
        </w:rPr>
        <w:t>)</w:t>
      </w:r>
    </w:p>
    <w:p w14:paraId="4C539C74" w14:textId="77777777" w:rsidR="007E25CE" w:rsidRPr="00E37CC6" w:rsidRDefault="007E25CE" w:rsidP="007E25CE">
      <w:pPr>
        <w:jc w:val="center"/>
        <w:rPr>
          <w:sz w:val="28"/>
          <w:szCs w:val="28"/>
        </w:rPr>
      </w:pPr>
    </w:p>
    <w:p w14:paraId="498C552E" w14:textId="19B5DFD6" w:rsidR="0011366E" w:rsidRPr="00833344" w:rsidRDefault="0011366E" w:rsidP="0011366E">
      <w:pPr>
        <w:jc w:val="both"/>
        <w:rPr>
          <w:b/>
          <w:sz w:val="28"/>
          <w:szCs w:val="28"/>
        </w:rPr>
      </w:pPr>
      <w:r w:rsidRPr="00833344">
        <w:rPr>
          <w:b/>
          <w:sz w:val="28"/>
          <w:szCs w:val="28"/>
        </w:rPr>
        <w:t xml:space="preserve">Introduction – the </w:t>
      </w:r>
      <w:r>
        <w:rPr>
          <w:b/>
          <w:sz w:val="28"/>
          <w:szCs w:val="28"/>
        </w:rPr>
        <w:t xml:space="preserve">Statewide </w:t>
      </w:r>
      <w:r w:rsidRPr="00833344">
        <w:rPr>
          <w:b/>
          <w:sz w:val="28"/>
          <w:szCs w:val="28"/>
        </w:rPr>
        <w:t>Micro-Enterprise Credential</w:t>
      </w:r>
    </w:p>
    <w:p w14:paraId="27AC9B6E" w14:textId="5A13F6EF" w:rsidR="0011366E" w:rsidRDefault="00F65D9A" w:rsidP="0011366E">
      <w:pPr>
        <w:jc w:val="both"/>
      </w:pPr>
      <w:r w:rsidRPr="006E4BE6">
        <w:rPr>
          <w:noProof/>
          <w:sz w:val="18"/>
          <w:szCs w:val="18"/>
        </w:rPr>
        <mc:AlternateContent>
          <mc:Choice Requires="wps">
            <w:drawing>
              <wp:anchor distT="0" distB="0" distL="114300" distR="114300" simplePos="0" relativeHeight="251659264" behindDoc="0" locked="0" layoutInCell="1" allowOverlap="1" wp14:anchorId="4E4AD79F" wp14:editId="03434A75">
                <wp:simplePos x="0" y="0"/>
                <wp:positionH relativeFrom="column">
                  <wp:posOffset>4622800</wp:posOffset>
                </wp:positionH>
                <wp:positionV relativeFrom="paragraph">
                  <wp:posOffset>218440</wp:posOffset>
                </wp:positionV>
                <wp:extent cx="2286000" cy="1488440"/>
                <wp:effectExtent l="0" t="0" r="25400" b="3556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48844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EFA4D" w14:textId="77777777" w:rsidR="0011366E" w:rsidRPr="003B3AAB" w:rsidRDefault="0011366E" w:rsidP="00F65D9A">
                            <w:pPr>
                              <w:spacing w:before="20" w:after="100"/>
                              <w:jc w:val="center"/>
                              <w:rPr>
                                <w:rFonts w:ascii="Arial Narrow" w:hAnsi="Arial Narrow"/>
                                <w:b/>
                                <w:color w:val="0000FF"/>
                                <w:sz w:val="20"/>
                                <w:szCs w:val="20"/>
                              </w:rPr>
                            </w:pPr>
                            <w:r w:rsidRPr="003B3AAB">
                              <w:rPr>
                                <w:rFonts w:ascii="Arial Narrow" w:hAnsi="Arial Narrow"/>
                                <w:b/>
                                <w:color w:val="0000FF"/>
                                <w:sz w:val="20"/>
                                <w:szCs w:val="20"/>
                              </w:rPr>
                              <w:t xml:space="preserve">Sections of this </w:t>
                            </w:r>
                            <w:r w:rsidRPr="006D576D">
                              <w:rPr>
                                <w:rFonts w:ascii="Arial Narrow" w:hAnsi="Arial Narrow"/>
                                <w:b/>
                                <w:color w:val="0000FF"/>
                                <w:sz w:val="20"/>
                                <w:szCs w:val="20"/>
                                <w:highlight w:val="yellow"/>
                              </w:rPr>
                              <w:t>Teacher Guide</w:t>
                            </w:r>
                          </w:p>
                          <w:p w14:paraId="41053092" w14:textId="792AB9CD" w:rsidR="0011366E" w:rsidRPr="003B3AAB"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 xml:space="preserve">Introduction – the </w:t>
                            </w:r>
                            <w:r>
                              <w:rPr>
                                <w:rFonts w:ascii="Arial Narrow" w:hAnsi="Arial Narrow"/>
                                <w:color w:val="0000FF"/>
                                <w:sz w:val="20"/>
                                <w:szCs w:val="20"/>
                              </w:rPr>
                              <w:t xml:space="preserve">Statewide </w:t>
                            </w:r>
                            <w:r w:rsidRPr="003B3AAB">
                              <w:rPr>
                                <w:rFonts w:ascii="Arial Narrow" w:hAnsi="Arial Narrow"/>
                                <w:color w:val="0000FF"/>
                                <w:sz w:val="20"/>
                                <w:szCs w:val="20"/>
                              </w:rPr>
                              <w:t xml:space="preserve">Micro-Enterprise Credential </w:t>
                            </w:r>
                          </w:p>
                          <w:p w14:paraId="7F251E49" w14:textId="77777777" w:rsidR="0011366E" w:rsidRPr="003B3AAB"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C</w:t>
                            </w:r>
                            <w:r>
                              <w:rPr>
                                <w:rFonts w:ascii="Arial Narrow" w:hAnsi="Arial Narrow"/>
                                <w:color w:val="0000FF"/>
                                <w:sz w:val="20"/>
                                <w:szCs w:val="20"/>
                              </w:rPr>
                              <w:t>redential</w:t>
                            </w:r>
                            <w:r w:rsidRPr="003B3AAB">
                              <w:rPr>
                                <w:rFonts w:ascii="Arial Narrow" w:hAnsi="Arial Narrow"/>
                                <w:color w:val="0000FF"/>
                                <w:sz w:val="20"/>
                                <w:szCs w:val="20"/>
                              </w:rPr>
                              <w:t xml:space="preserve"> Objectives</w:t>
                            </w:r>
                          </w:p>
                          <w:p w14:paraId="4E07E123" w14:textId="2AFA5D49" w:rsidR="0011366E" w:rsidRPr="00F65D9A"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Pr>
                                <w:rFonts w:ascii="Arial Narrow" w:hAnsi="Arial Narrow"/>
                                <w:color w:val="0000FF"/>
                                <w:sz w:val="20"/>
                                <w:szCs w:val="20"/>
                              </w:rPr>
                              <w:t>Statewide Credential Module</w:t>
                            </w:r>
                            <w:r w:rsidRPr="003B3AAB">
                              <w:rPr>
                                <w:rFonts w:ascii="Arial Narrow" w:hAnsi="Arial Narrow"/>
                                <w:color w:val="0000FF"/>
                                <w:sz w:val="20"/>
                                <w:szCs w:val="20"/>
                              </w:rPr>
                              <w:t>s</w:t>
                            </w:r>
                          </w:p>
                          <w:p w14:paraId="04A15A3B" w14:textId="59B538FF" w:rsidR="00F65D9A" w:rsidRPr="003B3AAB" w:rsidRDefault="00F65D9A" w:rsidP="0011366E">
                            <w:pPr>
                              <w:pStyle w:val="ListParagraph"/>
                              <w:numPr>
                                <w:ilvl w:val="0"/>
                                <w:numId w:val="15"/>
                              </w:numPr>
                              <w:spacing w:after="100"/>
                              <w:ind w:left="270" w:hanging="270"/>
                              <w:contextualSpacing w:val="0"/>
                              <w:rPr>
                                <w:rFonts w:ascii="Arial Narrow" w:hAnsi="Arial Narrow"/>
                                <w:b/>
                                <w:color w:val="0000FF"/>
                                <w:sz w:val="20"/>
                                <w:szCs w:val="20"/>
                              </w:rPr>
                            </w:pPr>
                            <w:r>
                              <w:rPr>
                                <w:rFonts w:ascii="Arial Narrow" w:hAnsi="Arial Narrow"/>
                                <w:color w:val="0000FF"/>
                                <w:sz w:val="20"/>
                                <w:szCs w:val="20"/>
                              </w:rPr>
                              <w:t>Online Teacher Registration</w:t>
                            </w:r>
                          </w:p>
                          <w:p w14:paraId="1F54D70E" w14:textId="77777777" w:rsidR="0011366E" w:rsidRPr="00CF2B63"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Scope and Sequence Recommendation</w:t>
                            </w:r>
                            <w:r>
                              <w:rPr>
                                <w:rFonts w:ascii="Arial Narrow" w:hAnsi="Arial Narrow"/>
                                <w:color w:val="0000FF"/>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AD79F" id="_x0000_t202" coordsize="21600,21600" o:spt="202" path="m0,0l0,21600,21600,21600,21600,0xe">
                <v:stroke joinstyle="miter"/>
                <v:path gradientshapeok="t" o:connecttype="rect"/>
              </v:shapetype>
              <v:shape id="Text Box 1" o:spid="_x0000_s1026" type="#_x0000_t202" style="position:absolute;left:0;text-align:left;margin-left:364pt;margin-top:17.2pt;width:180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" fillcolor="#f2f2f2 [3052]" strokecolor="black [3213]">
                <v:textbox>
                  <w:txbxContent>
                    <w:p w14:paraId="4EEEFA4D" w14:textId="77777777" w:rsidR="0011366E" w:rsidRPr="003B3AAB" w:rsidRDefault="0011366E" w:rsidP="00F65D9A">
                      <w:pPr>
                        <w:spacing w:before="20" w:after="100"/>
                        <w:jc w:val="center"/>
                        <w:rPr>
                          <w:rFonts w:ascii="Arial Narrow" w:hAnsi="Arial Narrow"/>
                          <w:b/>
                          <w:color w:val="0000FF"/>
                          <w:sz w:val="20"/>
                          <w:szCs w:val="20"/>
                        </w:rPr>
                      </w:pPr>
                      <w:r w:rsidRPr="003B3AAB">
                        <w:rPr>
                          <w:rFonts w:ascii="Arial Narrow" w:hAnsi="Arial Narrow"/>
                          <w:b/>
                          <w:color w:val="0000FF"/>
                          <w:sz w:val="20"/>
                          <w:szCs w:val="20"/>
                        </w:rPr>
                        <w:t xml:space="preserve">Sections of this </w:t>
                      </w:r>
                      <w:r w:rsidRPr="006D576D">
                        <w:rPr>
                          <w:rFonts w:ascii="Arial Narrow" w:hAnsi="Arial Narrow"/>
                          <w:b/>
                          <w:color w:val="0000FF"/>
                          <w:sz w:val="20"/>
                          <w:szCs w:val="20"/>
                          <w:highlight w:val="yellow"/>
                        </w:rPr>
                        <w:t>Teacher Guide</w:t>
                      </w:r>
                    </w:p>
                    <w:p w14:paraId="41053092" w14:textId="792AB9CD" w:rsidR="0011366E" w:rsidRPr="003B3AAB"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 xml:space="preserve">Introduction – the </w:t>
                      </w:r>
                      <w:r>
                        <w:rPr>
                          <w:rFonts w:ascii="Arial Narrow" w:hAnsi="Arial Narrow"/>
                          <w:color w:val="0000FF"/>
                          <w:sz w:val="20"/>
                          <w:szCs w:val="20"/>
                        </w:rPr>
                        <w:t xml:space="preserve">Statewide </w:t>
                      </w:r>
                      <w:r w:rsidRPr="003B3AAB">
                        <w:rPr>
                          <w:rFonts w:ascii="Arial Narrow" w:hAnsi="Arial Narrow"/>
                          <w:color w:val="0000FF"/>
                          <w:sz w:val="20"/>
                          <w:szCs w:val="20"/>
                        </w:rPr>
                        <w:t xml:space="preserve">Micro-Enterprise Credential </w:t>
                      </w:r>
                    </w:p>
                    <w:p w14:paraId="7F251E49" w14:textId="77777777" w:rsidR="0011366E" w:rsidRPr="003B3AAB"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C</w:t>
                      </w:r>
                      <w:r>
                        <w:rPr>
                          <w:rFonts w:ascii="Arial Narrow" w:hAnsi="Arial Narrow"/>
                          <w:color w:val="0000FF"/>
                          <w:sz w:val="20"/>
                          <w:szCs w:val="20"/>
                        </w:rPr>
                        <w:t>redential</w:t>
                      </w:r>
                      <w:r w:rsidRPr="003B3AAB">
                        <w:rPr>
                          <w:rFonts w:ascii="Arial Narrow" w:hAnsi="Arial Narrow"/>
                          <w:color w:val="0000FF"/>
                          <w:sz w:val="20"/>
                          <w:szCs w:val="20"/>
                        </w:rPr>
                        <w:t xml:space="preserve"> Objectives</w:t>
                      </w:r>
                    </w:p>
                    <w:p w14:paraId="4E07E123" w14:textId="2AFA5D49" w:rsidR="0011366E" w:rsidRPr="00F65D9A"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Pr>
                          <w:rFonts w:ascii="Arial Narrow" w:hAnsi="Arial Narrow"/>
                          <w:color w:val="0000FF"/>
                          <w:sz w:val="20"/>
                          <w:szCs w:val="20"/>
                        </w:rPr>
                        <w:t>Statewide Credential Module</w:t>
                      </w:r>
                      <w:r w:rsidRPr="003B3AAB">
                        <w:rPr>
                          <w:rFonts w:ascii="Arial Narrow" w:hAnsi="Arial Narrow"/>
                          <w:color w:val="0000FF"/>
                          <w:sz w:val="20"/>
                          <w:szCs w:val="20"/>
                        </w:rPr>
                        <w:t>s</w:t>
                      </w:r>
                    </w:p>
                    <w:p w14:paraId="04A15A3B" w14:textId="59B538FF" w:rsidR="00F65D9A" w:rsidRPr="003B3AAB" w:rsidRDefault="00F65D9A" w:rsidP="0011366E">
                      <w:pPr>
                        <w:pStyle w:val="ListParagraph"/>
                        <w:numPr>
                          <w:ilvl w:val="0"/>
                          <w:numId w:val="15"/>
                        </w:numPr>
                        <w:spacing w:after="100"/>
                        <w:ind w:left="270" w:hanging="270"/>
                        <w:contextualSpacing w:val="0"/>
                        <w:rPr>
                          <w:rFonts w:ascii="Arial Narrow" w:hAnsi="Arial Narrow"/>
                          <w:b/>
                          <w:color w:val="0000FF"/>
                          <w:sz w:val="20"/>
                          <w:szCs w:val="20"/>
                        </w:rPr>
                      </w:pPr>
                      <w:r>
                        <w:rPr>
                          <w:rFonts w:ascii="Arial Narrow" w:hAnsi="Arial Narrow"/>
                          <w:color w:val="0000FF"/>
                          <w:sz w:val="20"/>
                          <w:szCs w:val="20"/>
                        </w:rPr>
                        <w:t>Online Teacher Registration</w:t>
                      </w:r>
                    </w:p>
                    <w:p w14:paraId="1F54D70E" w14:textId="77777777" w:rsidR="0011366E" w:rsidRPr="00CF2B63" w:rsidRDefault="0011366E" w:rsidP="0011366E">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Scope and Sequence Recommendation</w:t>
                      </w:r>
                      <w:r>
                        <w:rPr>
                          <w:rFonts w:ascii="Arial Narrow" w:hAnsi="Arial Narrow"/>
                          <w:color w:val="0000FF"/>
                          <w:sz w:val="20"/>
                          <w:szCs w:val="20"/>
                        </w:rPr>
                        <w:t>s</w:t>
                      </w:r>
                    </w:p>
                  </w:txbxContent>
                </v:textbox>
                <w10:wrap type="square"/>
              </v:shape>
            </w:pict>
          </mc:Fallback>
        </mc:AlternateContent>
      </w:r>
      <w:r w:rsidR="0011366E">
        <w:t xml:space="preserve">The </w:t>
      </w:r>
      <w:r w:rsidR="00923C74">
        <w:t xml:space="preserve">Statewide </w:t>
      </w:r>
      <w:r w:rsidR="0011366E">
        <w:t>Micro-Enterprise Credential</w:t>
      </w:r>
      <w:r w:rsidR="00970028">
        <w:t xml:space="preserve"> enables students motivated by the materials in the Regional Micro-Enterprise Credential to master a broader set of more sophisticated business skills.</w:t>
      </w:r>
    </w:p>
    <w:p w14:paraId="23D39D02" w14:textId="6200F716" w:rsidR="0011366E" w:rsidRPr="006E4BE6" w:rsidRDefault="0011366E" w:rsidP="0011366E">
      <w:pPr>
        <w:jc w:val="both"/>
        <w:rPr>
          <w:sz w:val="18"/>
          <w:szCs w:val="18"/>
        </w:rPr>
      </w:pPr>
    </w:p>
    <w:p w14:paraId="083B2B99" w14:textId="39B66E6D" w:rsidR="0011366E" w:rsidRDefault="00970028" w:rsidP="0011366E">
      <w:pPr>
        <w:jc w:val="both"/>
      </w:pPr>
      <w:r>
        <w:t>One of the teachers who helped develop the Statewide Micro-Enterprise Credential resources indicated that this was a type of “high school MBA” – an introduction to many of the topics critical to small business and entrepreneurial success.</w:t>
      </w:r>
      <w:r w:rsidR="0011366E">
        <w:t xml:space="preserve">   </w:t>
      </w:r>
    </w:p>
    <w:p w14:paraId="61044633" w14:textId="77777777" w:rsidR="0011366E" w:rsidRPr="006E4BE6" w:rsidRDefault="0011366E" w:rsidP="0011366E">
      <w:pPr>
        <w:jc w:val="both"/>
        <w:rPr>
          <w:sz w:val="18"/>
          <w:szCs w:val="18"/>
        </w:rPr>
      </w:pPr>
    </w:p>
    <w:p w14:paraId="7C060683" w14:textId="09D8C35C" w:rsidR="0011366E" w:rsidRDefault="00970028" w:rsidP="0011366E">
      <w:pPr>
        <w:jc w:val="both"/>
      </w:pPr>
      <w:r>
        <w:t xml:space="preserve">This may be a bit of an overstatement, but the sentiment is correct.  The Statewide Micro-Enterprise Credential will enable students to learn about critical elements of business leadership, company culture, value creation, planning for venture success and engaging with stakeholders to describe business concepts and “sell” business plans.   </w:t>
      </w:r>
      <w:r w:rsidR="0011366E">
        <w:t xml:space="preserve">    </w:t>
      </w:r>
    </w:p>
    <w:p w14:paraId="0E34D6B0" w14:textId="77777777" w:rsidR="0011366E" w:rsidRPr="006E4BE6" w:rsidRDefault="0011366E" w:rsidP="0011366E">
      <w:pPr>
        <w:jc w:val="both"/>
        <w:rPr>
          <w:sz w:val="18"/>
          <w:szCs w:val="18"/>
        </w:rPr>
      </w:pPr>
    </w:p>
    <w:p w14:paraId="543FB235" w14:textId="736B489D" w:rsidR="00970028" w:rsidRPr="00970028" w:rsidRDefault="00970028" w:rsidP="00970028">
      <w:pPr>
        <w:jc w:val="both"/>
        <w:rPr>
          <w:rFonts w:asciiTheme="minorHAnsi" w:hAnsiTheme="minorHAnsi"/>
          <w:szCs w:val="22"/>
        </w:rPr>
      </w:pPr>
      <w:r w:rsidRPr="00970028">
        <w:rPr>
          <w:rFonts w:asciiTheme="minorHAnsi" w:hAnsiTheme="minorHAnsi"/>
          <w:color w:val="000000"/>
          <w:szCs w:val="22"/>
        </w:rPr>
        <w:t xml:space="preserve">The Statewide Micro-Enterprise Credential provides students with hands-on opportunities to expand the skills that will make them effective small business employees and young entrepreneurs, culminating in an international </w:t>
      </w:r>
      <w:r w:rsidR="00824B52">
        <w:rPr>
          <w:rFonts w:asciiTheme="minorHAnsi" w:hAnsiTheme="minorHAnsi"/>
          <w:color w:val="000000"/>
          <w:szCs w:val="22"/>
        </w:rPr>
        <w:t>E</w:t>
      </w:r>
      <w:r w:rsidRPr="00970028">
        <w:rPr>
          <w:rFonts w:asciiTheme="minorHAnsi" w:hAnsiTheme="minorHAnsi"/>
          <w:color w:val="000000"/>
          <w:szCs w:val="22"/>
        </w:rPr>
        <w:t xml:space="preserve">ntrepreneurship and </w:t>
      </w:r>
      <w:r w:rsidR="00824B52">
        <w:rPr>
          <w:rFonts w:asciiTheme="minorHAnsi" w:hAnsiTheme="minorHAnsi"/>
          <w:color w:val="000000"/>
          <w:szCs w:val="22"/>
        </w:rPr>
        <w:t>S</w:t>
      </w:r>
      <w:r w:rsidRPr="00970028">
        <w:rPr>
          <w:rFonts w:asciiTheme="minorHAnsi" w:hAnsiTheme="minorHAnsi"/>
          <w:color w:val="000000"/>
          <w:szCs w:val="22"/>
        </w:rPr>
        <w:t xml:space="preserve">mall </w:t>
      </w:r>
      <w:r w:rsidR="00824B52">
        <w:rPr>
          <w:rFonts w:asciiTheme="minorHAnsi" w:hAnsiTheme="minorHAnsi"/>
          <w:color w:val="000000"/>
          <w:szCs w:val="22"/>
        </w:rPr>
        <w:t>B</w:t>
      </w:r>
      <w:r w:rsidRPr="00970028">
        <w:rPr>
          <w:rFonts w:asciiTheme="minorHAnsi" w:hAnsiTheme="minorHAnsi"/>
          <w:color w:val="000000"/>
          <w:szCs w:val="22"/>
        </w:rPr>
        <w:t>usiness (</w:t>
      </w:r>
      <w:proofErr w:type="spellStart"/>
      <w:r w:rsidRPr="00970028">
        <w:rPr>
          <w:rFonts w:asciiTheme="minorHAnsi" w:hAnsiTheme="minorHAnsi"/>
          <w:color w:val="000000"/>
          <w:szCs w:val="22"/>
        </w:rPr>
        <w:t>ESB</w:t>
      </w:r>
      <w:proofErr w:type="spellEnd"/>
      <w:r w:rsidRPr="00970028">
        <w:rPr>
          <w:rFonts w:asciiTheme="minorHAnsi" w:hAnsiTheme="minorHAnsi"/>
          <w:color w:val="000000"/>
          <w:szCs w:val="22"/>
        </w:rPr>
        <w:t>) credential.</w:t>
      </w:r>
      <w:r w:rsidR="00E37CC6">
        <w:rPr>
          <w:rFonts w:asciiTheme="minorHAnsi" w:hAnsiTheme="minorHAnsi"/>
          <w:color w:val="000000"/>
          <w:szCs w:val="22"/>
        </w:rPr>
        <w:t xml:space="preserve"> </w:t>
      </w:r>
    </w:p>
    <w:p w14:paraId="1B7A8013" w14:textId="77777777" w:rsidR="0011366E" w:rsidRPr="00970028" w:rsidRDefault="0011366E" w:rsidP="00970028">
      <w:pPr>
        <w:jc w:val="both"/>
        <w:rPr>
          <w:rFonts w:asciiTheme="minorHAnsi" w:hAnsiTheme="minorHAnsi"/>
          <w:szCs w:val="22"/>
        </w:rPr>
      </w:pPr>
    </w:p>
    <w:p w14:paraId="45901F1C" w14:textId="32D1C798" w:rsidR="0011366E" w:rsidRPr="00915512" w:rsidRDefault="0011366E" w:rsidP="00970028">
      <w:pPr>
        <w:jc w:val="both"/>
        <w:rPr>
          <w:rFonts w:asciiTheme="minorHAnsi" w:hAnsiTheme="minorHAnsi"/>
          <w:b/>
          <w:i/>
          <w:szCs w:val="22"/>
        </w:rPr>
      </w:pPr>
      <w:r w:rsidRPr="00915512">
        <w:rPr>
          <w:rFonts w:asciiTheme="minorHAnsi" w:hAnsiTheme="minorHAnsi"/>
          <w:b/>
          <w:i/>
          <w:szCs w:val="22"/>
          <w:highlight w:val="yellow"/>
        </w:rPr>
        <w:t xml:space="preserve">The </w:t>
      </w:r>
      <w:r w:rsidR="00970028" w:rsidRPr="00915512">
        <w:rPr>
          <w:rFonts w:asciiTheme="minorHAnsi" w:hAnsiTheme="minorHAnsi"/>
          <w:b/>
          <w:i/>
          <w:szCs w:val="22"/>
          <w:highlight w:val="yellow"/>
        </w:rPr>
        <w:t xml:space="preserve">Statewide </w:t>
      </w:r>
      <w:r w:rsidRPr="00915512">
        <w:rPr>
          <w:rFonts w:asciiTheme="minorHAnsi" w:hAnsiTheme="minorHAnsi"/>
          <w:b/>
          <w:i/>
          <w:szCs w:val="22"/>
          <w:highlight w:val="yellow"/>
        </w:rPr>
        <w:t xml:space="preserve">Micro-Enterprise Credential </w:t>
      </w:r>
      <w:r w:rsidR="00970028" w:rsidRPr="00915512">
        <w:rPr>
          <w:rFonts w:asciiTheme="minorHAnsi" w:hAnsiTheme="minorHAnsi"/>
          <w:b/>
          <w:i/>
          <w:szCs w:val="22"/>
          <w:highlight w:val="yellow"/>
        </w:rPr>
        <w:t xml:space="preserve">is for Jump Start students </w:t>
      </w:r>
      <w:r w:rsidR="00970028" w:rsidRPr="00915512">
        <w:rPr>
          <w:rFonts w:asciiTheme="minorHAnsi" w:hAnsiTheme="minorHAnsi"/>
          <w:b/>
          <w:i/>
          <w:szCs w:val="22"/>
          <w:highlight w:val="yellow"/>
          <w:u w:val="single"/>
        </w:rPr>
        <w:t>and</w:t>
      </w:r>
      <w:r w:rsidR="00970028" w:rsidRPr="00915512">
        <w:rPr>
          <w:rFonts w:asciiTheme="minorHAnsi" w:hAnsiTheme="minorHAnsi"/>
          <w:b/>
          <w:i/>
          <w:szCs w:val="22"/>
          <w:highlight w:val="yellow"/>
        </w:rPr>
        <w:t xml:space="preserve"> TOPS University students . . . </w:t>
      </w:r>
      <w:r w:rsidR="00E37CC6" w:rsidRPr="00915512">
        <w:rPr>
          <w:rFonts w:asciiTheme="minorHAnsi" w:hAnsiTheme="minorHAnsi"/>
          <w:b/>
          <w:i/>
          <w:szCs w:val="22"/>
          <w:highlight w:val="yellow"/>
        </w:rPr>
        <w:t xml:space="preserve">an elective that </w:t>
      </w:r>
      <w:r w:rsidR="00915512">
        <w:rPr>
          <w:rFonts w:asciiTheme="minorHAnsi" w:hAnsiTheme="minorHAnsi"/>
          <w:b/>
          <w:i/>
          <w:szCs w:val="22"/>
          <w:highlight w:val="yellow"/>
        </w:rPr>
        <w:t xml:space="preserve">helps </w:t>
      </w:r>
      <w:r w:rsidR="00E37CC6" w:rsidRPr="00915512">
        <w:rPr>
          <w:rFonts w:asciiTheme="minorHAnsi" w:hAnsiTheme="minorHAnsi"/>
          <w:b/>
          <w:i/>
          <w:szCs w:val="22"/>
          <w:highlight w:val="yellow"/>
        </w:rPr>
        <w:t>students</w:t>
      </w:r>
      <w:r w:rsidR="00915512">
        <w:rPr>
          <w:rFonts w:asciiTheme="minorHAnsi" w:hAnsiTheme="minorHAnsi"/>
          <w:b/>
          <w:i/>
          <w:szCs w:val="22"/>
          <w:highlight w:val="yellow"/>
        </w:rPr>
        <w:t xml:space="preserve"> master</w:t>
      </w:r>
      <w:r w:rsidR="00E37CC6" w:rsidRPr="00915512">
        <w:rPr>
          <w:rFonts w:asciiTheme="minorHAnsi" w:hAnsiTheme="minorHAnsi"/>
          <w:b/>
          <w:i/>
          <w:szCs w:val="22"/>
          <w:highlight w:val="yellow"/>
        </w:rPr>
        <w:t xml:space="preserve"> sophisticated business insights, </w:t>
      </w:r>
      <w:r w:rsidR="00915512">
        <w:rPr>
          <w:rFonts w:asciiTheme="minorHAnsi" w:hAnsiTheme="minorHAnsi"/>
          <w:b/>
          <w:i/>
          <w:szCs w:val="22"/>
          <w:highlight w:val="yellow"/>
        </w:rPr>
        <w:t xml:space="preserve">complete </w:t>
      </w:r>
      <w:r w:rsidR="00E37CC6" w:rsidRPr="00915512">
        <w:rPr>
          <w:rFonts w:asciiTheme="minorHAnsi" w:hAnsiTheme="minorHAnsi"/>
          <w:b/>
          <w:i/>
          <w:szCs w:val="22"/>
          <w:highlight w:val="yellow"/>
        </w:rPr>
        <w:t xml:space="preserve">hands-on skill-building exercises and </w:t>
      </w:r>
      <w:r w:rsidR="00915512">
        <w:rPr>
          <w:rFonts w:asciiTheme="minorHAnsi" w:hAnsiTheme="minorHAnsi"/>
          <w:b/>
          <w:i/>
          <w:szCs w:val="22"/>
          <w:highlight w:val="yellow"/>
        </w:rPr>
        <w:t xml:space="preserve">earn </w:t>
      </w:r>
      <w:r w:rsidR="00E37CC6" w:rsidRPr="00915512">
        <w:rPr>
          <w:rFonts w:asciiTheme="minorHAnsi" w:hAnsiTheme="minorHAnsi"/>
          <w:b/>
          <w:i/>
          <w:szCs w:val="22"/>
          <w:highlight w:val="yellow"/>
        </w:rPr>
        <w:t>a resume-building industry credential.</w:t>
      </w:r>
      <w:r w:rsidR="00E37CC6" w:rsidRPr="00915512">
        <w:rPr>
          <w:rFonts w:asciiTheme="minorHAnsi" w:hAnsiTheme="minorHAnsi"/>
          <w:b/>
          <w:i/>
          <w:szCs w:val="22"/>
        </w:rPr>
        <w:t xml:space="preserve">  </w:t>
      </w:r>
    </w:p>
    <w:p w14:paraId="45065694" w14:textId="77777777" w:rsidR="0011366E" w:rsidRPr="006E4BE6" w:rsidRDefault="0011366E" w:rsidP="0011366E">
      <w:pPr>
        <w:jc w:val="both"/>
        <w:rPr>
          <w:sz w:val="18"/>
          <w:szCs w:val="18"/>
        </w:rPr>
      </w:pPr>
    </w:p>
    <w:p w14:paraId="1F344AB4" w14:textId="77777777" w:rsidR="0011366E" w:rsidRPr="006E4BE6" w:rsidRDefault="0011366E" w:rsidP="0011366E">
      <w:pPr>
        <w:jc w:val="both"/>
        <w:rPr>
          <w:b/>
          <w:sz w:val="18"/>
          <w:szCs w:val="18"/>
        </w:rPr>
      </w:pPr>
    </w:p>
    <w:p w14:paraId="34229430" w14:textId="77777777" w:rsidR="0011366E" w:rsidRPr="00833344" w:rsidRDefault="0011366E" w:rsidP="0011366E">
      <w:pPr>
        <w:jc w:val="both"/>
        <w:rPr>
          <w:b/>
          <w:sz w:val="28"/>
          <w:szCs w:val="28"/>
        </w:rPr>
      </w:pPr>
      <w:r w:rsidRPr="00833344">
        <w:rPr>
          <w:b/>
          <w:sz w:val="28"/>
          <w:szCs w:val="28"/>
        </w:rPr>
        <w:t>Credential Objectives</w:t>
      </w:r>
    </w:p>
    <w:p w14:paraId="2D9BC324" w14:textId="75CDB288" w:rsidR="0011366E" w:rsidRDefault="0011366E" w:rsidP="0011366E">
      <w:pPr>
        <w:spacing w:after="160"/>
        <w:jc w:val="both"/>
      </w:pPr>
      <w:r>
        <w:t xml:space="preserve">The </w:t>
      </w:r>
      <w:r w:rsidR="00824B52">
        <w:t xml:space="preserve">Statewide </w:t>
      </w:r>
      <w:r>
        <w:t>Micro-Enterprise Credential will help students achieve four critical objectives:</w:t>
      </w:r>
    </w:p>
    <w:p w14:paraId="4B99FD6A" w14:textId="12533FE8" w:rsidR="0011366E" w:rsidRDefault="00970028" w:rsidP="0011366E">
      <w:pPr>
        <w:pStyle w:val="ListParagraph"/>
        <w:numPr>
          <w:ilvl w:val="0"/>
          <w:numId w:val="21"/>
        </w:numPr>
        <w:spacing w:after="160"/>
        <w:ind w:right="360"/>
        <w:contextualSpacing w:val="0"/>
        <w:jc w:val="both"/>
      </w:pPr>
      <w:r>
        <w:rPr>
          <w:u w:val="single"/>
        </w:rPr>
        <w:t>understand the basics of “doable” business concepts</w:t>
      </w:r>
      <w:r w:rsidR="0011366E">
        <w:t xml:space="preserve"> – </w:t>
      </w:r>
      <w:r>
        <w:t xml:space="preserve">the Develop a Business Concept module helps students understand the factors that could </w:t>
      </w:r>
      <w:r w:rsidR="00824B52">
        <w:t>turn</w:t>
      </w:r>
      <w:r>
        <w:t xml:space="preserve"> a small business concept into a thriving enterprise</w:t>
      </w:r>
      <w:r w:rsidR="0011366E">
        <w:t>;</w:t>
      </w:r>
    </w:p>
    <w:p w14:paraId="6D9BB454" w14:textId="49828BDB" w:rsidR="0011366E" w:rsidRDefault="00970028" w:rsidP="0011366E">
      <w:pPr>
        <w:pStyle w:val="ListParagraph"/>
        <w:numPr>
          <w:ilvl w:val="0"/>
          <w:numId w:val="21"/>
        </w:numPr>
        <w:spacing w:after="160"/>
        <w:ind w:right="360"/>
        <w:contextualSpacing w:val="0"/>
        <w:jc w:val="both"/>
      </w:pPr>
      <w:r>
        <w:rPr>
          <w:u w:val="single"/>
        </w:rPr>
        <w:t>understand the basics of enterprise leadership</w:t>
      </w:r>
      <w:r w:rsidR="0011366E">
        <w:t xml:space="preserve"> – the </w:t>
      </w:r>
      <w:r>
        <w:t xml:space="preserve">Company Leadership Suite </w:t>
      </w:r>
      <w:r w:rsidR="00AD67FB">
        <w:t>provides extensive insights into how entrepreneurs and small business leaders operate, how they create galvanizing company cultures, and how effective companies operate;</w:t>
      </w:r>
    </w:p>
    <w:p w14:paraId="0961FF24" w14:textId="09A3B8C9" w:rsidR="0011366E" w:rsidRDefault="00970028" w:rsidP="0011366E">
      <w:pPr>
        <w:pStyle w:val="ListParagraph"/>
        <w:numPr>
          <w:ilvl w:val="0"/>
          <w:numId w:val="21"/>
        </w:numPr>
        <w:spacing w:after="160"/>
        <w:ind w:right="360"/>
        <w:contextualSpacing w:val="0"/>
        <w:jc w:val="both"/>
      </w:pPr>
      <w:r>
        <w:rPr>
          <w:u w:val="single"/>
        </w:rPr>
        <w:t>master critical networking and communication skills</w:t>
      </w:r>
      <w:r w:rsidR="00AD67FB">
        <w:t xml:space="preserve"> – the Networking, Business and Marketing Plan and Business Pitch sections provide extensive opportunities for students to practice critical written and verbal communication skills, while emphasizing the critical adult skill of networking;</w:t>
      </w:r>
    </w:p>
    <w:p w14:paraId="0F85CF0A" w14:textId="1BF72D87" w:rsidR="0011366E" w:rsidRDefault="00970028" w:rsidP="0011366E">
      <w:pPr>
        <w:pStyle w:val="ListParagraph"/>
        <w:numPr>
          <w:ilvl w:val="0"/>
          <w:numId w:val="21"/>
        </w:numPr>
        <w:spacing w:after="160"/>
        <w:ind w:right="360"/>
        <w:contextualSpacing w:val="0"/>
        <w:jc w:val="both"/>
      </w:pPr>
      <w:r>
        <w:rPr>
          <w:u w:val="single"/>
        </w:rPr>
        <w:t>earn an internationally-accepted entrepreneurship credential</w:t>
      </w:r>
      <w:r w:rsidR="0011366E">
        <w:t xml:space="preserve"> – </w:t>
      </w:r>
      <w:r w:rsidR="00AD67FB">
        <w:t xml:space="preserve">all of the Statewide Micro-Enterprise Credential sections will help students attain the </w:t>
      </w:r>
      <w:proofErr w:type="spellStart"/>
      <w:r w:rsidR="00AD67FB">
        <w:t>Certiport</w:t>
      </w:r>
      <w:proofErr w:type="spellEnd"/>
      <w:r w:rsidR="00AD67FB">
        <w:t xml:space="preserve"> </w:t>
      </w:r>
      <w:proofErr w:type="spellStart"/>
      <w:r w:rsidR="00AD67FB">
        <w:t>ESB</w:t>
      </w:r>
      <w:proofErr w:type="spellEnd"/>
      <w:r w:rsidR="00AD67FB">
        <w:t xml:space="preserve"> credential, an international industry-based credential pioneered in Louisiana, and sought by students across the country and the globe.</w:t>
      </w:r>
    </w:p>
    <w:p w14:paraId="1B6466A3" w14:textId="621C88B2" w:rsidR="0011366E" w:rsidRDefault="00824B52" w:rsidP="0011366E">
      <w:pPr>
        <w:spacing w:after="180"/>
        <w:jc w:val="both"/>
      </w:pPr>
      <w:proofErr w:type="spellStart"/>
      <w:r>
        <w:t>BRAC</w:t>
      </w:r>
      <w:proofErr w:type="spellEnd"/>
      <w:r>
        <w:t xml:space="preserve"> (</w:t>
      </w:r>
      <w:r w:rsidR="00AD67FB">
        <w:t>Baton Rouge Area Chamber) continues to provide the guidance to make sure our materials are aligned with the actual skills students need to attain to be effective small business leaders and entrepreneurs.</w:t>
      </w:r>
    </w:p>
    <w:p w14:paraId="626DD4AB" w14:textId="13A2FD9F" w:rsidR="00AD67FB" w:rsidRDefault="00E37CC6" w:rsidP="0011366E">
      <w:pPr>
        <w:spacing w:after="180"/>
        <w:jc w:val="both"/>
      </w:pPr>
      <w:r>
        <w:t>C</w:t>
      </w:r>
      <w:r w:rsidR="00AD67FB">
        <w:t xml:space="preserve">amelback Ventures – a New Orleans-based organization that trains young </w:t>
      </w:r>
      <w:r>
        <w:t xml:space="preserve">adult </w:t>
      </w:r>
      <w:r w:rsidR="00AD67FB">
        <w:t>entrepreneurs, and then invests in the most promising ventures they form - has provided their insights and guidance in creating instructional resources patterned after the materials they use in their program.</w:t>
      </w:r>
    </w:p>
    <w:p w14:paraId="75C230EF" w14:textId="739575F0" w:rsidR="0011366E" w:rsidRDefault="00F65D9A" w:rsidP="0011366E">
      <w:pPr>
        <w:jc w:val="both"/>
        <w:rPr>
          <w:b/>
          <w:sz w:val="28"/>
          <w:szCs w:val="28"/>
        </w:rPr>
      </w:pPr>
      <w:r>
        <w:rPr>
          <w:b/>
          <w:sz w:val="28"/>
          <w:szCs w:val="28"/>
        </w:rPr>
        <w:lastRenderedPageBreak/>
        <w:t xml:space="preserve">Statewide </w:t>
      </w:r>
      <w:r w:rsidR="0011366E">
        <w:rPr>
          <w:b/>
          <w:sz w:val="28"/>
          <w:szCs w:val="28"/>
        </w:rPr>
        <w:t>Micro-Enterprise Credential Modules</w:t>
      </w:r>
    </w:p>
    <w:p w14:paraId="35DC4A18" w14:textId="4158E472" w:rsidR="0011366E" w:rsidRDefault="0011366E" w:rsidP="0011366E">
      <w:pPr>
        <w:jc w:val="both"/>
        <w:rPr>
          <w:b/>
          <w:sz w:val="28"/>
          <w:szCs w:val="28"/>
        </w:rPr>
      </w:pPr>
      <w:r>
        <w:t>Students must successfully complete f</w:t>
      </w:r>
      <w:r w:rsidR="00AD67FB">
        <w:t>ollowing</w:t>
      </w:r>
      <w:r>
        <w:t xml:space="preserve"> modules to attain the </w:t>
      </w:r>
      <w:r w:rsidR="00AD67FB">
        <w:t xml:space="preserve">Statewide </w:t>
      </w:r>
      <w:r>
        <w:t xml:space="preserve">Micro-Enterprise Credential.  </w:t>
      </w:r>
    </w:p>
    <w:p w14:paraId="5F134B91" w14:textId="77777777" w:rsidR="0011366E" w:rsidRPr="003942F4" w:rsidRDefault="0011366E" w:rsidP="0011366E">
      <w:pPr>
        <w:jc w:val="both"/>
        <w:rPr>
          <w:b/>
          <w:sz w:val="10"/>
          <w:szCs w:val="10"/>
        </w:rPr>
      </w:pPr>
    </w:p>
    <w:tbl>
      <w:tblPr>
        <w:tblStyle w:val="TableGrid"/>
        <w:tblW w:w="10942" w:type="dxa"/>
        <w:tblInd w:w="108" w:type="dxa"/>
        <w:tblLook w:val="04A0" w:firstRow="1" w:lastRow="0" w:firstColumn="1" w:lastColumn="0" w:noHBand="0" w:noVBand="1"/>
      </w:tblPr>
      <w:tblGrid>
        <w:gridCol w:w="3870"/>
        <w:gridCol w:w="3510"/>
        <w:gridCol w:w="3562"/>
      </w:tblGrid>
      <w:tr w:rsidR="00460EFD" w:rsidRPr="00C55002" w14:paraId="2C1D033E" w14:textId="77777777" w:rsidTr="00460EFD">
        <w:tc>
          <w:tcPr>
            <w:tcW w:w="3870" w:type="dxa"/>
            <w:shd w:val="clear" w:color="auto" w:fill="F2F2F2" w:themeFill="background1" w:themeFillShade="F2"/>
            <w:vAlign w:val="center"/>
          </w:tcPr>
          <w:p w14:paraId="0246D325" w14:textId="77777777" w:rsidR="0011366E" w:rsidRPr="00C55002" w:rsidRDefault="0011366E" w:rsidP="0032324D">
            <w:pPr>
              <w:spacing w:before="40" w:after="40"/>
              <w:jc w:val="center"/>
              <w:rPr>
                <w:b/>
                <w:color w:val="000090"/>
                <w:sz w:val="20"/>
                <w:szCs w:val="20"/>
              </w:rPr>
            </w:pPr>
            <w:r w:rsidRPr="00C55002">
              <w:rPr>
                <w:b/>
                <w:color w:val="000090"/>
                <w:sz w:val="20"/>
                <w:szCs w:val="20"/>
              </w:rPr>
              <w:t xml:space="preserve">Credential </w:t>
            </w:r>
            <w:r>
              <w:rPr>
                <w:b/>
                <w:color w:val="000090"/>
                <w:sz w:val="20"/>
                <w:szCs w:val="20"/>
              </w:rPr>
              <w:t>Modules</w:t>
            </w:r>
          </w:p>
        </w:tc>
        <w:tc>
          <w:tcPr>
            <w:tcW w:w="3510" w:type="dxa"/>
            <w:shd w:val="clear" w:color="auto" w:fill="F2F2F2" w:themeFill="background1" w:themeFillShade="F2"/>
            <w:vAlign w:val="center"/>
          </w:tcPr>
          <w:p w14:paraId="721EE145" w14:textId="77777777" w:rsidR="0011366E" w:rsidRPr="00C55002" w:rsidRDefault="0011366E" w:rsidP="0032324D">
            <w:pPr>
              <w:spacing w:before="40" w:after="40"/>
              <w:jc w:val="center"/>
              <w:rPr>
                <w:b/>
                <w:color w:val="000090"/>
                <w:sz w:val="20"/>
                <w:szCs w:val="20"/>
              </w:rPr>
            </w:pPr>
            <w:r w:rsidRPr="00C55002">
              <w:rPr>
                <w:b/>
                <w:color w:val="000090"/>
                <w:sz w:val="20"/>
                <w:szCs w:val="20"/>
              </w:rPr>
              <w:t>Purpose</w:t>
            </w:r>
          </w:p>
        </w:tc>
        <w:tc>
          <w:tcPr>
            <w:tcW w:w="3562" w:type="dxa"/>
            <w:tcBorders>
              <w:bottom w:val="single" w:sz="4" w:space="0" w:color="000000" w:themeColor="text1"/>
            </w:tcBorders>
            <w:shd w:val="clear" w:color="auto" w:fill="F2F2F2" w:themeFill="background1" w:themeFillShade="F2"/>
            <w:vAlign w:val="center"/>
          </w:tcPr>
          <w:p w14:paraId="25B50211" w14:textId="77777777" w:rsidR="0011366E" w:rsidRPr="00C55002" w:rsidRDefault="0011366E" w:rsidP="0032324D">
            <w:pPr>
              <w:spacing w:before="40" w:after="40"/>
              <w:jc w:val="center"/>
              <w:rPr>
                <w:b/>
                <w:color w:val="000090"/>
                <w:sz w:val="20"/>
                <w:szCs w:val="20"/>
              </w:rPr>
            </w:pPr>
            <w:r>
              <w:rPr>
                <w:b/>
                <w:color w:val="000090"/>
                <w:sz w:val="20"/>
                <w:szCs w:val="20"/>
              </w:rPr>
              <w:t>Students Complete</w:t>
            </w:r>
          </w:p>
        </w:tc>
      </w:tr>
      <w:tr w:rsidR="00460EFD" w:rsidRPr="00C55002" w14:paraId="4D3CE024" w14:textId="77777777" w:rsidTr="00460EFD">
        <w:trPr>
          <w:trHeight w:val="274"/>
        </w:trPr>
        <w:tc>
          <w:tcPr>
            <w:tcW w:w="3870" w:type="dxa"/>
            <w:vMerge w:val="restart"/>
            <w:shd w:val="clear" w:color="auto" w:fill="FCEDE0"/>
            <w:vAlign w:val="center"/>
          </w:tcPr>
          <w:p w14:paraId="70123CC9" w14:textId="0A40C042" w:rsidR="00460EFD" w:rsidRPr="003942F4" w:rsidRDefault="00460EFD" w:rsidP="00AD67FB">
            <w:pPr>
              <w:spacing w:before="40" w:after="40"/>
              <w:ind w:left="252" w:hanging="252"/>
              <w:rPr>
                <w:sz w:val="28"/>
                <w:szCs w:val="28"/>
              </w:rPr>
            </w:pPr>
            <w:r>
              <w:rPr>
                <w:sz w:val="28"/>
                <w:szCs w:val="28"/>
              </w:rPr>
              <w:t>1</w:t>
            </w:r>
            <w:r>
              <w:rPr>
                <w:sz w:val="28"/>
                <w:szCs w:val="28"/>
              </w:rPr>
              <w:tab/>
              <w:t>Business Concept Evaluation</w:t>
            </w:r>
          </w:p>
        </w:tc>
        <w:tc>
          <w:tcPr>
            <w:tcW w:w="3510" w:type="dxa"/>
            <w:vMerge w:val="restart"/>
            <w:shd w:val="clear" w:color="auto" w:fill="FCEDE0"/>
            <w:vAlign w:val="center"/>
          </w:tcPr>
          <w:p w14:paraId="06B2CE01" w14:textId="5253BF26" w:rsidR="00460EFD" w:rsidRPr="00C55002" w:rsidRDefault="00460EFD" w:rsidP="0032324D">
            <w:pPr>
              <w:spacing w:before="40" w:after="40"/>
              <w:rPr>
                <w:sz w:val="20"/>
                <w:szCs w:val="20"/>
              </w:rPr>
            </w:pPr>
            <w:r>
              <w:rPr>
                <w:sz w:val="20"/>
                <w:szCs w:val="20"/>
              </w:rPr>
              <w:t>Students can analyze whether a business concept is "doable," and then create a recommendation presentation.</w:t>
            </w:r>
          </w:p>
        </w:tc>
        <w:tc>
          <w:tcPr>
            <w:tcW w:w="3562" w:type="dxa"/>
            <w:tcBorders>
              <w:bottom w:val="dashSmallGap" w:sz="4" w:space="0" w:color="auto"/>
            </w:tcBorders>
            <w:shd w:val="clear" w:color="auto" w:fill="FCEDE0"/>
            <w:vAlign w:val="center"/>
          </w:tcPr>
          <w:p w14:paraId="1495ADE5" w14:textId="1FBB49AF" w:rsidR="00460EFD" w:rsidRPr="00C55002" w:rsidRDefault="00460EFD" w:rsidP="0032324D">
            <w:pPr>
              <w:spacing w:before="40" w:after="40"/>
              <w:jc w:val="center"/>
              <w:rPr>
                <w:sz w:val="20"/>
                <w:szCs w:val="20"/>
              </w:rPr>
            </w:pPr>
            <w:r>
              <w:rPr>
                <w:sz w:val="20"/>
                <w:szCs w:val="20"/>
              </w:rPr>
              <w:t>Business Concept Evaluation Package</w:t>
            </w:r>
          </w:p>
        </w:tc>
      </w:tr>
      <w:tr w:rsidR="00460EFD" w:rsidRPr="00C55002" w14:paraId="0A4F4B4F" w14:textId="77777777" w:rsidTr="00460EFD">
        <w:trPr>
          <w:trHeight w:val="273"/>
        </w:trPr>
        <w:tc>
          <w:tcPr>
            <w:tcW w:w="3870" w:type="dxa"/>
            <w:vMerge/>
            <w:shd w:val="clear" w:color="auto" w:fill="FCEDE0"/>
            <w:vAlign w:val="center"/>
          </w:tcPr>
          <w:p w14:paraId="5065577B" w14:textId="77777777" w:rsidR="00460EFD" w:rsidRDefault="00460EFD" w:rsidP="00AD67FB">
            <w:pPr>
              <w:spacing w:before="40" w:after="40"/>
              <w:ind w:left="252" w:hanging="252"/>
              <w:rPr>
                <w:sz w:val="28"/>
                <w:szCs w:val="28"/>
              </w:rPr>
            </w:pPr>
          </w:p>
        </w:tc>
        <w:tc>
          <w:tcPr>
            <w:tcW w:w="3510" w:type="dxa"/>
            <w:vMerge/>
            <w:shd w:val="clear" w:color="auto" w:fill="FCEDE0"/>
            <w:vAlign w:val="center"/>
          </w:tcPr>
          <w:p w14:paraId="5AD9E35F" w14:textId="77777777" w:rsidR="00460EFD" w:rsidRDefault="00460EFD" w:rsidP="0032324D">
            <w:pPr>
              <w:spacing w:before="40" w:after="40"/>
              <w:rPr>
                <w:sz w:val="20"/>
                <w:szCs w:val="20"/>
              </w:rPr>
            </w:pPr>
          </w:p>
        </w:tc>
        <w:tc>
          <w:tcPr>
            <w:tcW w:w="3562" w:type="dxa"/>
            <w:tcBorders>
              <w:top w:val="dashSmallGap" w:sz="4" w:space="0" w:color="auto"/>
              <w:bottom w:val="single" w:sz="4" w:space="0" w:color="000000" w:themeColor="text1"/>
            </w:tcBorders>
            <w:shd w:val="clear" w:color="auto" w:fill="FCEDE0"/>
            <w:vAlign w:val="center"/>
          </w:tcPr>
          <w:p w14:paraId="73F49D9B" w14:textId="6F068049" w:rsidR="00460EFD" w:rsidRDefault="00460EFD" w:rsidP="0032324D">
            <w:pPr>
              <w:spacing w:before="40" w:after="40"/>
              <w:jc w:val="center"/>
              <w:rPr>
                <w:sz w:val="20"/>
                <w:szCs w:val="20"/>
              </w:rPr>
            </w:pPr>
            <w:r>
              <w:rPr>
                <w:sz w:val="20"/>
                <w:szCs w:val="20"/>
              </w:rPr>
              <w:t>Elevator Speech and 3-slide Presentation</w:t>
            </w:r>
          </w:p>
        </w:tc>
      </w:tr>
      <w:tr w:rsidR="00460EFD" w:rsidRPr="00C55002" w14:paraId="19D0D77C" w14:textId="77777777" w:rsidTr="00460EFD">
        <w:trPr>
          <w:trHeight w:val="179"/>
        </w:trPr>
        <w:tc>
          <w:tcPr>
            <w:tcW w:w="3870" w:type="dxa"/>
            <w:vMerge w:val="restart"/>
            <w:shd w:val="clear" w:color="auto" w:fill="EEE3FF"/>
            <w:vAlign w:val="center"/>
          </w:tcPr>
          <w:p w14:paraId="336F9687" w14:textId="6A534C48" w:rsidR="00460EFD" w:rsidRPr="003942F4" w:rsidRDefault="00460EFD" w:rsidP="00AD67FB">
            <w:pPr>
              <w:spacing w:before="40" w:after="40"/>
              <w:ind w:left="252" w:hanging="252"/>
              <w:rPr>
                <w:sz w:val="28"/>
                <w:szCs w:val="28"/>
              </w:rPr>
            </w:pPr>
            <w:r>
              <w:rPr>
                <w:sz w:val="28"/>
                <w:szCs w:val="28"/>
              </w:rPr>
              <w:t>2</w:t>
            </w:r>
            <w:r>
              <w:rPr>
                <w:sz w:val="28"/>
                <w:szCs w:val="28"/>
              </w:rPr>
              <w:tab/>
              <w:t>Company Leadership Suite</w:t>
            </w:r>
          </w:p>
        </w:tc>
        <w:tc>
          <w:tcPr>
            <w:tcW w:w="3510" w:type="dxa"/>
            <w:vMerge w:val="restart"/>
            <w:shd w:val="clear" w:color="auto" w:fill="EEE3FF"/>
            <w:vAlign w:val="center"/>
          </w:tcPr>
          <w:p w14:paraId="5AEE7D87" w14:textId="7C6DDC04" w:rsidR="00460EFD" w:rsidRPr="00E37CC6" w:rsidRDefault="00460EFD" w:rsidP="00C533D1">
            <w:pPr>
              <w:spacing w:before="40" w:after="40"/>
              <w:rPr>
                <w:i/>
                <w:sz w:val="20"/>
                <w:szCs w:val="20"/>
              </w:rPr>
            </w:pPr>
            <w:r>
              <w:rPr>
                <w:sz w:val="20"/>
                <w:szCs w:val="20"/>
              </w:rPr>
              <w:t xml:space="preserve">Students </w:t>
            </w:r>
            <w:r w:rsidR="00C533D1">
              <w:rPr>
                <w:sz w:val="20"/>
                <w:szCs w:val="20"/>
              </w:rPr>
              <w:t xml:space="preserve">complete a series of hands-on exercises to </w:t>
            </w:r>
            <w:r>
              <w:rPr>
                <w:sz w:val="20"/>
                <w:szCs w:val="20"/>
              </w:rPr>
              <w:t xml:space="preserve">master key concepts </w:t>
            </w:r>
            <w:r w:rsidR="00C533D1">
              <w:rPr>
                <w:sz w:val="20"/>
                <w:szCs w:val="20"/>
              </w:rPr>
              <w:t xml:space="preserve">in managing talent, practicing the leadership skills that make </w:t>
            </w:r>
            <w:r>
              <w:rPr>
                <w:sz w:val="20"/>
                <w:szCs w:val="20"/>
              </w:rPr>
              <w:t>start-up</w:t>
            </w:r>
            <w:r w:rsidR="00C533D1">
              <w:rPr>
                <w:sz w:val="20"/>
                <w:szCs w:val="20"/>
              </w:rPr>
              <w:t>s</w:t>
            </w:r>
            <w:r>
              <w:rPr>
                <w:sz w:val="20"/>
                <w:szCs w:val="20"/>
              </w:rPr>
              <w:t xml:space="preserve"> and small business</w:t>
            </w:r>
            <w:r w:rsidR="00C533D1">
              <w:rPr>
                <w:sz w:val="20"/>
                <w:szCs w:val="20"/>
              </w:rPr>
              <w:t>es successful.</w:t>
            </w:r>
          </w:p>
        </w:tc>
        <w:tc>
          <w:tcPr>
            <w:tcW w:w="3562" w:type="dxa"/>
            <w:tcBorders>
              <w:bottom w:val="dashSmallGap" w:sz="4" w:space="0" w:color="auto"/>
            </w:tcBorders>
            <w:shd w:val="clear" w:color="auto" w:fill="EEE3FF"/>
            <w:vAlign w:val="center"/>
          </w:tcPr>
          <w:p w14:paraId="0A527EA3" w14:textId="432D1E26" w:rsidR="00460EFD" w:rsidRPr="00C55002" w:rsidRDefault="00460EFD" w:rsidP="0032324D">
            <w:pPr>
              <w:spacing w:before="40" w:after="40"/>
              <w:jc w:val="center"/>
              <w:rPr>
                <w:sz w:val="20"/>
                <w:szCs w:val="20"/>
              </w:rPr>
            </w:pPr>
            <w:r>
              <w:rPr>
                <w:sz w:val="20"/>
                <w:szCs w:val="20"/>
              </w:rPr>
              <w:t>Personal Job Description</w:t>
            </w:r>
          </w:p>
        </w:tc>
      </w:tr>
      <w:tr w:rsidR="00460EFD" w:rsidRPr="00C55002" w14:paraId="0D0F92CD" w14:textId="77777777" w:rsidTr="00460EFD">
        <w:trPr>
          <w:trHeight w:val="176"/>
        </w:trPr>
        <w:tc>
          <w:tcPr>
            <w:tcW w:w="3870" w:type="dxa"/>
            <w:vMerge/>
            <w:shd w:val="clear" w:color="auto" w:fill="EEE3FF"/>
            <w:vAlign w:val="center"/>
          </w:tcPr>
          <w:p w14:paraId="6FD67F01" w14:textId="77777777" w:rsidR="00460EFD" w:rsidRDefault="00460EFD" w:rsidP="00AD67FB">
            <w:pPr>
              <w:spacing w:before="40" w:after="40"/>
              <w:ind w:left="252" w:hanging="252"/>
              <w:rPr>
                <w:sz w:val="28"/>
                <w:szCs w:val="28"/>
              </w:rPr>
            </w:pPr>
          </w:p>
        </w:tc>
        <w:tc>
          <w:tcPr>
            <w:tcW w:w="3510" w:type="dxa"/>
            <w:vMerge/>
            <w:shd w:val="clear" w:color="auto" w:fill="EEE3FF"/>
            <w:vAlign w:val="center"/>
          </w:tcPr>
          <w:p w14:paraId="12D32CA5" w14:textId="77777777" w:rsidR="00460EFD" w:rsidRDefault="00460EFD" w:rsidP="0032324D">
            <w:pPr>
              <w:spacing w:before="40" w:after="40"/>
              <w:rPr>
                <w:sz w:val="20"/>
                <w:szCs w:val="20"/>
              </w:rPr>
            </w:pPr>
          </w:p>
        </w:tc>
        <w:tc>
          <w:tcPr>
            <w:tcW w:w="3562" w:type="dxa"/>
            <w:tcBorders>
              <w:top w:val="dashSmallGap" w:sz="4" w:space="0" w:color="auto"/>
              <w:bottom w:val="dashSmallGap" w:sz="4" w:space="0" w:color="auto"/>
            </w:tcBorders>
            <w:shd w:val="clear" w:color="auto" w:fill="EEE3FF"/>
            <w:vAlign w:val="center"/>
          </w:tcPr>
          <w:p w14:paraId="4A648358" w14:textId="34EA65BB" w:rsidR="00460EFD" w:rsidRPr="00C55002" w:rsidRDefault="00460EFD" w:rsidP="0032324D">
            <w:pPr>
              <w:spacing w:before="40" w:after="40"/>
              <w:jc w:val="center"/>
              <w:rPr>
                <w:sz w:val="20"/>
                <w:szCs w:val="20"/>
              </w:rPr>
            </w:pPr>
            <w:r>
              <w:rPr>
                <w:sz w:val="20"/>
                <w:szCs w:val="20"/>
              </w:rPr>
              <w:t>Performance Feedback</w:t>
            </w:r>
          </w:p>
        </w:tc>
      </w:tr>
      <w:tr w:rsidR="00460EFD" w:rsidRPr="00C55002" w14:paraId="25AC8EB2" w14:textId="77777777" w:rsidTr="00460EFD">
        <w:trPr>
          <w:trHeight w:val="176"/>
        </w:trPr>
        <w:tc>
          <w:tcPr>
            <w:tcW w:w="3870" w:type="dxa"/>
            <w:vMerge/>
            <w:shd w:val="clear" w:color="auto" w:fill="EEE3FF"/>
            <w:vAlign w:val="center"/>
          </w:tcPr>
          <w:p w14:paraId="297F6F0F" w14:textId="77777777" w:rsidR="00460EFD" w:rsidRDefault="00460EFD" w:rsidP="00AD67FB">
            <w:pPr>
              <w:spacing w:before="40" w:after="40"/>
              <w:ind w:left="252" w:hanging="252"/>
              <w:rPr>
                <w:sz w:val="28"/>
                <w:szCs w:val="28"/>
              </w:rPr>
            </w:pPr>
          </w:p>
        </w:tc>
        <w:tc>
          <w:tcPr>
            <w:tcW w:w="3510" w:type="dxa"/>
            <w:vMerge/>
            <w:shd w:val="clear" w:color="auto" w:fill="EEE3FF"/>
            <w:vAlign w:val="center"/>
          </w:tcPr>
          <w:p w14:paraId="18D448DA" w14:textId="77777777" w:rsidR="00460EFD" w:rsidRDefault="00460EFD" w:rsidP="0032324D">
            <w:pPr>
              <w:spacing w:before="40" w:after="40"/>
              <w:rPr>
                <w:sz w:val="20"/>
                <w:szCs w:val="20"/>
              </w:rPr>
            </w:pPr>
          </w:p>
        </w:tc>
        <w:tc>
          <w:tcPr>
            <w:tcW w:w="3562" w:type="dxa"/>
            <w:tcBorders>
              <w:top w:val="dashSmallGap" w:sz="4" w:space="0" w:color="auto"/>
              <w:bottom w:val="dashSmallGap" w:sz="4" w:space="0" w:color="auto"/>
            </w:tcBorders>
            <w:shd w:val="clear" w:color="auto" w:fill="EEE3FF"/>
            <w:vAlign w:val="center"/>
          </w:tcPr>
          <w:p w14:paraId="22FB81BA" w14:textId="1F4D8D2E" w:rsidR="00460EFD" w:rsidRPr="00C55002" w:rsidRDefault="00460EFD" w:rsidP="0032324D">
            <w:pPr>
              <w:spacing w:before="40" w:after="40"/>
              <w:jc w:val="center"/>
              <w:rPr>
                <w:sz w:val="20"/>
                <w:szCs w:val="20"/>
              </w:rPr>
            </w:pPr>
            <w:r>
              <w:rPr>
                <w:sz w:val="20"/>
                <w:szCs w:val="20"/>
              </w:rPr>
              <w:t>Second Hire Scorecard</w:t>
            </w:r>
          </w:p>
        </w:tc>
      </w:tr>
      <w:tr w:rsidR="00460EFD" w:rsidRPr="00C55002" w14:paraId="01A8B26B" w14:textId="77777777" w:rsidTr="00460EFD">
        <w:trPr>
          <w:trHeight w:val="176"/>
        </w:trPr>
        <w:tc>
          <w:tcPr>
            <w:tcW w:w="3870" w:type="dxa"/>
            <w:vMerge/>
            <w:shd w:val="clear" w:color="auto" w:fill="EEE3FF"/>
            <w:vAlign w:val="center"/>
          </w:tcPr>
          <w:p w14:paraId="67EAF923" w14:textId="77777777" w:rsidR="00460EFD" w:rsidRDefault="00460EFD" w:rsidP="00AD67FB">
            <w:pPr>
              <w:spacing w:before="40" w:after="40"/>
              <w:ind w:left="252" w:hanging="252"/>
              <w:rPr>
                <w:sz w:val="28"/>
                <w:szCs w:val="28"/>
              </w:rPr>
            </w:pPr>
          </w:p>
        </w:tc>
        <w:tc>
          <w:tcPr>
            <w:tcW w:w="3510" w:type="dxa"/>
            <w:vMerge/>
            <w:shd w:val="clear" w:color="auto" w:fill="EEE3FF"/>
            <w:vAlign w:val="center"/>
          </w:tcPr>
          <w:p w14:paraId="3C648F94" w14:textId="77777777" w:rsidR="00460EFD" w:rsidRDefault="00460EFD" w:rsidP="0032324D">
            <w:pPr>
              <w:spacing w:before="40" w:after="40"/>
              <w:rPr>
                <w:sz w:val="20"/>
                <w:szCs w:val="20"/>
              </w:rPr>
            </w:pPr>
          </w:p>
        </w:tc>
        <w:tc>
          <w:tcPr>
            <w:tcW w:w="3562" w:type="dxa"/>
            <w:tcBorders>
              <w:top w:val="dashSmallGap" w:sz="4" w:space="0" w:color="auto"/>
            </w:tcBorders>
            <w:shd w:val="clear" w:color="auto" w:fill="EEE3FF"/>
            <w:vAlign w:val="center"/>
          </w:tcPr>
          <w:p w14:paraId="78E4EEC3" w14:textId="7D2DD3CE" w:rsidR="00460EFD" w:rsidRPr="00C55002" w:rsidRDefault="00460EFD" w:rsidP="0032324D">
            <w:pPr>
              <w:spacing w:before="40" w:after="40"/>
              <w:jc w:val="center"/>
              <w:rPr>
                <w:sz w:val="20"/>
                <w:szCs w:val="20"/>
              </w:rPr>
            </w:pPr>
            <w:r>
              <w:rPr>
                <w:sz w:val="20"/>
                <w:szCs w:val="20"/>
              </w:rPr>
              <w:t>Feedback to Classmates</w:t>
            </w:r>
          </w:p>
        </w:tc>
      </w:tr>
      <w:tr w:rsidR="00460EFD" w:rsidRPr="004D65EA" w14:paraId="5DF22883" w14:textId="77777777" w:rsidTr="00460EFD">
        <w:tc>
          <w:tcPr>
            <w:tcW w:w="3870" w:type="dxa"/>
            <w:shd w:val="clear" w:color="auto" w:fill="FFFFE3"/>
            <w:vAlign w:val="center"/>
          </w:tcPr>
          <w:p w14:paraId="7BE76039" w14:textId="254416E1" w:rsidR="0011366E" w:rsidRPr="003942F4" w:rsidRDefault="0011366E" w:rsidP="00AD67FB">
            <w:pPr>
              <w:spacing w:before="40" w:after="40"/>
              <w:ind w:left="252" w:hanging="252"/>
              <w:rPr>
                <w:sz w:val="28"/>
                <w:szCs w:val="28"/>
              </w:rPr>
            </w:pPr>
            <w:r>
              <w:rPr>
                <w:sz w:val="28"/>
                <w:szCs w:val="28"/>
              </w:rPr>
              <w:t>3</w:t>
            </w:r>
            <w:r>
              <w:rPr>
                <w:sz w:val="28"/>
                <w:szCs w:val="28"/>
              </w:rPr>
              <w:tab/>
            </w:r>
            <w:r w:rsidR="00AD67FB">
              <w:rPr>
                <w:sz w:val="28"/>
                <w:szCs w:val="28"/>
              </w:rPr>
              <w:t>Networking</w:t>
            </w:r>
          </w:p>
        </w:tc>
        <w:tc>
          <w:tcPr>
            <w:tcW w:w="3510" w:type="dxa"/>
            <w:shd w:val="clear" w:color="auto" w:fill="FFFFE3"/>
            <w:vAlign w:val="center"/>
          </w:tcPr>
          <w:p w14:paraId="7663630A" w14:textId="44F12737" w:rsidR="0011366E" w:rsidRPr="00C55002" w:rsidRDefault="00460EFD" w:rsidP="00824B52">
            <w:pPr>
              <w:spacing w:before="40" w:after="40"/>
              <w:rPr>
                <w:sz w:val="20"/>
                <w:szCs w:val="20"/>
              </w:rPr>
            </w:pPr>
            <w:r>
              <w:rPr>
                <w:sz w:val="20"/>
                <w:szCs w:val="20"/>
              </w:rPr>
              <w:t>Students practice networking skills,</w:t>
            </w:r>
            <w:r w:rsidR="00824B52">
              <w:rPr>
                <w:sz w:val="20"/>
                <w:szCs w:val="20"/>
              </w:rPr>
              <w:t xml:space="preserve"> and </w:t>
            </w:r>
            <w:r>
              <w:rPr>
                <w:sz w:val="20"/>
                <w:szCs w:val="20"/>
              </w:rPr>
              <w:t xml:space="preserve">the ability to interact effectively with </w:t>
            </w:r>
            <w:r w:rsidR="00C533D1">
              <w:rPr>
                <w:sz w:val="20"/>
                <w:szCs w:val="20"/>
              </w:rPr>
              <w:t>actual workplace experts / mentors.</w:t>
            </w:r>
          </w:p>
        </w:tc>
        <w:tc>
          <w:tcPr>
            <w:tcW w:w="3562" w:type="dxa"/>
            <w:shd w:val="clear" w:color="auto" w:fill="FFFFE3"/>
            <w:vAlign w:val="center"/>
          </w:tcPr>
          <w:p w14:paraId="45CCD41D" w14:textId="08AEB5D0" w:rsidR="0011366E" w:rsidRPr="004D65EA" w:rsidRDefault="00460EFD" w:rsidP="0032324D">
            <w:pPr>
              <w:spacing w:before="40" w:after="40"/>
              <w:jc w:val="center"/>
              <w:rPr>
                <w:sz w:val="20"/>
                <w:szCs w:val="20"/>
              </w:rPr>
            </w:pPr>
            <w:r>
              <w:rPr>
                <w:sz w:val="20"/>
                <w:szCs w:val="20"/>
              </w:rPr>
              <w:t>Networking Assignment</w:t>
            </w:r>
            <w:r w:rsidR="0011366E">
              <w:rPr>
                <w:sz w:val="20"/>
                <w:szCs w:val="20"/>
              </w:rPr>
              <w:t xml:space="preserve"> </w:t>
            </w:r>
          </w:p>
        </w:tc>
      </w:tr>
      <w:tr w:rsidR="00460EFD" w:rsidRPr="003942F4" w14:paraId="78B7AFCE" w14:textId="77777777" w:rsidTr="00460EFD">
        <w:tc>
          <w:tcPr>
            <w:tcW w:w="3870" w:type="dxa"/>
            <w:shd w:val="clear" w:color="auto" w:fill="E0F6FF"/>
            <w:vAlign w:val="center"/>
          </w:tcPr>
          <w:p w14:paraId="2E090A79" w14:textId="4F9E339E" w:rsidR="0011366E" w:rsidRPr="003942F4" w:rsidRDefault="0011366E" w:rsidP="00AD67FB">
            <w:pPr>
              <w:spacing w:before="40" w:after="40"/>
              <w:ind w:left="252" w:hanging="252"/>
              <w:rPr>
                <w:sz w:val="28"/>
                <w:szCs w:val="28"/>
              </w:rPr>
            </w:pPr>
            <w:r>
              <w:rPr>
                <w:sz w:val="28"/>
                <w:szCs w:val="28"/>
              </w:rPr>
              <w:t>4</w:t>
            </w:r>
            <w:r>
              <w:rPr>
                <w:sz w:val="28"/>
                <w:szCs w:val="28"/>
              </w:rPr>
              <w:tab/>
            </w:r>
            <w:r w:rsidR="00AD67FB">
              <w:rPr>
                <w:sz w:val="28"/>
                <w:szCs w:val="28"/>
              </w:rPr>
              <w:t>Business and Marketing Plans</w:t>
            </w:r>
          </w:p>
        </w:tc>
        <w:tc>
          <w:tcPr>
            <w:tcW w:w="3510" w:type="dxa"/>
            <w:shd w:val="clear" w:color="auto" w:fill="E0F6FF"/>
            <w:vAlign w:val="center"/>
          </w:tcPr>
          <w:p w14:paraId="2BE3987A" w14:textId="47C50889" w:rsidR="0011366E" w:rsidRPr="00C55002" w:rsidRDefault="00460EFD" w:rsidP="0032324D">
            <w:pPr>
              <w:spacing w:before="40" w:after="40"/>
              <w:rPr>
                <w:sz w:val="20"/>
                <w:szCs w:val="20"/>
              </w:rPr>
            </w:pPr>
            <w:r>
              <w:rPr>
                <w:sz w:val="20"/>
                <w:szCs w:val="20"/>
              </w:rPr>
              <w:t>Students complete individual and team hands-on exercises to develop critical components of Business and/or Marketing Plans.</w:t>
            </w:r>
          </w:p>
        </w:tc>
        <w:tc>
          <w:tcPr>
            <w:tcW w:w="3562" w:type="dxa"/>
            <w:shd w:val="clear" w:color="auto" w:fill="E0F6FF"/>
            <w:vAlign w:val="center"/>
          </w:tcPr>
          <w:p w14:paraId="555D55F6" w14:textId="562A42B1" w:rsidR="0011366E" w:rsidRPr="003942F4" w:rsidRDefault="00460EFD" w:rsidP="0032324D">
            <w:pPr>
              <w:spacing w:before="40" w:after="40"/>
              <w:jc w:val="center"/>
              <w:rPr>
                <w:sz w:val="20"/>
                <w:szCs w:val="20"/>
              </w:rPr>
            </w:pPr>
            <w:r>
              <w:rPr>
                <w:sz w:val="20"/>
                <w:szCs w:val="20"/>
              </w:rPr>
              <w:t>Developing a Business and/or Marketing Plan</w:t>
            </w:r>
            <w:r w:rsidR="0011366E" w:rsidRPr="003942F4">
              <w:rPr>
                <w:sz w:val="20"/>
                <w:szCs w:val="20"/>
              </w:rPr>
              <w:t xml:space="preserve"> </w:t>
            </w:r>
          </w:p>
        </w:tc>
      </w:tr>
      <w:tr w:rsidR="00460EFD" w:rsidRPr="003942F4" w14:paraId="688BB4B8" w14:textId="77777777" w:rsidTr="00460EFD">
        <w:tc>
          <w:tcPr>
            <w:tcW w:w="3870" w:type="dxa"/>
            <w:shd w:val="clear" w:color="auto" w:fill="FFE6E6"/>
            <w:vAlign w:val="center"/>
          </w:tcPr>
          <w:p w14:paraId="1B2BEF2E" w14:textId="01B9F57D" w:rsidR="00AD67FB" w:rsidRDefault="00AD67FB" w:rsidP="00AD67FB">
            <w:pPr>
              <w:spacing w:before="40" w:after="40"/>
              <w:ind w:left="252" w:hanging="252"/>
              <w:rPr>
                <w:sz w:val="28"/>
                <w:szCs w:val="28"/>
              </w:rPr>
            </w:pPr>
            <w:r>
              <w:rPr>
                <w:sz w:val="28"/>
                <w:szCs w:val="28"/>
              </w:rPr>
              <w:t>5</w:t>
            </w:r>
            <w:r>
              <w:rPr>
                <w:sz w:val="28"/>
                <w:szCs w:val="28"/>
              </w:rPr>
              <w:tab/>
              <w:t>Business Pitch</w:t>
            </w:r>
          </w:p>
        </w:tc>
        <w:tc>
          <w:tcPr>
            <w:tcW w:w="3510" w:type="dxa"/>
            <w:shd w:val="clear" w:color="auto" w:fill="FFE6E6"/>
            <w:vAlign w:val="center"/>
          </w:tcPr>
          <w:p w14:paraId="7F837825" w14:textId="18E1C111" w:rsidR="00AD67FB" w:rsidRDefault="00460EFD" w:rsidP="0032324D">
            <w:pPr>
              <w:spacing w:before="40" w:after="40"/>
              <w:rPr>
                <w:sz w:val="20"/>
                <w:szCs w:val="20"/>
              </w:rPr>
            </w:pPr>
            <w:r>
              <w:rPr>
                <w:sz w:val="20"/>
                <w:szCs w:val="20"/>
              </w:rPr>
              <w:t>Students practice their ability to make persuasive, concise business pitches.</w:t>
            </w:r>
          </w:p>
        </w:tc>
        <w:tc>
          <w:tcPr>
            <w:tcW w:w="3562" w:type="dxa"/>
            <w:shd w:val="clear" w:color="auto" w:fill="FFE6E6"/>
            <w:vAlign w:val="center"/>
          </w:tcPr>
          <w:p w14:paraId="71A52BBC" w14:textId="29D3FEB1" w:rsidR="00AD67FB" w:rsidRPr="003942F4" w:rsidRDefault="00460EFD" w:rsidP="0032324D">
            <w:pPr>
              <w:spacing w:before="40" w:after="40"/>
              <w:jc w:val="center"/>
              <w:rPr>
                <w:sz w:val="20"/>
                <w:szCs w:val="20"/>
              </w:rPr>
            </w:pPr>
            <w:r>
              <w:rPr>
                <w:sz w:val="20"/>
                <w:szCs w:val="20"/>
              </w:rPr>
              <w:t>Business Pitch Exercise</w:t>
            </w:r>
          </w:p>
        </w:tc>
      </w:tr>
      <w:tr w:rsidR="00460EFD" w:rsidRPr="003942F4" w14:paraId="3BC45018" w14:textId="77777777" w:rsidTr="00460EFD">
        <w:trPr>
          <w:trHeight w:val="714"/>
        </w:trPr>
        <w:tc>
          <w:tcPr>
            <w:tcW w:w="3870" w:type="dxa"/>
            <w:shd w:val="clear" w:color="auto" w:fill="F2F2F2" w:themeFill="background1" w:themeFillShade="F2"/>
            <w:vAlign w:val="center"/>
          </w:tcPr>
          <w:p w14:paraId="39E07230" w14:textId="4A94DBF4" w:rsidR="00460EFD" w:rsidRPr="003942F4" w:rsidRDefault="00460EFD" w:rsidP="00460EFD">
            <w:pPr>
              <w:spacing w:before="40" w:after="40"/>
              <w:ind w:left="252" w:hanging="252"/>
              <w:rPr>
                <w:sz w:val="28"/>
                <w:szCs w:val="28"/>
              </w:rPr>
            </w:pPr>
            <w:r>
              <w:rPr>
                <w:sz w:val="28"/>
                <w:szCs w:val="28"/>
              </w:rPr>
              <w:t>5</w:t>
            </w:r>
            <w:r>
              <w:rPr>
                <w:sz w:val="28"/>
                <w:szCs w:val="28"/>
              </w:rPr>
              <w:tab/>
              <w:t>Online Credential</w:t>
            </w:r>
            <w:r w:rsidRPr="003942F4">
              <w:rPr>
                <w:sz w:val="28"/>
                <w:szCs w:val="28"/>
              </w:rPr>
              <w:t xml:space="preserve"> Test</w:t>
            </w:r>
          </w:p>
        </w:tc>
        <w:tc>
          <w:tcPr>
            <w:tcW w:w="3510" w:type="dxa"/>
            <w:shd w:val="clear" w:color="auto" w:fill="F2F2F2" w:themeFill="background1" w:themeFillShade="F2"/>
            <w:vAlign w:val="center"/>
          </w:tcPr>
          <w:p w14:paraId="72897B1E" w14:textId="120ACDFA" w:rsidR="00460EFD" w:rsidRDefault="00460EFD" w:rsidP="0032324D">
            <w:pPr>
              <w:spacing w:before="60" w:after="60"/>
              <w:rPr>
                <w:sz w:val="20"/>
                <w:szCs w:val="20"/>
              </w:rPr>
            </w:pPr>
            <w:r>
              <w:rPr>
                <w:i/>
                <w:sz w:val="20"/>
                <w:szCs w:val="20"/>
              </w:rPr>
              <w:t>Students successfully pass the Entrepreneurship and Small Business (ESB) exam.</w:t>
            </w:r>
          </w:p>
        </w:tc>
        <w:tc>
          <w:tcPr>
            <w:tcW w:w="3562" w:type="dxa"/>
            <w:shd w:val="clear" w:color="auto" w:fill="F2F2F2" w:themeFill="background1" w:themeFillShade="F2"/>
            <w:vAlign w:val="center"/>
          </w:tcPr>
          <w:p w14:paraId="1F452C61" w14:textId="1AA6B5C9" w:rsidR="00460EFD" w:rsidRPr="003942F4" w:rsidRDefault="00C533D1" w:rsidP="0032324D">
            <w:pPr>
              <w:spacing w:before="40" w:after="40"/>
              <w:jc w:val="center"/>
              <w:rPr>
                <w:sz w:val="20"/>
                <w:szCs w:val="20"/>
              </w:rPr>
            </w:pPr>
            <w:r>
              <w:rPr>
                <w:sz w:val="20"/>
                <w:szCs w:val="20"/>
              </w:rPr>
              <w:t xml:space="preserve">The </w:t>
            </w:r>
            <w:r w:rsidR="00460EFD">
              <w:rPr>
                <w:sz w:val="20"/>
                <w:szCs w:val="20"/>
              </w:rPr>
              <w:t>Entrepreneurship and Small Business (</w:t>
            </w:r>
            <w:proofErr w:type="spellStart"/>
            <w:r w:rsidR="00460EFD">
              <w:rPr>
                <w:sz w:val="20"/>
                <w:szCs w:val="20"/>
              </w:rPr>
              <w:t>ESB</w:t>
            </w:r>
            <w:proofErr w:type="spellEnd"/>
            <w:r w:rsidR="00460EFD">
              <w:rPr>
                <w:sz w:val="20"/>
                <w:szCs w:val="20"/>
              </w:rPr>
              <w:t>) Exam</w:t>
            </w:r>
            <w:r>
              <w:rPr>
                <w:sz w:val="20"/>
                <w:szCs w:val="20"/>
              </w:rPr>
              <w:t xml:space="preserve"> administered by </w:t>
            </w:r>
            <w:proofErr w:type="spellStart"/>
            <w:r>
              <w:rPr>
                <w:sz w:val="20"/>
                <w:szCs w:val="20"/>
              </w:rPr>
              <w:t>Certiport</w:t>
            </w:r>
            <w:proofErr w:type="spellEnd"/>
          </w:p>
        </w:tc>
      </w:tr>
    </w:tbl>
    <w:p w14:paraId="79F4CF1F" w14:textId="77777777" w:rsidR="0011366E" w:rsidRPr="00EB3677" w:rsidRDefault="0011366E" w:rsidP="0011366E">
      <w:pPr>
        <w:jc w:val="both"/>
        <w:rPr>
          <w:b/>
          <w:sz w:val="10"/>
          <w:szCs w:val="10"/>
        </w:rPr>
      </w:pPr>
    </w:p>
    <w:p w14:paraId="3FBAC283" w14:textId="77777777" w:rsidR="0011366E" w:rsidRDefault="0011366E" w:rsidP="0011366E">
      <w:pPr>
        <w:jc w:val="both"/>
      </w:pPr>
      <w:r>
        <w:t xml:space="preserve">There is a robust library of resources developed by the Micro-Enterprise Credential development team to help teachers prepare their students to successfully complete these components.  </w:t>
      </w:r>
    </w:p>
    <w:p w14:paraId="7AC4E4F1" w14:textId="77777777" w:rsidR="0011366E" w:rsidRDefault="0011366E" w:rsidP="0011366E">
      <w:pPr>
        <w:jc w:val="both"/>
      </w:pPr>
    </w:p>
    <w:p w14:paraId="6E8FEB15" w14:textId="551ABE37" w:rsidR="0011366E" w:rsidRDefault="0011366E" w:rsidP="0011366E">
      <w:pPr>
        <w:jc w:val="both"/>
      </w:pPr>
      <w:r>
        <w:t>These resources, included in this binder and listed in the Resource I</w:t>
      </w:r>
      <w:r w:rsidR="00824B52">
        <w:t>ndex (R</w:t>
      </w:r>
      <w:r>
        <w:t xml:space="preserve">esource </w:t>
      </w:r>
      <w:r w:rsidR="00460EFD">
        <w:t>2</w:t>
      </w:r>
      <w:r>
        <w:t>1-01), are available for download at:</w:t>
      </w:r>
    </w:p>
    <w:p w14:paraId="223A7672" w14:textId="77777777" w:rsidR="0011366E" w:rsidRDefault="0011366E" w:rsidP="0011366E"/>
    <w:p w14:paraId="37DEC9F5" w14:textId="77777777" w:rsidR="0011366E" w:rsidRDefault="00FB7DE0" w:rsidP="0011366E">
      <w:pPr>
        <w:jc w:val="center"/>
        <w:rPr>
          <w:rStyle w:val="Hyperlink"/>
        </w:rPr>
      </w:pPr>
      <w:hyperlink r:id="rId7" w:history="1">
        <w:r w:rsidR="0011366E" w:rsidRPr="00266A9C">
          <w:rPr>
            <w:rStyle w:val="Hyperlink"/>
          </w:rPr>
          <w:t>http://www.louisianabelieves.com/resources/library/jump-start-pilot-programs</w:t>
        </w:r>
      </w:hyperlink>
    </w:p>
    <w:p w14:paraId="78F68DF9" w14:textId="77777777" w:rsidR="0011366E" w:rsidRDefault="0011366E" w:rsidP="0011366E">
      <w:pPr>
        <w:rPr>
          <w:rStyle w:val="Hyperlink"/>
        </w:rPr>
      </w:pPr>
    </w:p>
    <w:p w14:paraId="25B17EB9" w14:textId="77777777" w:rsidR="0011366E" w:rsidRDefault="0011366E" w:rsidP="0011366E">
      <w:pPr>
        <w:jc w:val="both"/>
        <w:rPr>
          <w:rStyle w:val="Hyperlink"/>
        </w:rPr>
      </w:pPr>
      <w:r>
        <w:t>To prevent student downloads of Teacher Guides that include answer keys, the Teacher Guides will only be available for download from a password-protected Dropbox (instructions provided separately).</w:t>
      </w:r>
    </w:p>
    <w:p w14:paraId="25573D06" w14:textId="77777777" w:rsidR="0011366E" w:rsidRDefault="0011366E" w:rsidP="0011366E"/>
    <w:p w14:paraId="1ECCE367" w14:textId="77777777" w:rsidR="0011366E" w:rsidRPr="00C533D1" w:rsidRDefault="0011366E" w:rsidP="0011366E">
      <w:pPr>
        <w:jc w:val="both"/>
        <w:rPr>
          <w:b/>
          <w:szCs w:val="22"/>
        </w:rPr>
      </w:pPr>
    </w:p>
    <w:p w14:paraId="66B38930" w14:textId="1F43B662" w:rsidR="00F65D9A" w:rsidRPr="00AB0036" w:rsidRDefault="00F65D9A" w:rsidP="00F65D9A">
      <w:pPr>
        <w:jc w:val="both"/>
        <w:rPr>
          <w:b/>
          <w:color w:val="0432FF"/>
          <w:sz w:val="28"/>
          <w:szCs w:val="28"/>
        </w:rPr>
      </w:pPr>
      <w:r w:rsidRPr="00D91835">
        <w:rPr>
          <w:b/>
          <w:color w:val="0432FF"/>
          <w:sz w:val="28"/>
          <w:szCs w:val="28"/>
          <w:highlight w:val="yellow"/>
        </w:rPr>
        <w:t>Online Teacher Registration</w:t>
      </w:r>
      <w:r>
        <w:rPr>
          <w:b/>
          <w:color w:val="0432FF"/>
          <w:sz w:val="28"/>
          <w:szCs w:val="28"/>
        </w:rPr>
        <w:t xml:space="preserve"> – see Resource 21-0</w:t>
      </w:r>
      <w:r w:rsidR="008F6102">
        <w:rPr>
          <w:b/>
          <w:color w:val="0432FF"/>
          <w:sz w:val="28"/>
          <w:szCs w:val="28"/>
        </w:rPr>
        <w:t>5</w:t>
      </w:r>
      <w:bookmarkStart w:id="0" w:name="_GoBack"/>
      <w:bookmarkEnd w:id="0"/>
    </w:p>
    <w:p w14:paraId="10A2DA8B" w14:textId="4DA8A5AF" w:rsidR="00F65D9A" w:rsidRDefault="00F65D9A" w:rsidP="00F65D9A">
      <w:pPr>
        <w:jc w:val="both"/>
      </w:pPr>
      <w:r>
        <w:rPr>
          <w:i/>
          <w:u w:val="single"/>
        </w:rPr>
        <w:t>All</w:t>
      </w:r>
      <w:r>
        <w:t xml:space="preserve"> teachers must register online as a Micro-Enterprise Credential teacher, and complete three modules that indicate their mastery of the policies and procedures required for students to earn their Micro-Enterprise Credentials:</w:t>
      </w:r>
    </w:p>
    <w:p w14:paraId="52A6D3BF" w14:textId="77777777" w:rsidR="00F65D9A" w:rsidRPr="00F65D9A" w:rsidRDefault="00F65D9A" w:rsidP="00F65D9A">
      <w:pPr>
        <w:jc w:val="both"/>
        <w:rPr>
          <w:sz w:val="18"/>
          <w:szCs w:val="18"/>
        </w:rPr>
      </w:pPr>
    </w:p>
    <w:p w14:paraId="2B06B8EB" w14:textId="1B683833" w:rsidR="00F65D9A" w:rsidRPr="00F65D9A" w:rsidRDefault="00F65D9A" w:rsidP="00F65D9A">
      <w:pPr>
        <w:pStyle w:val="ListParagraph"/>
        <w:numPr>
          <w:ilvl w:val="0"/>
          <w:numId w:val="23"/>
        </w:numPr>
        <w:spacing w:after="180"/>
        <w:ind w:left="634"/>
        <w:contextualSpacing w:val="0"/>
        <w:jc w:val="both"/>
      </w:pPr>
      <w:r w:rsidRPr="00F65D9A">
        <w:t xml:space="preserve">Confirming Certification Requirements </w:t>
      </w:r>
    </w:p>
    <w:p w14:paraId="63D13371" w14:textId="77777777" w:rsidR="00F65D9A" w:rsidRDefault="00F65D9A" w:rsidP="00F65D9A">
      <w:pPr>
        <w:pStyle w:val="ListParagraph"/>
        <w:numPr>
          <w:ilvl w:val="0"/>
          <w:numId w:val="23"/>
        </w:numPr>
        <w:spacing w:after="180"/>
        <w:ind w:left="634"/>
        <w:contextualSpacing w:val="0"/>
        <w:jc w:val="both"/>
      </w:pPr>
      <w:r w:rsidRPr="00F65D9A">
        <w:t xml:space="preserve">Confirming Module Tracking System Requirements </w:t>
      </w:r>
    </w:p>
    <w:p w14:paraId="21359C7A" w14:textId="6BAF7068" w:rsidR="00F65D9A" w:rsidRPr="00F65D9A" w:rsidRDefault="00F65D9A" w:rsidP="00F65D9A">
      <w:pPr>
        <w:pStyle w:val="ListParagraph"/>
        <w:numPr>
          <w:ilvl w:val="0"/>
          <w:numId w:val="23"/>
        </w:numPr>
        <w:spacing w:after="180"/>
        <w:ind w:left="634"/>
        <w:contextualSpacing w:val="0"/>
        <w:jc w:val="both"/>
      </w:pPr>
      <w:r w:rsidRPr="00F65D9A">
        <w:t xml:space="preserve">Administrative Requirements </w:t>
      </w:r>
    </w:p>
    <w:p w14:paraId="20C0BECD" w14:textId="77777777" w:rsidR="00F65D9A" w:rsidRPr="00ED5AB4" w:rsidRDefault="00F65D9A" w:rsidP="00F65D9A">
      <w:pPr>
        <w:jc w:val="both"/>
        <w:rPr>
          <w:b/>
          <w:color w:val="FF0000"/>
        </w:rPr>
      </w:pPr>
      <w:r w:rsidRPr="00ED5AB4">
        <w:rPr>
          <w:b/>
          <w:i/>
          <w:color w:val="FF0000"/>
        </w:rPr>
        <w:t xml:space="preserve">The Micro-Enterprise Credential Online Teacher Registration system will provide confirmation once a teacher has completed each of these modules. </w:t>
      </w:r>
      <w:r w:rsidRPr="00ED5AB4">
        <w:rPr>
          <w:b/>
          <w:i/>
          <w:color w:val="FF0000"/>
          <w:highlight w:val="yellow"/>
        </w:rPr>
        <w:t xml:space="preserve"> This confirmation will be </w:t>
      </w:r>
      <w:r w:rsidRPr="00ED5AB4">
        <w:rPr>
          <w:b/>
          <w:i/>
          <w:color w:val="FF0000"/>
          <w:highlight w:val="yellow"/>
          <w:u w:val="single"/>
        </w:rPr>
        <w:t>required</w:t>
      </w:r>
      <w:r w:rsidRPr="00ED5AB4">
        <w:rPr>
          <w:b/>
          <w:i/>
          <w:color w:val="FF0000"/>
          <w:highlight w:val="yellow"/>
        </w:rPr>
        <w:t xml:space="preserve"> for </w:t>
      </w:r>
      <w:r w:rsidRPr="00ED5AB4">
        <w:rPr>
          <w:b/>
          <w:i/>
          <w:color w:val="FF0000"/>
          <w:highlight w:val="yellow"/>
          <w:u w:val="single"/>
        </w:rPr>
        <w:t>all</w:t>
      </w:r>
      <w:r w:rsidRPr="00ED5AB4">
        <w:rPr>
          <w:b/>
          <w:i/>
          <w:color w:val="FF0000"/>
          <w:highlight w:val="yellow"/>
        </w:rPr>
        <w:t xml:space="preserve"> Micro-Enterprise Credential teachers.</w:t>
      </w:r>
    </w:p>
    <w:p w14:paraId="59FD317D" w14:textId="77777777" w:rsidR="0011366E" w:rsidRPr="00833344" w:rsidRDefault="0011366E" w:rsidP="0011366E">
      <w:pPr>
        <w:jc w:val="both"/>
        <w:rPr>
          <w:b/>
          <w:sz w:val="28"/>
          <w:szCs w:val="28"/>
        </w:rPr>
      </w:pPr>
      <w:r>
        <w:rPr>
          <w:b/>
          <w:sz w:val="28"/>
          <w:szCs w:val="28"/>
        </w:rPr>
        <w:lastRenderedPageBreak/>
        <w:t>Scope and Sequence Recommendations</w:t>
      </w:r>
    </w:p>
    <w:p w14:paraId="6CE32973" w14:textId="156DC188" w:rsidR="0011366E" w:rsidRDefault="0011366E" w:rsidP="00B115AE">
      <w:pPr>
        <w:spacing w:after="180"/>
        <w:jc w:val="both"/>
      </w:pPr>
      <w:r>
        <w:t>Th</w:t>
      </w:r>
      <w:r w:rsidR="00B115AE">
        <w:t xml:space="preserve">e Statewide </w:t>
      </w:r>
      <w:r>
        <w:t xml:space="preserve">Micro-Enterprise Credential </w:t>
      </w:r>
      <w:r w:rsidR="00B115AE">
        <w:t>binder</w:t>
      </w:r>
      <w:r>
        <w:t xml:space="preserve"> includes</w:t>
      </w:r>
      <w:r w:rsidR="00B115AE">
        <w:t xml:space="preserve"> an</w:t>
      </w:r>
      <w:r>
        <w:t xml:space="preserve"> Implementation G</w:t>
      </w:r>
      <w:r w:rsidR="00B115AE">
        <w:t>uide (resource 22-04) that indicates</w:t>
      </w:r>
      <w:r>
        <w:t>:</w:t>
      </w:r>
    </w:p>
    <w:p w14:paraId="3AA1A52D" w14:textId="77777777" w:rsidR="0011366E" w:rsidRDefault="0011366E" w:rsidP="0011366E">
      <w:pPr>
        <w:pStyle w:val="ListParagraph"/>
        <w:numPr>
          <w:ilvl w:val="0"/>
          <w:numId w:val="22"/>
        </w:numPr>
        <w:spacing w:after="180"/>
        <w:contextualSpacing w:val="0"/>
        <w:jc w:val="both"/>
      </w:pPr>
      <w:r>
        <w:t>a list of critical resources for each area of instruction;</w:t>
      </w:r>
    </w:p>
    <w:p w14:paraId="664A7B9F" w14:textId="77777777" w:rsidR="0011366E" w:rsidRDefault="0011366E" w:rsidP="0011366E">
      <w:pPr>
        <w:pStyle w:val="ListParagraph"/>
        <w:numPr>
          <w:ilvl w:val="0"/>
          <w:numId w:val="22"/>
        </w:numPr>
        <w:spacing w:after="180"/>
        <w:contextualSpacing w:val="0"/>
        <w:jc w:val="both"/>
      </w:pPr>
      <w:r>
        <w:t>the purpose of each resource;</w:t>
      </w:r>
    </w:p>
    <w:p w14:paraId="52757F84" w14:textId="4E14E505" w:rsidR="0011366E" w:rsidRDefault="0011366E" w:rsidP="0011366E">
      <w:pPr>
        <w:pStyle w:val="ListParagraph"/>
        <w:numPr>
          <w:ilvl w:val="0"/>
          <w:numId w:val="22"/>
        </w:numPr>
        <w:spacing w:after="180"/>
        <w:contextualSpacing w:val="0"/>
        <w:jc w:val="both"/>
      </w:pPr>
      <w:r>
        <w:t>implementation</w:t>
      </w:r>
      <w:r w:rsidR="00B115AE">
        <w:t xml:space="preserve"> notes, based on the best judgement of experienced Micro-Enterprise Credential</w:t>
      </w:r>
      <w:r>
        <w:t xml:space="preserve"> </w:t>
      </w:r>
      <w:proofErr w:type="gramStart"/>
      <w:r>
        <w:t>teachers;  and</w:t>
      </w:r>
      <w:proofErr w:type="gramEnd"/>
    </w:p>
    <w:p w14:paraId="00A9D55B" w14:textId="77777777" w:rsidR="0011366E" w:rsidRDefault="0011366E" w:rsidP="0011366E">
      <w:pPr>
        <w:pStyle w:val="ListParagraph"/>
        <w:numPr>
          <w:ilvl w:val="0"/>
          <w:numId w:val="22"/>
        </w:numPr>
        <w:spacing w:after="180"/>
        <w:contextualSpacing w:val="0"/>
        <w:jc w:val="both"/>
      </w:pPr>
      <w:r>
        <w:t>anticipated teaching time for each resource / topic.</w:t>
      </w:r>
    </w:p>
    <w:p w14:paraId="0B6EF3E2" w14:textId="46343861" w:rsidR="0011366E" w:rsidRPr="00780375" w:rsidRDefault="0011366E" w:rsidP="0011366E">
      <w:pPr>
        <w:jc w:val="both"/>
        <w:rPr>
          <w:b/>
          <w:i/>
        </w:rPr>
      </w:pPr>
      <w:r>
        <w:rPr>
          <w:b/>
          <w:i/>
        </w:rPr>
        <w:t>Teache</w:t>
      </w:r>
      <w:r w:rsidR="00B115AE">
        <w:rPr>
          <w:b/>
          <w:i/>
        </w:rPr>
        <w:t>rs can use this</w:t>
      </w:r>
      <w:r>
        <w:rPr>
          <w:b/>
          <w:i/>
        </w:rPr>
        <w:t xml:space="preserve"> Implementation G</w:t>
      </w:r>
      <w:r w:rsidR="00B115AE">
        <w:rPr>
          <w:b/>
          <w:i/>
        </w:rPr>
        <w:t>uide</w:t>
      </w:r>
      <w:r>
        <w:rPr>
          <w:b/>
          <w:i/>
        </w:rPr>
        <w:t xml:space="preserve"> to help them determine the proper sequencing of topics / resources for their students, as well as the timeframe they will use to present each topic area.</w:t>
      </w:r>
    </w:p>
    <w:p w14:paraId="3A8ECE20" w14:textId="77777777" w:rsidR="0011366E" w:rsidRDefault="0011366E" w:rsidP="0011366E">
      <w:pPr>
        <w:jc w:val="both"/>
      </w:pPr>
    </w:p>
    <w:p w14:paraId="1386797B" w14:textId="6459E069" w:rsidR="0011366E" w:rsidRPr="00780375" w:rsidRDefault="0011366E" w:rsidP="0011366E">
      <w:pPr>
        <w:jc w:val="both"/>
      </w:pPr>
      <w:r>
        <w:t xml:space="preserve">Note:  </w:t>
      </w:r>
      <w:r w:rsidR="00B115AE">
        <w:t>becau</w:t>
      </w:r>
      <w:r w:rsidR="00824B52">
        <w:t>se this is a new credential, we a</w:t>
      </w:r>
      <w:r w:rsidR="00B115AE">
        <w:t xml:space="preserve">re interested in hearing from teachers about their experience working with their students using these new, more advanced materials.  Let us know what you’re learning and what works for you and your students at </w:t>
      </w:r>
      <w:hyperlink r:id="rId8" w:history="1">
        <w:r w:rsidR="00B115AE" w:rsidRPr="00E45B0C">
          <w:rPr>
            <w:rStyle w:val="Hyperlink"/>
          </w:rPr>
          <w:t>JumpStart@la.gov</w:t>
        </w:r>
      </w:hyperlink>
      <w:r w:rsidR="00B115AE">
        <w:t xml:space="preserve">  </w:t>
      </w:r>
    </w:p>
    <w:p w14:paraId="28EF295E" w14:textId="77777777" w:rsidR="0011366E" w:rsidRDefault="0011366E" w:rsidP="0011366E">
      <w:pPr>
        <w:jc w:val="both"/>
      </w:pPr>
    </w:p>
    <w:p w14:paraId="7A12D223" w14:textId="77777777" w:rsidR="0011366E" w:rsidRDefault="0011366E" w:rsidP="0011366E">
      <w:pPr>
        <w:jc w:val="both"/>
      </w:pPr>
    </w:p>
    <w:tbl>
      <w:tblPr>
        <w:tblStyle w:val="TableGrid"/>
        <w:tblW w:w="10890" w:type="dxa"/>
        <w:tblInd w:w="108" w:type="dxa"/>
        <w:tblLook w:val="04A0" w:firstRow="1" w:lastRow="0" w:firstColumn="1" w:lastColumn="0" w:noHBand="0" w:noVBand="1"/>
      </w:tblPr>
      <w:tblGrid>
        <w:gridCol w:w="10890"/>
      </w:tblGrid>
      <w:tr w:rsidR="0011366E" w:rsidRPr="00721D28" w14:paraId="6313DF15" w14:textId="77777777" w:rsidTr="0032324D">
        <w:trPr>
          <w:trHeight w:val="1047"/>
        </w:trPr>
        <w:tc>
          <w:tcPr>
            <w:tcW w:w="10890" w:type="dxa"/>
            <w:shd w:val="clear" w:color="auto" w:fill="F2F2F2" w:themeFill="background1" w:themeFillShade="F2"/>
          </w:tcPr>
          <w:p w14:paraId="3F14847F" w14:textId="77777777" w:rsidR="0011366E" w:rsidRPr="00721D28" w:rsidRDefault="0011366E" w:rsidP="0032324D">
            <w:pPr>
              <w:jc w:val="both"/>
              <w:rPr>
                <w:sz w:val="28"/>
                <w:szCs w:val="28"/>
              </w:rPr>
            </w:pPr>
          </w:p>
          <w:p w14:paraId="112BD8AD" w14:textId="77777777" w:rsidR="0011366E" w:rsidRPr="00721D28" w:rsidRDefault="0011366E" w:rsidP="0032324D">
            <w:pPr>
              <w:jc w:val="center"/>
              <w:rPr>
                <w:b/>
                <w:sz w:val="28"/>
                <w:szCs w:val="28"/>
              </w:rPr>
            </w:pPr>
            <w:r w:rsidRPr="00721D28">
              <w:rPr>
                <w:b/>
                <w:sz w:val="28"/>
                <w:szCs w:val="28"/>
              </w:rPr>
              <w:t xml:space="preserve">If you </w:t>
            </w:r>
            <w:r>
              <w:rPr>
                <w:b/>
                <w:sz w:val="28"/>
                <w:szCs w:val="28"/>
              </w:rPr>
              <w:t xml:space="preserve">need assistance or </w:t>
            </w:r>
            <w:r w:rsidRPr="00721D28">
              <w:rPr>
                <w:b/>
                <w:sz w:val="28"/>
                <w:szCs w:val="28"/>
              </w:rPr>
              <w:t>have a question</w:t>
            </w:r>
            <w:r>
              <w:rPr>
                <w:b/>
                <w:sz w:val="28"/>
                <w:szCs w:val="28"/>
              </w:rPr>
              <w:t xml:space="preserve"> about any of the Micro-Enterprise Credential resources, or any aspect of teaching these resources, please email:  </w:t>
            </w:r>
            <w:hyperlink r:id="rId9" w:history="1">
              <w:r w:rsidRPr="00721D28">
                <w:rPr>
                  <w:rStyle w:val="Hyperlink"/>
                  <w:b/>
                  <w:sz w:val="28"/>
                  <w:szCs w:val="28"/>
                </w:rPr>
                <w:t>JumpStart@la.gov</w:t>
              </w:r>
            </w:hyperlink>
          </w:p>
          <w:p w14:paraId="5A2424D6" w14:textId="77777777" w:rsidR="0011366E" w:rsidRPr="00971347" w:rsidRDefault="0011366E" w:rsidP="0032324D">
            <w:pPr>
              <w:jc w:val="center"/>
              <w:rPr>
                <w:b/>
                <w:sz w:val="13"/>
                <w:szCs w:val="13"/>
              </w:rPr>
            </w:pPr>
          </w:p>
          <w:p w14:paraId="37A6043A" w14:textId="77777777" w:rsidR="0011366E" w:rsidRDefault="0011366E" w:rsidP="0032324D">
            <w:pPr>
              <w:jc w:val="center"/>
              <w:rPr>
                <w:b/>
                <w:i/>
                <w:color w:val="0000FF"/>
                <w:sz w:val="28"/>
                <w:szCs w:val="28"/>
              </w:rPr>
            </w:pPr>
            <w:r w:rsidRPr="00721D28">
              <w:rPr>
                <w:b/>
                <w:sz w:val="28"/>
                <w:szCs w:val="28"/>
              </w:rPr>
              <w:t xml:space="preserve">Subject Line:  </w:t>
            </w:r>
            <w:r w:rsidRPr="007A3FB6">
              <w:rPr>
                <w:b/>
                <w:i/>
                <w:color w:val="0000FF"/>
                <w:sz w:val="28"/>
                <w:szCs w:val="28"/>
              </w:rPr>
              <w:t xml:space="preserve">Micro-Enterprise Credential </w:t>
            </w:r>
            <w:r>
              <w:rPr>
                <w:b/>
                <w:i/>
                <w:color w:val="0000FF"/>
                <w:sz w:val="28"/>
                <w:szCs w:val="28"/>
              </w:rPr>
              <w:t>Help Request</w:t>
            </w:r>
          </w:p>
          <w:p w14:paraId="76FD00C8" w14:textId="77777777" w:rsidR="0011366E" w:rsidRPr="00721D28" w:rsidRDefault="0011366E" w:rsidP="0032324D">
            <w:pPr>
              <w:rPr>
                <w:sz w:val="28"/>
                <w:szCs w:val="28"/>
              </w:rPr>
            </w:pPr>
          </w:p>
        </w:tc>
      </w:tr>
      <w:tr w:rsidR="0011366E" w:rsidRPr="00721D28" w14:paraId="11C92382" w14:textId="77777777" w:rsidTr="0032324D">
        <w:trPr>
          <w:trHeight w:val="1046"/>
        </w:trPr>
        <w:tc>
          <w:tcPr>
            <w:tcW w:w="10890" w:type="dxa"/>
            <w:shd w:val="clear" w:color="auto" w:fill="E7FEE7"/>
          </w:tcPr>
          <w:p w14:paraId="0C620E29" w14:textId="77777777" w:rsidR="0011366E" w:rsidRDefault="0011366E" w:rsidP="0032324D">
            <w:pPr>
              <w:jc w:val="center"/>
              <w:rPr>
                <w:b/>
                <w:sz w:val="28"/>
                <w:szCs w:val="28"/>
              </w:rPr>
            </w:pPr>
          </w:p>
          <w:p w14:paraId="28C5F318" w14:textId="5D8798E9" w:rsidR="0011366E" w:rsidRDefault="0011366E" w:rsidP="0032324D">
            <w:pPr>
              <w:jc w:val="center"/>
              <w:rPr>
                <w:b/>
                <w:sz w:val="28"/>
                <w:szCs w:val="28"/>
              </w:rPr>
            </w:pPr>
            <w:r>
              <w:rPr>
                <w:b/>
                <w:sz w:val="28"/>
                <w:szCs w:val="28"/>
              </w:rPr>
              <w:t>You can also send the effective</w:t>
            </w:r>
            <w:r w:rsidR="00A253E8">
              <w:rPr>
                <w:b/>
                <w:sz w:val="28"/>
                <w:szCs w:val="28"/>
              </w:rPr>
              <w:t xml:space="preserve"> instructional resources you </w:t>
            </w:r>
            <w:r>
              <w:rPr>
                <w:b/>
                <w:sz w:val="28"/>
                <w:szCs w:val="28"/>
              </w:rPr>
              <w:t xml:space="preserve">develop to </w:t>
            </w:r>
            <w:hyperlink r:id="rId10" w:history="1">
              <w:r w:rsidRPr="00737D5A">
                <w:rPr>
                  <w:rStyle w:val="Hyperlink"/>
                  <w:b/>
                  <w:sz w:val="28"/>
                  <w:szCs w:val="28"/>
                </w:rPr>
                <w:t>JumpStart@la.gov</w:t>
              </w:r>
            </w:hyperlink>
            <w:r>
              <w:rPr>
                <w:b/>
                <w:sz w:val="28"/>
                <w:szCs w:val="28"/>
              </w:rPr>
              <w:t xml:space="preserve"> </w:t>
            </w:r>
          </w:p>
          <w:p w14:paraId="4D0B9C09" w14:textId="77777777" w:rsidR="0011366E" w:rsidRPr="00971347" w:rsidRDefault="0011366E" w:rsidP="0032324D">
            <w:pPr>
              <w:jc w:val="center"/>
              <w:rPr>
                <w:b/>
                <w:sz w:val="13"/>
                <w:szCs w:val="13"/>
              </w:rPr>
            </w:pPr>
          </w:p>
          <w:p w14:paraId="516DE793" w14:textId="77777777" w:rsidR="0011366E" w:rsidRDefault="0011366E" w:rsidP="0032324D">
            <w:pPr>
              <w:jc w:val="center"/>
              <w:rPr>
                <w:b/>
                <w:i/>
                <w:color w:val="0000FF"/>
                <w:sz w:val="28"/>
                <w:szCs w:val="28"/>
              </w:rPr>
            </w:pPr>
            <w:r w:rsidRPr="00721D28">
              <w:rPr>
                <w:b/>
                <w:sz w:val="28"/>
                <w:szCs w:val="28"/>
              </w:rPr>
              <w:t xml:space="preserve">Subject Line:  </w:t>
            </w:r>
            <w:r w:rsidRPr="007A3FB6">
              <w:rPr>
                <w:b/>
                <w:i/>
                <w:color w:val="0000FF"/>
                <w:sz w:val="28"/>
                <w:szCs w:val="28"/>
              </w:rPr>
              <w:t xml:space="preserve">Micro-Enterprise Credential </w:t>
            </w:r>
            <w:r>
              <w:rPr>
                <w:b/>
                <w:i/>
                <w:color w:val="0000FF"/>
                <w:sz w:val="28"/>
                <w:szCs w:val="28"/>
              </w:rPr>
              <w:t>New Resource</w:t>
            </w:r>
          </w:p>
          <w:p w14:paraId="0059D83C" w14:textId="77777777" w:rsidR="0011366E" w:rsidRPr="00721D28" w:rsidRDefault="0011366E" w:rsidP="0032324D">
            <w:pPr>
              <w:jc w:val="both"/>
              <w:rPr>
                <w:sz w:val="28"/>
                <w:szCs w:val="28"/>
              </w:rPr>
            </w:pPr>
          </w:p>
        </w:tc>
      </w:tr>
    </w:tbl>
    <w:p w14:paraId="6C63DE0F" w14:textId="77777777" w:rsidR="0011366E" w:rsidRDefault="0011366E" w:rsidP="0011366E">
      <w:pPr>
        <w:jc w:val="both"/>
      </w:pPr>
    </w:p>
    <w:p w14:paraId="0B7E2CC8" w14:textId="77777777" w:rsidR="0011366E" w:rsidRPr="00615CF1" w:rsidRDefault="0011366E" w:rsidP="007B0C6D">
      <w:pPr>
        <w:jc w:val="both"/>
      </w:pPr>
    </w:p>
    <w:sectPr w:rsidR="0011366E" w:rsidRPr="00615CF1" w:rsidSect="00BA7CDD">
      <w:headerReference w:type="default" r:id="rId11"/>
      <w:footerReference w:type="even" r:id="rId12"/>
      <w:footerReference w:type="default" r:id="rId13"/>
      <w:headerReference w:type="first" r:id="rId14"/>
      <w:footerReference w:type="first" r:id="rId15"/>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DE50" w14:textId="77777777" w:rsidR="00FB7DE0" w:rsidRDefault="00FB7DE0" w:rsidP="00DB0209">
      <w:r>
        <w:separator/>
      </w:r>
    </w:p>
  </w:endnote>
  <w:endnote w:type="continuationSeparator" w:id="0">
    <w:p w14:paraId="0659925B" w14:textId="77777777" w:rsidR="00FB7DE0" w:rsidRDefault="00FB7DE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3162C02"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2D08F2">
      <w:rPr>
        <w:sz w:val="20"/>
        <w:szCs w:val="20"/>
      </w:rPr>
      <w:t>2</w:t>
    </w:r>
    <w:r w:rsidR="00864DA8">
      <w:rPr>
        <w:sz w:val="20"/>
        <w:szCs w:val="20"/>
      </w:rPr>
      <w:t>-0</w:t>
    </w:r>
    <w:r w:rsidR="0011366E">
      <w:rPr>
        <w:sz w:val="20"/>
        <w:szCs w:val="20"/>
      </w:rPr>
      <w:t>1</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F6102">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F6102">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38A5501"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2D08F2">
      <w:rPr>
        <w:sz w:val="20"/>
        <w:szCs w:val="20"/>
      </w:rPr>
      <w:t>2</w:t>
    </w:r>
    <w:r>
      <w:rPr>
        <w:sz w:val="20"/>
        <w:szCs w:val="20"/>
      </w:rPr>
      <w:t>-0</w:t>
    </w:r>
    <w:r w:rsidR="00E65B2C">
      <w:rPr>
        <w:sz w:val="20"/>
        <w:szCs w:val="20"/>
      </w:rPr>
      <w:t>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915512">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915512">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9B8FA" w14:textId="77777777" w:rsidR="00FB7DE0" w:rsidRDefault="00FB7DE0" w:rsidP="00DB0209">
      <w:r>
        <w:separator/>
      </w:r>
    </w:p>
  </w:footnote>
  <w:footnote w:type="continuationSeparator" w:id="0">
    <w:p w14:paraId="2921233D" w14:textId="77777777" w:rsidR="00FB7DE0" w:rsidRDefault="00FB7DE0"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5935F0F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366E">
      <w:rPr>
        <w:b/>
        <w:sz w:val="28"/>
        <w:szCs w:val="28"/>
      </w:rPr>
      <w:t>Statewide Credential Getting</w:t>
    </w:r>
  </w:p>
  <w:p w14:paraId="690ACF69" w14:textId="5077CD22" w:rsidR="008733CD" w:rsidRPr="003F5B9A" w:rsidRDefault="0011366E" w:rsidP="00864DA8">
    <w:pPr>
      <w:pStyle w:val="Header"/>
      <w:jc w:val="center"/>
      <w:rPr>
        <w:b/>
        <w:sz w:val="28"/>
        <w:szCs w:val="28"/>
      </w:rPr>
    </w:pPr>
    <w:r>
      <w:rPr>
        <w:b/>
        <w:sz w:val="28"/>
        <w:szCs w:val="28"/>
      </w:rPr>
      <w:t>Started 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2B66DFB" w:rsidR="00864DA8" w:rsidRDefault="00864DA8" w:rsidP="00864DA8">
    <w:pPr>
      <w:pStyle w:val="Header"/>
      <w:jc w:val="center"/>
    </w:pPr>
    <w:r>
      <w:rPr>
        <w:b/>
        <w:color w:val="7030A0"/>
      </w:rPr>
      <w:t>Resource 2</w:t>
    </w:r>
    <w:r w:rsidR="00204A60">
      <w:rPr>
        <w:b/>
        <w:color w:val="7030A0"/>
      </w:rPr>
      <w:t>2</w:t>
    </w:r>
    <w:r>
      <w:rPr>
        <w:b/>
        <w:color w:val="7030A0"/>
      </w:rPr>
      <w:t>-0</w:t>
    </w:r>
    <w:r w:rsidR="00AA5F71">
      <w:rPr>
        <w:b/>
        <w:color w:val="7030A0"/>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37E15"/>
    <w:multiLevelType w:val="hybridMultilevel"/>
    <w:tmpl w:val="9034A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C03EF"/>
    <w:multiLevelType w:val="hybridMultilevel"/>
    <w:tmpl w:val="1F76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EF3A94"/>
    <w:multiLevelType w:val="hybridMultilevel"/>
    <w:tmpl w:val="E5A48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4"/>
  </w:num>
  <w:num w:numId="4">
    <w:abstractNumId w:val="7"/>
  </w:num>
  <w:num w:numId="5">
    <w:abstractNumId w:val="4"/>
  </w:num>
  <w:num w:numId="6">
    <w:abstractNumId w:val="11"/>
  </w:num>
  <w:num w:numId="7">
    <w:abstractNumId w:val="3"/>
  </w:num>
  <w:num w:numId="8">
    <w:abstractNumId w:val="20"/>
  </w:num>
  <w:num w:numId="9">
    <w:abstractNumId w:val="10"/>
  </w:num>
  <w:num w:numId="10">
    <w:abstractNumId w:val="6"/>
  </w:num>
  <w:num w:numId="11">
    <w:abstractNumId w:val="1"/>
  </w:num>
  <w:num w:numId="12">
    <w:abstractNumId w:val="19"/>
  </w:num>
  <w:num w:numId="13">
    <w:abstractNumId w:val="16"/>
  </w:num>
  <w:num w:numId="14">
    <w:abstractNumId w:val="15"/>
  </w:num>
  <w:num w:numId="15">
    <w:abstractNumId w:val="2"/>
  </w:num>
  <w:num w:numId="16">
    <w:abstractNumId w:val="17"/>
  </w:num>
  <w:num w:numId="17">
    <w:abstractNumId w:val="5"/>
  </w:num>
  <w:num w:numId="18">
    <w:abstractNumId w:val="0"/>
  </w:num>
  <w:num w:numId="19">
    <w:abstractNumId w:val="12"/>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2325"/>
    <w:rsid w:val="00053744"/>
    <w:rsid w:val="00064597"/>
    <w:rsid w:val="0006568A"/>
    <w:rsid w:val="00075DD1"/>
    <w:rsid w:val="000847A0"/>
    <w:rsid w:val="000B57DF"/>
    <w:rsid w:val="000B7620"/>
    <w:rsid w:val="000D5755"/>
    <w:rsid w:val="000F0BB7"/>
    <w:rsid w:val="000F2369"/>
    <w:rsid w:val="000F3851"/>
    <w:rsid w:val="00107399"/>
    <w:rsid w:val="0011366E"/>
    <w:rsid w:val="0011731E"/>
    <w:rsid w:val="001420E9"/>
    <w:rsid w:val="00146519"/>
    <w:rsid w:val="00152235"/>
    <w:rsid w:val="00172D81"/>
    <w:rsid w:val="00180378"/>
    <w:rsid w:val="001A2528"/>
    <w:rsid w:val="001A742D"/>
    <w:rsid w:val="001D046B"/>
    <w:rsid w:val="001E7F4F"/>
    <w:rsid w:val="00204A60"/>
    <w:rsid w:val="00233E53"/>
    <w:rsid w:val="002650B2"/>
    <w:rsid w:val="00266179"/>
    <w:rsid w:val="00276AF0"/>
    <w:rsid w:val="00287824"/>
    <w:rsid w:val="00293A70"/>
    <w:rsid w:val="002A77D7"/>
    <w:rsid w:val="002A7E30"/>
    <w:rsid w:val="002D08F2"/>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22D7F"/>
    <w:rsid w:val="00435191"/>
    <w:rsid w:val="00444D97"/>
    <w:rsid w:val="00450714"/>
    <w:rsid w:val="00453A7C"/>
    <w:rsid w:val="00460EFD"/>
    <w:rsid w:val="00463F52"/>
    <w:rsid w:val="0046403F"/>
    <w:rsid w:val="00473B68"/>
    <w:rsid w:val="00477B5C"/>
    <w:rsid w:val="004837FC"/>
    <w:rsid w:val="00493645"/>
    <w:rsid w:val="00495252"/>
    <w:rsid w:val="004A4633"/>
    <w:rsid w:val="004B00FD"/>
    <w:rsid w:val="004B558A"/>
    <w:rsid w:val="004D4F1A"/>
    <w:rsid w:val="004D65EA"/>
    <w:rsid w:val="004D695A"/>
    <w:rsid w:val="004E45D1"/>
    <w:rsid w:val="004E5636"/>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60133E"/>
    <w:rsid w:val="00610312"/>
    <w:rsid w:val="0061147D"/>
    <w:rsid w:val="00615A7A"/>
    <w:rsid w:val="00615CF1"/>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E61E8"/>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104"/>
    <w:rsid w:val="007B3E04"/>
    <w:rsid w:val="007C2D81"/>
    <w:rsid w:val="007D1BE3"/>
    <w:rsid w:val="007D5973"/>
    <w:rsid w:val="007E25CE"/>
    <w:rsid w:val="007E6956"/>
    <w:rsid w:val="007F409A"/>
    <w:rsid w:val="00810B33"/>
    <w:rsid w:val="00817C95"/>
    <w:rsid w:val="00824B52"/>
    <w:rsid w:val="00833344"/>
    <w:rsid w:val="008401FE"/>
    <w:rsid w:val="008411B6"/>
    <w:rsid w:val="0085243B"/>
    <w:rsid w:val="00861497"/>
    <w:rsid w:val="008641D2"/>
    <w:rsid w:val="00864DA8"/>
    <w:rsid w:val="008733CD"/>
    <w:rsid w:val="008737FD"/>
    <w:rsid w:val="008831A8"/>
    <w:rsid w:val="00883206"/>
    <w:rsid w:val="00886AD1"/>
    <w:rsid w:val="00891500"/>
    <w:rsid w:val="008E0119"/>
    <w:rsid w:val="008F6102"/>
    <w:rsid w:val="008F7A80"/>
    <w:rsid w:val="00903513"/>
    <w:rsid w:val="00915512"/>
    <w:rsid w:val="00916FA6"/>
    <w:rsid w:val="00923C74"/>
    <w:rsid w:val="00943A87"/>
    <w:rsid w:val="009461A1"/>
    <w:rsid w:val="009511BC"/>
    <w:rsid w:val="00970028"/>
    <w:rsid w:val="0097037D"/>
    <w:rsid w:val="009C6D21"/>
    <w:rsid w:val="009D4EA5"/>
    <w:rsid w:val="009E0FBC"/>
    <w:rsid w:val="009E36C6"/>
    <w:rsid w:val="00A00194"/>
    <w:rsid w:val="00A104D5"/>
    <w:rsid w:val="00A22EF7"/>
    <w:rsid w:val="00A25190"/>
    <w:rsid w:val="00A253E8"/>
    <w:rsid w:val="00A3121C"/>
    <w:rsid w:val="00A3590C"/>
    <w:rsid w:val="00A37E57"/>
    <w:rsid w:val="00A44629"/>
    <w:rsid w:val="00A86045"/>
    <w:rsid w:val="00A92631"/>
    <w:rsid w:val="00AA03CE"/>
    <w:rsid w:val="00AA5F71"/>
    <w:rsid w:val="00AD34A3"/>
    <w:rsid w:val="00AD67FB"/>
    <w:rsid w:val="00AE7D54"/>
    <w:rsid w:val="00B1150E"/>
    <w:rsid w:val="00B115AE"/>
    <w:rsid w:val="00B27589"/>
    <w:rsid w:val="00B31C36"/>
    <w:rsid w:val="00B660D1"/>
    <w:rsid w:val="00B764A8"/>
    <w:rsid w:val="00B765CA"/>
    <w:rsid w:val="00BA0392"/>
    <w:rsid w:val="00BA7CDD"/>
    <w:rsid w:val="00BB4181"/>
    <w:rsid w:val="00BC4C66"/>
    <w:rsid w:val="00BE730B"/>
    <w:rsid w:val="00C10993"/>
    <w:rsid w:val="00C1207A"/>
    <w:rsid w:val="00C210C9"/>
    <w:rsid w:val="00C214E8"/>
    <w:rsid w:val="00C41551"/>
    <w:rsid w:val="00C47AE5"/>
    <w:rsid w:val="00C533D1"/>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6784"/>
    <w:rsid w:val="00DE5DEA"/>
    <w:rsid w:val="00DF00E6"/>
    <w:rsid w:val="00E15313"/>
    <w:rsid w:val="00E30A96"/>
    <w:rsid w:val="00E3300C"/>
    <w:rsid w:val="00E37CC6"/>
    <w:rsid w:val="00E57246"/>
    <w:rsid w:val="00E65B2C"/>
    <w:rsid w:val="00E666D3"/>
    <w:rsid w:val="00E738DA"/>
    <w:rsid w:val="00E95B1C"/>
    <w:rsid w:val="00EB3677"/>
    <w:rsid w:val="00EB768F"/>
    <w:rsid w:val="00EC595B"/>
    <w:rsid w:val="00EC7BF7"/>
    <w:rsid w:val="00EE25B9"/>
    <w:rsid w:val="00EE669D"/>
    <w:rsid w:val="00EF5624"/>
    <w:rsid w:val="00F248C7"/>
    <w:rsid w:val="00F309A2"/>
    <w:rsid w:val="00F4016B"/>
    <w:rsid w:val="00F61DEE"/>
    <w:rsid w:val="00F63077"/>
    <w:rsid w:val="00F65D9A"/>
    <w:rsid w:val="00F7450B"/>
    <w:rsid w:val="00F81E07"/>
    <w:rsid w:val="00F8201F"/>
    <w:rsid w:val="00FA07AA"/>
    <w:rsid w:val="00FA6740"/>
    <w:rsid w:val="00FA70DC"/>
    <w:rsid w:val="00FB71E9"/>
    <w:rsid w:val="00FB7DE0"/>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FootnoteText">
    <w:name w:val="footnote text"/>
    <w:basedOn w:val="Normal"/>
    <w:link w:val="FootnoteTextChar"/>
    <w:uiPriority w:val="99"/>
    <w:unhideWhenUsed/>
    <w:rsid w:val="00F65D9A"/>
    <w:rPr>
      <w:sz w:val="24"/>
    </w:rPr>
  </w:style>
  <w:style w:type="character" w:customStyle="1" w:styleId="FootnoteTextChar">
    <w:name w:val="Footnote Text Char"/>
    <w:basedOn w:val="DefaultParagraphFont"/>
    <w:link w:val="FootnoteText"/>
    <w:uiPriority w:val="99"/>
    <w:rsid w:val="00F65D9A"/>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F65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5997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uisianabelieves.com/resources/library/jump-start-pilot-programs" TargetMode="External"/><Relationship Id="rId8" Type="http://schemas.openxmlformats.org/officeDocument/2006/relationships/hyperlink" Target="mailto:JumpStart@la.gov" TargetMode="External"/><Relationship Id="rId9" Type="http://schemas.openxmlformats.org/officeDocument/2006/relationships/hyperlink" Target="mailto:JumpStart@la.gov" TargetMode="External"/><Relationship Id="rId10" Type="http://schemas.openxmlformats.org/officeDocument/2006/relationships/hyperlink" Target="mailto:JumpStart@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1072</Words>
  <Characters>6117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2015-12-21T12:56:00Z</cp:lastPrinted>
  <dcterms:created xsi:type="dcterms:W3CDTF">2017-06-07T08:33:00Z</dcterms:created>
  <dcterms:modified xsi:type="dcterms:W3CDTF">2017-06-15T15:34:00Z</dcterms:modified>
</cp:coreProperties>
</file>