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98EC3C9" w:rsidR="002650B2" w:rsidRPr="00903513" w:rsidRDefault="00787D5A" w:rsidP="007E25CE">
      <w:pPr>
        <w:jc w:val="center"/>
        <w:rPr>
          <w:b/>
          <w:noProof/>
          <w:sz w:val="28"/>
          <w:szCs w:val="28"/>
        </w:rPr>
      </w:pPr>
      <w:r>
        <w:rPr>
          <w:b/>
          <w:noProof/>
          <w:sz w:val="28"/>
          <w:szCs w:val="28"/>
        </w:rPr>
        <w:t>Understanding / Mitigating Risk</w:t>
      </w:r>
    </w:p>
    <w:p w14:paraId="433F7BDC" w14:textId="103EBBC2"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5495">
        <w:rPr>
          <w:noProof/>
          <w:sz w:val="20"/>
          <w:szCs w:val="20"/>
        </w:rPr>
        <w:t>June 16</w:t>
      </w:r>
      <w:r w:rsidR="00864DA8">
        <w:rPr>
          <w:noProof/>
          <w:sz w:val="20"/>
          <w:szCs w:val="20"/>
        </w:rPr>
        <w:t>, 2017</w:t>
      </w:r>
      <w:r w:rsidR="007C2D81" w:rsidRPr="001A742D">
        <w:rPr>
          <w:noProof/>
          <w:sz w:val="20"/>
          <w:szCs w:val="20"/>
        </w:rPr>
        <w:t>)</w:t>
      </w:r>
    </w:p>
    <w:p w14:paraId="1BC6F187" w14:textId="6319CED6" w:rsidR="00787D5A" w:rsidRDefault="00787D5A" w:rsidP="004B00FD">
      <w:pPr>
        <w:jc w:val="both"/>
        <w:rPr>
          <w:b/>
          <w:sz w:val="28"/>
          <w:szCs w:val="28"/>
        </w:rPr>
      </w:pPr>
      <w:r>
        <w:rPr>
          <w:b/>
          <w:sz w:val="28"/>
          <w:szCs w:val="28"/>
        </w:rPr>
        <w:t>What is Risk?</w:t>
      </w:r>
    </w:p>
    <w:p w14:paraId="05555691" w14:textId="77777777" w:rsidR="00787D5A" w:rsidRDefault="00787D5A" w:rsidP="005E39EB">
      <w:pPr>
        <w:spacing w:after="180"/>
        <w:jc w:val="both"/>
        <w:rPr>
          <w:b/>
        </w:rPr>
      </w:pPr>
      <w:r w:rsidRPr="00787D5A">
        <w:rPr>
          <w:b/>
          <w:color w:val="0432FF"/>
          <w:highlight w:val="yellow"/>
        </w:rPr>
        <w:t>Risk is uncertainty.</w:t>
      </w:r>
      <w:r w:rsidRPr="00787D5A">
        <w:rPr>
          <w:b/>
        </w:rPr>
        <w:t xml:space="preserve">  </w:t>
      </w:r>
    </w:p>
    <w:p w14:paraId="588583BC" w14:textId="1ABCB185" w:rsidR="00787D5A" w:rsidRDefault="00787D5A" w:rsidP="005E39EB">
      <w:pPr>
        <w:spacing w:after="180"/>
        <w:jc w:val="both"/>
      </w:pPr>
      <w:r>
        <w:t xml:space="preserve">The definition of risk:  "A situation involving exposure to danger."  In the context of an entrepreneur, </w:t>
      </w:r>
      <w:r w:rsidR="00C20834">
        <w:t>the "danger" is loss of capital, as well as</w:t>
      </w:r>
      <w:r>
        <w:t xml:space="preserve"> the loss of time, effort, and personal re</w:t>
      </w:r>
      <w:bookmarkStart w:id="0" w:name="_GoBack"/>
      <w:bookmarkEnd w:id="0"/>
      <w:r>
        <w:t>putation in a failed venture.</w:t>
      </w:r>
    </w:p>
    <w:p w14:paraId="755912EC" w14:textId="7DA14A4E" w:rsidR="00787D5A" w:rsidRDefault="00787D5A" w:rsidP="005E39EB">
      <w:pPr>
        <w:spacing w:after="180"/>
        <w:jc w:val="both"/>
      </w:pPr>
      <w:r>
        <w:t>Risk is an inherent condition of human existence.  There are always uncertainties, in every realm of your life.  What teachers will you have next year?  How well will you do on that exam?  Will you have a good time this weekend?  Will you get into a car accident next week?</w:t>
      </w:r>
    </w:p>
    <w:p w14:paraId="2FAC9DEE" w14:textId="2A803737" w:rsidR="00787D5A" w:rsidRDefault="00787D5A" w:rsidP="005E39EB">
      <w:pPr>
        <w:spacing w:after="180"/>
        <w:jc w:val="both"/>
      </w:pPr>
      <w:r>
        <w:t xml:space="preserve">Clearly there are different types of risks and different levels of risk.   </w:t>
      </w:r>
      <w:r w:rsidR="00797D51">
        <w:t xml:space="preserve">For example, there's "Academic Risk" (how well you'll do in school), "Social Risk" (how well you'll enjoy your personal life), "Safety Risk" (will you </w:t>
      </w:r>
      <w:r w:rsidR="00C20834">
        <w:t>stay safe and healthy)</w:t>
      </w:r>
      <w:r w:rsidR="00797D51">
        <w:t>, and many, many others.</w:t>
      </w:r>
      <w:r w:rsidR="005E39EB">
        <w:t xml:space="preserve">  Some risks are small and unimportant (the Social Risk of wearing shoes that don't match your outfit), </w:t>
      </w:r>
      <w:r w:rsidR="00C20834">
        <w:t xml:space="preserve">while </w:t>
      </w:r>
      <w:r w:rsidR="005E39EB">
        <w:t>others are critical (the Academic Risk of not studying for an exam, or the Safety risk of texting and driving).</w:t>
      </w:r>
    </w:p>
    <w:p w14:paraId="5D63AF49" w14:textId="73E5CA53" w:rsidR="001A4668" w:rsidRDefault="00797D51" w:rsidP="005E39EB">
      <w:pPr>
        <w:spacing w:after="180"/>
        <w:jc w:val="both"/>
      </w:pPr>
      <w:r>
        <w:t>F</w:t>
      </w:r>
      <w:r w:rsidR="00C20834">
        <w:t>inally, there are</w:t>
      </w:r>
      <w:r>
        <w:t xml:space="preserve"> factors or risks that you control, and others that </w:t>
      </w:r>
      <w:r w:rsidR="00C20834">
        <w:t>you can't</w:t>
      </w:r>
      <w:r>
        <w:t xml:space="preserve">.  In terms of Academic Risk, you can't control which teachers you'll be assigned next year, but you </w:t>
      </w:r>
      <w:r>
        <w:rPr>
          <w:i/>
        </w:rPr>
        <w:t>can</w:t>
      </w:r>
      <w:r>
        <w:t xml:space="preserve"> control how hard you study.  You can treat other people well to manage your Social Risk.  You can adopt safe behaviors</w:t>
      </w:r>
      <w:r w:rsidR="00C20834">
        <w:t xml:space="preserve"> - no texting, drugs or</w:t>
      </w:r>
      <w:r>
        <w:t xml:space="preserve"> drinking </w:t>
      </w:r>
      <w:r w:rsidR="005E39EB">
        <w:t>when</w:t>
      </w:r>
      <w:r w:rsidR="001A4668">
        <w:t xml:space="preserve"> driving - to keep you safe.</w:t>
      </w:r>
    </w:p>
    <w:p w14:paraId="1BDACB17" w14:textId="54485EDB" w:rsidR="00797D51" w:rsidRPr="005E39EB" w:rsidRDefault="00797D51" w:rsidP="005E39EB">
      <w:pPr>
        <w:spacing w:after="180"/>
        <w:jc w:val="both"/>
        <w:rPr>
          <w:b/>
          <w:i/>
          <w:sz w:val="28"/>
          <w:szCs w:val="28"/>
        </w:rPr>
      </w:pPr>
      <w:r w:rsidRPr="005E39EB">
        <w:rPr>
          <w:b/>
          <w:i/>
        </w:rPr>
        <w:t>The first task of an entrepreneur is to understand risk.  Then the next step is to understand when / how you can mitigate risk without reducing potential reward.</w:t>
      </w:r>
    </w:p>
    <w:p w14:paraId="4E522D5F" w14:textId="77777777" w:rsidR="00787D5A" w:rsidRDefault="00787D5A" w:rsidP="004B00FD">
      <w:pPr>
        <w:jc w:val="both"/>
        <w:rPr>
          <w:b/>
          <w:sz w:val="28"/>
          <w:szCs w:val="28"/>
        </w:rPr>
      </w:pPr>
    </w:p>
    <w:p w14:paraId="3F80B855" w14:textId="0C77CEAE" w:rsidR="004B00FD" w:rsidRPr="00833344" w:rsidRDefault="00787D5A" w:rsidP="004B00FD">
      <w:pPr>
        <w:jc w:val="both"/>
        <w:rPr>
          <w:b/>
          <w:sz w:val="28"/>
          <w:szCs w:val="28"/>
        </w:rPr>
      </w:pPr>
      <w:r>
        <w:rPr>
          <w:b/>
          <w:sz w:val="28"/>
          <w:szCs w:val="28"/>
        </w:rPr>
        <w:t>Understanding</w:t>
      </w:r>
      <w:r w:rsidR="001819DC">
        <w:rPr>
          <w:b/>
          <w:sz w:val="28"/>
          <w:szCs w:val="28"/>
        </w:rPr>
        <w:t xml:space="preserve"> Risk</w:t>
      </w:r>
    </w:p>
    <w:p w14:paraId="2904FD93" w14:textId="259EF661" w:rsidR="004B00FD" w:rsidRDefault="00E11C57" w:rsidP="004B00FD">
      <w:pPr>
        <w:jc w:val="both"/>
      </w:pPr>
      <w:r w:rsidRPr="00787D5A">
        <w:rPr>
          <w:b/>
          <w:color w:val="0432FF"/>
          <w:highlight w:val="yellow"/>
        </w:rPr>
        <w:t>Risk creates reward.</w:t>
      </w:r>
      <w:r>
        <w:t xml:space="preserve">  If there is no risk there is no </w:t>
      </w:r>
      <w:r w:rsidR="0056513E">
        <w:t>"doable" new venture - without</w:t>
      </w:r>
      <w:r>
        <w:t xml:space="preserve"> risk there is no prospect for investors to e</w:t>
      </w:r>
      <w:r w:rsidR="0056513E">
        <w:t>arn</w:t>
      </w:r>
      <w:r>
        <w:t xml:space="preserve"> a return on </w:t>
      </w:r>
      <w:r w:rsidR="0056513E">
        <w:t xml:space="preserve">their </w:t>
      </w:r>
      <w:r>
        <w:t>capital.  The old saying:  "The greater the risk, the greater the return" is almost always correct.</w:t>
      </w:r>
    </w:p>
    <w:p w14:paraId="26FB5478" w14:textId="77777777" w:rsidR="00EE669D" w:rsidRPr="0064217B" w:rsidRDefault="00EE669D" w:rsidP="004B00FD">
      <w:pPr>
        <w:jc w:val="both"/>
        <w:rPr>
          <w:sz w:val="13"/>
          <w:szCs w:val="13"/>
        </w:rPr>
      </w:pPr>
    </w:p>
    <w:p w14:paraId="1D8B6273" w14:textId="282AEF89" w:rsidR="00EA172E" w:rsidRDefault="00EA172E" w:rsidP="007B0C6D">
      <w:pPr>
        <w:jc w:val="both"/>
      </w:pPr>
      <w:r>
        <w:t>The table below provides a snapshot of different ty</w:t>
      </w:r>
      <w:r w:rsidR="0056513E">
        <w:t xml:space="preserve">pes of risks that a new venture or small business </w:t>
      </w:r>
      <w:r w:rsidR="00F13F18">
        <w:t>might encounter</w:t>
      </w:r>
      <w:r>
        <w:t>.</w:t>
      </w:r>
    </w:p>
    <w:p w14:paraId="35996CB1" w14:textId="63643528" w:rsidR="00F13F18" w:rsidRPr="00F13F18" w:rsidRDefault="00F13F18" w:rsidP="007B0C6D">
      <w:pPr>
        <w:jc w:val="both"/>
        <w:rPr>
          <w:sz w:val="10"/>
          <w:szCs w:val="10"/>
        </w:rPr>
      </w:pPr>
    </w:p>
    <w:tbl>
      <w:tblPr>
        <w:tblStyle w:val="TableGrid"/>
        <w:tblW w:w="10840" w:type="dxa"/>
        <w:tblInd w:w="104" w:type="dxa"/>
        <w:tblLook w:val="04A0" w:firstRow="1" w:lastRow="0" w:firstColumn="1" w:lastColumn="0" w:noHBand="0" w:noVBand="1"/>
      </w:tblPr>
      <w:tblGrid>
        <w:gridCol w:w="1266"/>
        <w:gridCol w:w="3238"/>
        <w:gridCol w:w="6336"/>
      </w:tblGrid>
      <w:tr w:rsidR="00797D51" w14:paraId="778F7B8F" w14:textId="77777777" w:rsidTr="00876376">
        <w:tc>
          <w:tcPr>
            <w:tcW w:w="10840" w:type="dxa"/>
            <w:gridSpan w:val="3"/>
            <w:shd w:val="clear" w:color="auto" w:fill="F2F2F2" w:themeFill="background1" w:themeFillShade="F2"/>
            <w:vAlign w:val="center"/>
          </w:tcPr>
          <w:p w14:paraId="18E3D5D8" w14:textId="289E3A53" w:rsidR="00797D51" w:rsidRDefault="00797D51" w:rsidP="00F13F18">
            <w:pPr>
              <w:spacing w:before="60" w:after="60"/>
              <w:jc w:val="center"/>
              <w:rPr>
                <w:b/>
                <w:color w:val="0432FF"/>
                <w:sz w:val="20"/>
                <w:szCs w:val="20"/>
              </w:rPr>
            </w:pPr>
            <w:r>
              <w:rPr>
                <w:b/>
                <w:color w:val="0432FF"/>
                <w:sz w:val="20"/>
                <w:szCs w:val="20"/>
              </w:rPr>
              <w:t>Types of New Venture Risks</w:t>
            </w:r>
          </w:p>
        </w:tc>
      </w:tr>
      <w:tr w:rsidR="00F13F18" w14:paraId="53F0CAB2" w14:textId="77777777" w:rsidTr="00F13F18">
        <w:tc>
          <w:tcPr>
            <w:tcW w:w="1266" w:type="dxa"/>
            <w:shd w:val="clear" w:color="auto" w:fill="F2F2F2" w:themeFill="background1" w:themeFillShade="F2"/>
            <w:vAlign w:val="center"/>
          </w:tcPr>
          <w:p w14:paraId="4A195C28" w14:textId="6C13FCC0" w:rsidR="00F13F18" w:rsidRPr="00F13F18" w:rsidRDefault="00F13F18" w:rsidP="00F13F18">
            <w:pPr>
              <w:spacing w:before="60" w:after="60"/>
              <w:jc w:val="center"/>
              <w:rPr>
                <w:b/>
                <w:color w:val="0432FF"/>
                <w:sz w:val="20"/>
                <w:szCs w:val="20"/>
              </w:rPr>
            </w:pPr>
            <w:r w:rsidRPr="00F13F18">
              <w:rPr>
                <w:b/>
                <w:color w:val="0432FF"/>
                <w:sz w:val="20"/>
                <w:szCs w:val="20"/>
              </w:rPr>
              <w:t>Type of Risk</w:t>
            </w:r>
          </w:p>
        </w:tc>
        <w:tc>
          <w:tcPr>
            <w:tcW w:w="3238" w:type="dxa"/>
            <w:shd w:val="clear" w:color="auto" w:fill="F2F2F2" w:themeFill="background1" w:themeFillShade="F2"/>
            <w:vAlign w:val="center"/>
          </w:tcPr>
          <w:p w14:paraId="49F14019" w14:textId="55D44EF4" w:rsidR="00F13F18" w:rsidRPr="00F13F18" w:rsidRDefault="00F13F18" w:rsidP="00F13F18">
            <w:pPr>
              <w:spacing w:before="60" w:after="60"/>
              <w:jc w:val="center"/>
              <w:rPr>
                <w:b/>
                <w:color w:val="0432FF"/>
                <w:sz w:val="20"/>
                <w:szCs w:val="20"/>
              </w:rPr>
            </w:pPr>
            <w:r w:rsidRPr="00F13F18">
              <w:rPr>
                <w:b/>
                <w:color w:val="0432FF"/>
                <w:sz w:val="20"/>
                <w:szCs w:val="20"/>
              </w:rPr>
              <w:t>Definition</w:t>
            </w:r>
          </w:p>
        </w:tc>
        <w:tc>
          <w:tcPr>
            <w:tcW w:w="6336" w:type="dxa"/>
            <w:shd w:val="clear" w:color="auto" w:fill="F2F2F2" w:themeFill="background1" w:themeFillShade="F2"/>
            <w:vAlign w:val="center"/>
          </w:tcPr>
          <w:p w14:paraId="4734E98E" w14:textId="7860A56B" w:rsidR="00F13F18" w:rsidRPr="00F13F18" w:rsidRDefault="00F13F18" w:rsidP="00F13F18">
            <w:pPr>
              <w:spacing w:before="60" w:after="60"/>
              <w:jc w:val="center"/>
              <w:rPr>
                <w:b/>
                <w:color w:val="0432FF"/>
                <w:sz w:val="20"/>
                <w:szCs w:val="20"/>
              </w:rPr>
            </w:pPr>
            <w:r>
              <w:rPr>
                <w:b/>
                <w:color w:val="0432FF"/>
                <w:sz w:val="20"/>
                <w:szCs w:val="20"/>
              </w:rPr>
              <w:t>Examples</w:t>
            </w:r>
          </w:p>
        </w:tc>
      </w:tr>
      <w:tr w:rsidR="00F13F18" w14:paraId="3DAC1CB8" w14:textId="77777777" w:rsidTr="00797D51">
        <w:tc>
          <w:tcPr>
            <w:tcW w:w="1266" w:type="dxa"/>
            <w:shd w:val="clear" w:color="auto" w:fill="E9FEE6"/>
            <w:vAlign w:val="center"/>
          </w:tcPr>
          <w:p w14:paraId="579CEDE6" w14:textId="28185DB3" w:rsidR="00F13F18" w:rsidRPr="00F13F18" w:rsidRDefault="00F13F18" w:rsidP="00F13F18">
            <w:pPr>
              <w:spacing w:before="60" w:after="60"/>
              <w:rPr>
                <w:sz w:val="20"/>
                <w:szCs w:val="20"/>
              </w:rPr>
            </w:pPr>
            <w:r>
              <w:rPr>
                <w:sz w:val="20"/>
                <w:szCs w:val="20"/>
              </w:rPr>
              <w:t>Business Risk</w:t>
            </w:r>
          </w:p>
        </w:tc>
        <w:tc>
          <w:tcPr>
            <w:tcW w:w="3238" w:type="dxa"/>
            <w:shd w:val="clear" w:color="auto" w:fill="E9FEE6"/>
            <w:vAlign w:val="center"/>
          </w:tcPr>
          <w:p w14:paraId="3A5F6539" w14:textId="4CF25AC3" w:rsidR="00F13F18" w:rsidRPr="00F13F18" w:rsidRDefault="00F13F18" w:rsidP="0064217B">
            <w:pPr>
              <w:spacing w:before="60" w:after="60"/>
              <w:rPr>
                <w:sz w:val="20"/>
                <w:szCs w:val="20"/>
              </w:rPr>
            </w:pPr>
            <w:r>
              <w:rPr>
                <w:sz w:val="20"/>
                <w:szCs w:val="20"/>
              </w:rPr>
              <w:t>Risks associated with the success of a single venture.</w:t>
            </w:r>
          </w:p>
        </w:tc>
        <w:tc>
          <w:tcPr>
            <w:tcW w:w="6336" w:type="dxa"/>
          </w:tcPr>
          <w:p w14:paraId="5E5DBD9C" w14:textId="12B70B1B" w:rsidR="00F13F18" w:rsidRDefault="006D2499" w:rsidP="00235D72">
            <w:pPr>
              <w:pStyle w:val="ListParagraph"/>
              <w:numPr>
                <w:ilvl w:val="0"/>
                <w:numId w:val="28"/>
              </w:numPr>
              <w:spacing w:before="20" w:after="20"/>
              <w:ind w:left="346" w:hanging="274"/>
              <w:contextualSpacing w:val="0"/>
              <w:jc w:val="both"/>
              <w:rPr>
                <w:sz w:val="20"/>
                <w:szCs w:val="20"/>
              </w:rPr>
            </w:pPr>
            <w:r>
              <w:rPr>
                <w:sz w:val="20"/>
                <w:szCs w:val="20"/>
              </w:rPr>
              <w:t>Operational risk (the company</w:t>
            </w:r>
            <w:r w:rsidR="0064217B">
              <w:rPr>
                <w:sz w:val="20"/>
                <w:szCs w:val="20"/>
              </w:rPr>
              <w:t xml:space="preserve">'s ability to operate </w:t>
            </w:r>
            <w:r>
              <w:rPr>
                <w:sz w:val="20"/>
                <w:szCs w:val="20"/>
              </w:rPr>
              <w:t>efficient</w:t>
            </w:r>
            <w:r w:rsidR="0064217B">
              <w:rPr>
                <w:sz w:val="20"/>
                <w:szCs w:val="20"/>
              </w:rPr>
              <w:t>ly</w:t>
            </w:r>
            <w:r>
              <w:rPr>
                <w:sz w:val="20"/>
                <w:szCs w:val="20"/>
              </w:rPr>
              <w:t>)</w:t>
            </w:r>
          </w:p>
          <w:p w14:paraId="78BB1F49" w14:textId="7857B16D" w:rsidR="0064217B" w:rsidRPr="0064217B" w:rsidRDefault="0064217B" w:rsidP="0064217B">
            <w:pPr>
              <w:pStyle w:val="ListParagraph"/>
              <w:numPr>
                <w:ilvl w:val="0"/>
                <w:numId w:val="28"/>
              </w:numPr>
              <w:spacing w:before="20" w:after="20"/>
              <w:ind w:left="346" w:hanging="274"/>
              <w:contextualSpacing w:val="0"/>
              <w:jc w:val="both"/>
              <w:rPr>
                <w:sz w:val="20"/>
                <w:szCs w:val="20"/>
              </w:rPr>
            </w:pPr>
            <w:r>
              <w:rPr>
                <w:sz w:val="20"/>
                <w:szCs w:val="20"/>
              </w:rPr>
              <w:t>Personnel risk (ability to hire / retain essential talent)</w:t>
            </w:r>
          </w:p>
        </w:tc>
      </w:tr>
      <w:tr w:rsidR="00F13F18" w14:paraId="7B77B173" w14:textId="77777777" w:rsidTr="00797D51">
        <w:tc>
          <w:tcPr>
            <w:tcW w:w="1266" w:type="dxa"/>
            <w:shd w:val="clear" w:color="auto" w:fill="F0E6FF"/>
            <w:vAlign w:val="center"/>
          </w:tcPr>
          <w:p w14:paraId="0ED69996" w14:textId="6BAD36A5" w:rsidR="00F13F18" w:rsidRPr="00F13F18" w:rsidRDefault="00F13F18" w:rsidP="00F13F18">
            <w:pPr>
              <w:spacing w:before="60" w:after="60"/>
              <w:rPr>
                <w:sz w:val="20"/>
                <w:szCs w:val="20"/>
              </w:rPr>
            </w:pPr>
            <w:r>
              <w:rPr>
                <w:sz w:val="20"/>
                <w:szCs w:val="20"/>
              </w:rPr>
              <w:t>Market Risk</w:t>
            </w:r>
          </w:p>
        </w:tc>
        <w:tc>
          <w:tcPr>
            <w:tcW w:w="3238" w:type="dxa"/>
            <w:shd w:val="clear" w:color="auto" w:fill="F0E6FF"/>
            <w:vAlign w:val="center"/>
          </w:tcPr>
          <w:p w14:paraId="59CEC1B1" w14:textId="0890C894" w:rsidR="00F13F18" w:rsidRPr="00F13F18" w:rsidRDefault="00F13F18" w:rsidP="0064217B">
            <w:pPr>
              <w:spacing w:before="60" w:after="60"/>
              <w:rPr>
                <w:sz w:val="20"/>
                <w:szCs w:val="20"/>
              </w:rPr>
            </w:pPr>
            <w:r>
              <w:rPr>
                <w:sz w:val="20"/>
                <w:szCs w:val="20"/>
              </w:rPr>
              <w:t>Risks in a market sector that impact all competitors in that sector</w:t>
            </w:r>
          </w:p>
        </w:tc>
        <w:tc>
          <w:tcPr>
            <w:tcW w:w="6336" w:type="dxa"/>
          </w:tcPr>
          <w:p w14:paraId="230035C7" w14:textId="77777777" w:rsidR="00F13F18" w:rsidRDefault="0064217B" w:rsidP="00235D72">
            <w:pPr>
              <w:pStyle w:val="ListParagraph"/>
              <w:numPr>
                <w:ilvl w:val="0"/>
                <w:numId w:val="28"/>
              </w:numPr>
              <w:spacing w:before="20" w:after="20"/>
              <w:ind w:left="346" w:hanging="274"/>
              <w:contextualSpacing w:val="0"/>
              <w:jc w:val="both"/>
              <w:rPr>
                <w:sz w:val="20"/>
                <w:szCs w:val="20"/>
              </w:rPr>
            </w:pPr>
            <w:r>
              <w:rPr>
                <w:sz w:val="20"/>
                <w:szCs w:val="20"/>
              </w:rPr>
              <w:t>Technology risk (new technologies displace entire market sectors)</w:t>
            </w:r>
          </w:p>
          <w:p w14:paraId="6BE997F6" w14:textId="50088982" w:rsidR="0064217B" w:rsidRPr="0064217B" w:rsidRDefault="0064217B" w:rsidP="00235D72">
            <w:pPr>
              <w:pStyle w:val="ListParagraph"/>
              <w:numPr>
                <w:ilvl w:val="0"/>
                <w:numId w:val="28"/>
              </w:numPr>
              <w:spacing w:before="20" w:after="20"/>
              <w:ind w:left="346" w:hanging="274"/>
              <w:contextualSpacing w:val="0"/>
              <w:jc w:val="both"/>
              <w:rPr>
                <w:sz w:val="20"/>
                <w:szCs w:val="20"/>
              </w:rPr>
            </w:pPr>
            <w:r>
              <w:rPr>
                <w:sz w:val="20"/>
                <w:szCs w:val="20"/>
              </w:rPr>
              <w:t>Regulatory risk (new regulations have a dramatic business impact)</w:t>
            </w:r>
          </w:p>
        </w:tc>
      </w:tr>
      <w:tr w:rsidR="00F13F18" w14:paraId="1C2B39BB" w14:textId="77777777" w:rsidTr="00797D51">
        <w:tc>
          <w:tcPr>
            <w:tcW w:w="1266" w:type="dxa"/>
            <w:shd w:val="clear" w:color="auto" w:fill="FFFFE6"/>
            <w:vAlign w:val="center"/>
          </w:tcPr>
          <w:p w14:paraId="39DF76FF" w14:textId="5A1BE39D" w:rsidR="00F13F18" w:rsidRPr="00F13F18" w:rsidRDefault="00F13F18" w:rsidP="00F13F18">
            <w:pPr>
              <w:spacing w:before="60" w:after="60"/>
              <w:rPr>
                <w:sz w:val="20"/>
                <w:szCs w:val="20"/>
              </w:rPr>
            </w:pPr>
            <w:r>
              <w:rPr>
                <w:sz w:val="20"/>
                <w:szCs w:val="20"/>
              </w:rPr>
              <w:t>Reputational Risk</w:t>
            </w:r>
          </w:p>
        </w:tc>
        <w:tc>
          <w:tcPr>
            <w:tcW w:w="3238" w:type="dxa"/>
            <w:shd w:val="clear" w:color="auto" w:fill="FFFFE6"/>
            <w:vAlign w:val="center"/>
          </w:tcPr>
          <w:p w14:paraId="4CE4F5F8" w14:textId="356B9229" w:rsidR="00F13F18" w:rsidRPr="00F13F18" w:rsidRDefault="00F13F18" w:rsidP="0064217B">
            <w:pPr>
              <w:spacing w:before="60" w:after="60"/>
              <w:rPr>
                <w:sz w:val="20"/>
                <w:szCs w:val="20"/>
              </w:rPr>
            </w:pPr>
            <w:r>
              <w:rPr>
                <w:sz w:val="20"/>
                <w:szCs w:val="20"/>
              </w:rPr>
              <w:t>Risks associated with the reputation and good standing of a venture</w:t>
            </w:r>
          </w:p>
        </w:tc>
        <w:tc>
          <w:tcPr>
            <w:tcW w:w="6336" w:type="dxa"/>
          </w:tcPr>
          <w:p w14:paraId="1A473CCD" w14:textId="77777777" w:rsidR="0064217B" w:rsidRDefault="0064217B" w:rsidP="0064217B">
            <w:pPr>
              <w:pStyle w:val="ListParagraph"/>
              <w:numPr>
                <w:ilvl w:val="0"/>
                <w:numId w:val="28"/>
              </w:numPr>
              <w:spacing w:before="20" w:after="20"/>
              <w:ind w:left="346" w:hanging="274"/>
              <w:contextualSpacing w:val="0"/>
              <w:jc w:val="both"/>
              <w:rPr>
                <w:sz w:val="20"/>
                <w:szCs w:val="20"/>
              </w:rPr>
            </w:pPr>
            <w:r>
              <w:rPr>
                <w:sz w:val="20"/>
                <w:szCs w:val="20"/>
              </w:rPr>
              <w:t>Legal risk (the impact of a civil or criminal complaint</w:t>
            </w:r>
            <w:r w:rsidR="00876D30">
              <w:rPr>
                <w:sz w:val="20"/>
                <w:szCs w:val="20"/>
              </w:rPr>
              <w:t>)</w:t>
            </w:r>
          </w:p>
          <w:p w14:paraId="06BD0310" w14:textId="76DB45E7" w:rsidR="00876D30" w:rsidRPr="00876D30" w:rsidRDefault="00876D30" w:rsidP="0064217B">
            <w:pPr>
              <w:pStyle w:val="ListParagraph"/>
              <w:numPr>
                <w:ilvl w:val="0"/>
                <w:numId w:val="28"/>
              </w:numPr>
              <w:spacing w:before="20" w:after="20"/>
              <w:ind w:left="346" w:hanging="274"/>
              <w:contextualSpacing w:val="0"/>
              <w:jc w:val="both"/>
              <w:rPr>
                <w:sz w:val="20"/>
                <w:szCs w:val="20"/>
              </w:rPr>
            </w:pPr>
            <w:r>
              <w:rPr>
                <w:sz w:val="20"/>
                <w:szCs w:val="20"/>
              </w:rPr>
              <w:t>Reputation risk (the impact of actions that could alienate customers)</w:t>
            </w:r>
          </w:p>
        </w:tc>
      </w:tr>
      <w:tr w:rsidR="00F13F18" w14:paraId="616E819B" w14:textId="77777777" w:rsidTr="000B376A">
        <w:tc>
          <w:tcPr>
            <w:tcW w:w="1266" w:type="dxa"/>
            <w:shd w:val="clear" w:color="auto" w:fill="EAF8FF"/>
            <w:vAlign w:val="center"/>
          </w:tcPr>
          <w:p w14:paraId="41528843" w14:textId="39F43268" w:rsidR="00F13F18" w:rsidRPr="00F13F18" w:rsidRDefault="00F13F18" w:rsidP="00F13F18">
            <w:pPr>
              <w:spacing w:before="60" w:after="60"/>
              <w:rPr>
                <w:sz w:val="20"/>
                <w:szCs w:val="20"/>
              </w:rPr>
            </w:pPr>
            <w:r>
              <w:rPr>
                <w:sz w:val="20"/>
                <w:szCs w:val="20"/>
              </w:rPr>
              <w:t>Financial Risk</w:t>
            </w:r>
          </w:p>
        </w:tc>
        <w:tc>
          <w:tcPr>
            <w:tcW w:w="3238" w:type="dxa"/>
            <w:shd w:val="clear" w:color="auto" w:fill="EAF8FF"/>
            <w:vAlign w:val="center"/>
          </w:tcPr>
          <w:p w14:paraId="16423734" w14:textId="7AD2F1CD" w:rsidR="00F13F18" w:rsidRPr="00F13F18" w:rsidRDefault="00F13F18" w:rsidP="0064217B">
            <w:pPr>
              <w:spacing w:before="60" w:after="60"/>
              <w:rPr>
                <w:sz w:val="20"/>
                <w:szCs w:val="20"/>
              </w:rPr>
            </w:pPr>
            <w:r>
              <w:rPr>
                <w:sz w:val="20"/>
                <w:szCs w:val="20"/>
              </w:rPr>
              <w:t>Risks associated with the financial standing / performance of a venture</w:t>
            </w:r>
          </w:p>
        </w:tc>
        <w:tc>
          <w:tcPr>
            <w:tcW w:w="6336" w:type="dxa"/>
          </w:tcPr>
          <w:p w14:paraId="50E1FC57" w14:textId="12A15053" w:rsidR="00F13F18" w:rsidRDefault="0064217B" w:rsidP="0064217B">
            <w:pPr>
              <w:pStyle w:val="ListParagraph"/>
              <w:numPr>
                <w:ilvl w:val="0"/>
                <w:numId w:val="28"/>
              </w:numPr>
              <w:spacing w:before="20" w:after="20"/>
              <w:ind w:left="346" w:hanging="274"/>
              <w:contextualSpacing w:val="0"/>
              <w:jc w:val="both"/>
              <w:rPr>
                <w:sz w:val="20"/>
                <w:szCs w:val="20"/>
              </w:rPr>
            </w:pPr>
            <w:r>
              <w:rPr>
                <w:sz w:val="20"/>
                <w:szCs w:val="20"/>
              </w:rPr>
              <w:t>Credit risk (a company's ability to find debt funding</w:t>
            </w:r>
            <w:r w:rsidR="005D10BA">
              <w:rPr>
                <w:sz w:val="20"/>
                <w:szCs w:val="20"/>
              </w:rPr>
              <w:t>)</w:t>
            </w:r>
          </w:p>
          <w:p w14:paraId="089A7FC8" w14:textId="77777777" w:rsidR="00876D30" w:rsidRDefault="00876D30" w:rsidP="0064217B">
            <w:pPr>
              <w:pStyle w:val="ListParagraph"/>
              <w:numPr>
                <w:ilvl w:val="0"/>
                <w:numId w:val="28"/>
              </w:numPr>
              <w:spacing w:before="20" w:after="20"/>
              <w:ind w:left="346" w:hanging="274"/>
              <w:contextualSpacing w:val="0"/>
              <w:jc w:val="both"/>
              <w:rPr>
                <w:sz w:val="20"/>
                <w:szCs w:val="20"/>
              </w:rPr>
            </w:pPr>
            <w:r>
              <w:rPr>
                <w:sz w:val="20"/>
                <w:szCs w:val="20"/>
              </w:rPr>
              <w:t>Interest Rate risk (impact of rising or falling interest rates)</w:t>
            </w:r>
          </w:p>
          <w:p w14:paraId="054C7699" w14:textId="6361638B" w:rsidR="00876D30" w:rsidRPr="00F13F18" w:rsidRDefault="00876D30" w:rsidP="0064217B">
            <w:pPr>
              <w:pStyle w:val="ListParagraph"/>
              <w:numPr>
                <w:ilvl w:val="0"/>
                <w:numId w:val="28"/>
              </w:numPr>
              <w:spacing w:before="20" w:after="20"/>
              <w:ind w:left="346" w:hanging="274"/>
              <w:contextualSpacing w:val="0"/>
              <w:jc w:val="both"/>
              <w:rPr>
                <w:sz w:val="20"/>
                <w:szCs w:val="20"/>
              </w:rPr>
            </w:pPr>
            <w:r>
              <w:rPr>
                <w:sz w:val="20"/>
                <w:szCs w:val="20"/>
              </w:rPr>
              <w:t>Foreign Currency risk (the impact of changing currency exchange rates)</w:t>
            </w:r>
          </w:p>
        </w:tc>
      </w:tr>
      <w:tr w:rsidR="00F13F18" w14:paraId="769C7A7D" w14:textId="77777777" w:rsidTr="000B376A">
        <w:tc>
          <w:tcPr>
            <w:tcW w:w="1266" w:type="dxa"/>
            <w:shd w:val="clear" w:color="auto" w:fill="FFF1E6"/>
            <w:vAlign w:val="center"/>
          </w:tcPr>
          <w:p w14:paraId="59B52BDB" w14:textId="2A24DDE5" w:rsidR="00F13F18" w:rsidRPr="00F13F18" w:rsidRDefault="00F13F18" w:rsidP="00F13F18">
            <w:pPr>
              <w:spacing w:before="60" w:after="60"/>
              <w:rPr>
                <w:sz w:val="20"/>
                <w:szCs w:val="20"/>
              </w:rPr>
            </w:pPr>
            <w:r>
              <w:rPr>
                <w:sz w:val="20"/>
                <w:szCs w:val="20"/>
              </w:rPr>
              <w:t>Political Risk</w:t>
            </w:r>
          </w:p>
        </w:tc>
        <w:tc>
          <w:tcPr>
            <w:tcW w:w="3238" w:type="dxa"/>
            <w:shd w:val="clear" w:color="auto" w:fill="FFF1E6"/>
            <w:vAlign w:val="center"/>
          </w:tcPr>
          <w:p w14:paraId="1660495A" w14:textId="09934D8C" w:rsidR="00F13F18" w:rsidRPr="00F13F18" w:rsidRDefault="00F13F18" w:rsidP="0064217B">
            <w:pPr>
              <w:spacing w:before="60" w:after="60"/>
              <w:rPr>
                <w:sz w:val="20"/>
                <w:szCs w:val="20"/>
              </w:rPr>
            </w:pPr>
            <w:r>
              <w:rPr>
                <w:sz w:val="20"/>
                <w:szCs w:val="20"/>
              </w:rPr>
              <w:t>Risks associated with the geography in which a venture operates</w:t>
            </w:r>
          </w:p>
        </w:tc>
        <w:tc>
          <w:tcPr>
            <w:tcW w:w="6336" w:type="dxa"/>
          </w:tcPr>
          <w:p w14:paraId="2A34C508" w14:textId="77777777" w:rsidR="0064217B" w:rsidRDefault="0064217B" w:rsidP="00235D72">
            <w:pPr>
              <w:pStyle w:val="ListParagraph"/>
              <w:numPr>
                <w:ilvl w:val="0"/>
                <w:numId w:val="28"/>
              </w:numPr>
              <w:spacing w:before="20" w:after="20"/>
              <w:ind w:left="346" w:hanging="274"/>
              <w:contextualSpacing w:val="0"/>
              <w:jc w:val="both"/>
              <w:rPr>
                <w:sz w:val="20"/>
                <w:szCs w:val="20"/>
              </w:rPr>
            </w:pPr>
            <w:r>
              <w:rPr>
                <w:sz w:val="20"/>
                <w:szCs w:val="20"/>
              </w:rPr>
              <w:t>Policy risk (new policy changes an industry's competitive balance)</w:t>
            </w:r>
          </w:p>
          <w:p w14:paraId="06EABE8A" w14:textId="5515AD9F" w:rsidR="00876D30" w:rsidRPr="00F13F18" w:rsidRDefault="00876D30" w:rsidP="005D10BA">
            <w:pPr>
              <w:pStyle w:val="ListParagraph"/>
              <w:numPr>
                <w:ilvl w:val="0"/>
                <w:numId w:val="28"/>
              </w:numPr>
              <w:spacing w:before="20" w:after="20"/>
              <w:ind w:left="346" w:hanging="274"/>
              <w:contextualSpacing w:val="0"/>
              <w:rPr>
                <w:sz w:val="20"/>
                <w:szCs w:val="20"/>
              </w:rPr>
            </w:pPr>
            <w:r>
              <w:rPr>
                <w:sz w:val="20"/>
                <w:szCs w:val="20"/>
              </w:rPr>
              <w:t>Governmental risk (actions by a government that could impact a company's ability to operate in that jurisdiction)</w:t>
            </w:r>
          </w:p>
        </w:tc>
      </w:tr>
    </w:tbl>
    <w:p w14:paraId="4F4B371E" w14:textId="5225A3A9" w:rsidR="001B3776" w:rsidRDefault="001B3776" w:rsidP="007B0C6D">
      <w:pPr>
        <w:jc w:val="both"/>
      </w:pPr>
    </w:p>
    <w:p w14:paraId="593044FD" w14:textId="77777777" w:rsidR="00797D51" w:rsidRDefault="00797D51" w:rsidP="00787D5A">
      <w:pPr>
        <w:jc w:val="both"/>
        <w:rPr>
          <w:b/>
          <w:sz w:val="28"/>
          <w:szCs w:val="28"/>
        </w:rPr>
      </w:pPr>
    </w:p>
    <w:p w14:paraId="42B6C1B8" w14:textId="2A1DEE39" w:rsidR="00787D5A" w:rsidRPr="00833344" w:rsidRDefault="00787D5A" w:rsidP="00787D5A">
      <w:pPr>
        <w:jc w:val="both"/>
        <w:rPr>
          <w:b/>
          <w:sz w:val="28"/>
          <w:szCs w:val="28"/>
        </w:rPr>
      </w:pPr>
      <w:r>
        <w:rPr>
          <w:b/>
          <w:sz w:val="28"/>
          <w:szCs w:val="28"/>
        </w:rPr>
        <w:lastRenderedPageBreak/>
        <w:t>Mitigating Risk</w:t>
      </w:r>
    </w:p>
    <w:p w14:paraId="09277F30" w14:textId="171EEE88" w:rsidR="00787D5A" w:rsidRDefault="00787D5A" w:rsidP="00797D51">
      <w:pPr>
        <w:spacing w:after="160"/>
        <w:jc w:val="both"/>
      </w:pPr>
      <w:r>
        <w:rPr>
          <w:b/>
          <w:color w:val="0432FF"/>
          <w:highlight w:val="yellow"/>
        </w:rPr>
        <w:t>The goal for entrepreneurs:  reducing risk without reducing potential reward</w:t>
      </w:r>
      <w:r w:rsidRPr="00787D5A">
        <w:rPr>
          <w:b/>
          <w:color w:val="0432FF"/>
          <w:highlight w:val="yellow"/>
        </w:rPr>
        <w:t>.</w:t>
      </w:r>
      <w:r>
        <w:t xml:space="preserve">  If there is no risk there is no "doable" new venture - without risk the</w:t>
      </w:r>
      <w:r w:rsidR="00C20834">
        <w:t>re is no prospect for investors.  But reducing risk without reducing the prospect for reward increases the probability that the entrepreneur / small business leader will succeed.</w:t>
      </w:r>
    </w:p>
    <w:p w14:paraId="3BB28C98" w14:textId="021C234A" w:rsidR="00876D30" w:rsidRPr="00C015CA" w:rsidRDefault="00876D30" w:rsidP="00115E40">
      <w:pPr>
        <w:spacing w:after="60"/>
        <w:jc w:val="both"/>
        <w:rPr>
          <w:szCs w:val="22"/>
        </w:rPr>
      </w:pPr>
      <w:r w:rsidRPr="00C015CA">
        <w:rPr>
          <w:szCs w:val="22"/>
        </w:rPr>
        <w:t xml:space="preserve">Examples of </w:t>
      </w:r>
      <w:r w:rsidR="00797D51">
        <w:rPr>
          <w:szCs w:val="22"/>
        </w:rPr>
        <w:t>New Venture</w:t>
      </w:r>
      <w:r w:rsidRPr="00C015CA">
        <w:rPr>
          <w:szCs w:val="22"/>
        </w:rPr>
        <w:t xml:space="preserve"> </w:t>
      </w:r>
      <w:r w:rsidR="00797D51">
        <w:rPr>
          <w:szCs w:val="22"/>
        </w:rPr>
        <w:t>Risks - and ways that an entrepreneur</w:t>
      </w:r>
      <w:r w:rsidRPr="00C015CA">
        <w:rPr>
          <w:szCs w:val="22"/>
        </w:rPr>
        <w:t xml:space="preserve"> might mitigate these risks - </w:t>
      </w:r>
      <w:r w:rsidR="00797D51">
        <w:rPr>
          <w:szCs w:val="22"/>
        </w:rPr>
        <w:t>are outlined in this table.</w:t>
      </w:r>
    </w:p>
    <w:tbl>
      <w:tblPr>
        <w:tblStyle w:val="TableGrid"/>
        <w:tblW w:w="10912" w:type="dxa"/>
        <w:tblInd w:w="108" w:type="dxa"/>
        <w:tblLook w:val="04A0" w:firstRow="1" w:lastRow="0" w:firstColumn="1" w:lastColumn="0" w:noHBand="0" w:noVBand="1"/>
      </w:tblPr>
      <w:tblGrid>
        <w:gridCol w:w="1401"/>
        <w:gridCol w:w="9511"/>
      </w:tblGrid>
      <w:tr w:rsidR="00797D51" w14:paraId="72EC0960" w14:textId="77777777" w:rsidTr="000B376A">
        <w:tc>
          <w:tcPr>
            <w:tcW w:w="1260" w:type="dxa"/>
            <w:vMerge w:val="restart"/>
            <w:shd w:val="clear" w:color="auto" w:fill="E9FEE6"/>
            <w:vAlign w:val="center"/>
          </w:tcPr>
          <w:p w14:paraId="4AED47E4" w14:textId="4530618E" w:rsidR="00797D51" w:rsidRDefault="00797D51" w:rsidP="00797D51">
            <w:pPr>
              <w:rPr>
                <w:szCs w:val="22"/>
              </w:rPr>
            </w:pPr>
            <w:r w:rsidRPr="00C015CA">
              <w:rPr>
                <w:b/>
                <w:szCs w:val="22"/>
              </w:rPr>
              <w:t>Business Risk</w:t>
            </w:r>
          </w:p>
        </w:tc>
        <w:tc>
          <w:tcPr>
            <w:tcW w:w="9652" w:type="dxa"/>
          </w:tcPr>
          <w:p w14:paraId="0BEBDF8E" w14:textId="7645ADD4" w:rsidR="00797D51" w:rsidRPr="00797D51" w:rsidRDefault="00797D51" w:rsidP="00797D51">
            <w:pPr>
              <w:spacing w:before="120" w:after="120"/>
              <w:ind w:left="29" w:hanging="29"/>
              <w:jc w:val="both"/>
              <w:rPr>
                <w:sz w:val="20"/>
                <w:szCs w:val="20"/>
              </w:rPr>
            </w:pPr>
            <w:r w:rsidRPr="00797D51">
              <w:rPr>
                <w:sz w:val="20"/>
                <w:szCs w:val="20"/>
              </w:rPr>
              <w:t xml:space="preserve">Cajun Coastal Restoration depends on its proprietary social media capabilities to deliver high-value services to industry and government client.  Their </w:t>
            </w:r>
            <w:r w:rsidRPr="00797D51">
              <w:rPr>
                <w:b/>
                <w:i/>
                <w:sz w:val="20"/>
                <w:szCs w:val="20"/>
              </w:rPr>
              <w:t>Personnel risk</w:t>
            </w:r>
            <w:r w:rsidRPr="00797D51">
              <w:rPr>
                <w:b/>
                <w:sz w:val="20"/>
                <w:szCs w:val="20"/>
              </w:rPr>
              <w:t>:</w:t>
            </w:r>
            <w:r w:rsidRPr="00797D51">
              <w:rPr>
                <w:sz w:val="20"/>
                <w:szCs w:val="20"/>
              </w:rPr>
              <w:t xml:space="preserve"> they might not be able to hire and then retain talented young programmers who create, update and enhance these capabilities.</w:t>
            </w:r>
          </w:p>
        </w:tc>
      </w:tr>
      <w:tr w:rsidR="00797D51" w14:paraId="0C7BE068" w14:textId="77777777" w:rsidTr="000B376A">
        <w:tc>
          <w:tcPr>
            <w:tcW w:w="1260" w:type="dxa"/>
            <w:vMerge/>
            <w:shd w:val="clear" w:color="auto" w:fill="E9FEE6"/>
            <w:vAlign w:val="center"/>
          </w:tcPr>
          <w:p w14:paraId="643089F4" w14:textId="77777777" w:rsidR="00797D51" w:rsidRDefault="00797D51" w:rsidP="00797D51">
            <w:pPr>
              <w:rPr>
                <w:szCs w:val="22"/>
              </w:rPr>
            </w:pPr>
          </w:p>
        </w:tc>
        <w:tc>
          <w:tcPr>
            <w:tcW w:w="9652" w:type="dxa"/>
          </w:tcPr>
          <w:p w14:paraId="35294D01" w14:textId="5B49794D" w:rsidR="00797D51" w:rsidRPr="00872EBE" w:rsidRDefault="00797D51" w:rsidP="00797D51">
            <w:pPr>
              <w:spacing w:before="120" w:after="120"/>
              <w:ind w:left="29" w:hanging="29"/>
              <w:jc w:val="both"/>
              <w:rPr>
                <w:i/>
                <w:sz w:val="20"/>
                <w:szCs w:val="20"/>
              </w:rPr>
            </w:pPr>
            <w:r w:rsidRPr="00797D51">
              <w:rPr>
                <w:sz w:val="20"/>
                <w:szCs w:val="20"/>
                <w:u w:val="single"/>
              </w:rPr>
              <w:t>Mitigation Strategies</w:t>
            </w:r>
            <w:r w:rsidRPr="00797D51">
              <w:rPr>
                <w:sz w:val="20"/>
                <w:szCs w:val="20"/>
              </w:rPr>
              <w:t xml:space="preserve">:  </w:t>
            </w:r>
            <w:proofErr w:type="spellStart"/>
            <w:r w:rsidRPr="00797D51">
              <w:rPr>
                <w:sz w:val="20"/>
                <w:szCs w:val="20"/>
              </w:rPr>
              <w:t>a</w:t>
            </w:r>
            <w:proofErr w:type="spellEnd"/>
            <w:r w:rsidRPr="00797D51">
              <w:rPr>
                <w:sz w:val="20"/>
                <w:szCs w:val="20"/>
              </w:rPr>
              <w:t xml:space="preserve">) offer signing bonuses to promising new </w:t>
            </w:r>
            <w:proofErr w:type="gramStart"/>
            <w:r w:rsidRPr="00797D51">
              <w:rPr>
                <w:sz w:val="20"/>
                <w:szCs w:val="20"/>
              </w:rPr>
              <w:t>programmers;  b</w:t>
            </w:r>
            <w:proofErr w:type="gramEnd"/>
            <w:r w:rsidRPr="00797D51">
              <w:rPr>
                <w:sz w:val="20"/>
                <w:szCs w:val="20"/>
              </w:rPr>
              <w:t>) provide programming team members with generous compensation and stock options that vest over several years;  c) sign programmers to contracts with strong non-compete clauses</w:t>
            </w:r>
            <w:r w:rsidR="00872EBE">
              <w:rPr>
                <w:sz w:val="20"/>
                <w:szCs w:val="20"/>
              </w:rPr>
              <w:t xml:space="preserve"> </w:t>
            </w:r>
            <w:r w:rsidR="00872EBE">
              <w:rPr>
                <w:i/>
                <w:sz w:val="20"/>
                <w:szCs w:val="20"/>
              </w:rPr>
              <w:t>(ask your teacher what a non-compete clause is).</w:t>
            </w:r>
          </w:p>
        </w:tc>
      </w:tr>
      <w:tr w:rsidR="00797D51" w14:paraId="017A0681" w14:textId="77777777" w:rsidTr="000B376A">
        <w:tc>
          <w:tcPr>
            <w:tcW w:w="1260" w:type="dxa"/>
            <w:vMerge w:val="restart"/>
            <w:shd w:val="clear" w:color="auto" w:fill="F0E6FF"/>
            <w:vAlign w:val="center"/>
          </w:tcPr>
          <w:p w14:paraId="075C9C60" w14:textId="37236045" w:rsidR="00797D51" w:rsidRDefault="00797D51" w:rsidP="00797D51">
            <w:pPr>
              <w:rPr>
                <w:szCs w:val="22"/>
              </w:rPr>
            </w:pPr>
            <w:r w:rsidRPr="00C015CA">
              <w:rPr>
                <w:b/>
                <w:szCs w:val="22"/>
              </w:rPr>
              <w:t>Market Risk</w:t>
            </w:r>
          </w:p>
        </w:tc>
        <w:tc>
          <w:tcPr>
            <w:tcW w:w="9652" w:type="dxa"/>
          </w:tcPr>
          <w:p w14:paraId="06E7B0E5" w14:textId="2578748A" w:rsidR="00797D51" w:rsidRPr="00797D51" w:rsidRDefault="00797D51" w:rsidP="00797D51">
            <w:pPr>
              <w:spacing w:before="120" w:after="120"/>
              <w:ind w:left="29" w:hanging="29"/>
              <w:jc w:val="both"/>
              <w:rPr>
                <w:sz w:val="20"/>
                <w:szCs w:val="20"/>
              </w:rPr>
            </w:pPr>
            <w:r w:rsidRPr="00797D51">
              <w:rPr>
                <w:sz w:val="20"/>
                <w:szCs w:val="20"/>
              </w:rPr>
              <w:t xml:space="preserve">Cajun Coastal Restoration completes their hands-on restoration work to comply with all state and federal standards.   Their </w:t>
            </w:r>
            <w:r w:rsidRPr="00797D51">
              <w:rPr>
                <w:b/>
                <w:i/>
                <w:sz w:val="20"/>
                <w:szCs w:val="20"/>
              </w:rPr>
              <w:t>Regulatory risk</w:t>
            </w:r>
            <w:r w:rsidRPr="00797D51">
              <w:rPr>
                <w:b/>
                <w:sz w:val="20"/>
                <w:szCs w:val="20"/>
              </w:rPr>
              <w:t xml:space="preserve">:  </w:t>
            </w:r>
            <w:r w:rsidRPr="00797D51">
              <w:rPr>
                <w:sz w:val="20"/>
                <w:szCs w:val="20"/>
              </w:rPr>
              <w:t>new environmental standards may cause them to invest hundreds of thousands of dollars in new equipment and personnel training.</w:t>
            </w:r>
          </w:p>
        </w:tc>
      </w:tr>
      <w:tr w:rsidR="00797D51" w14:paraId="629836A9" w14:textId="77777777" w:rsidTr="000B376A">
        <w:tc>
          <w:tcPr>
            <w:tcW w:w="1260" w:type="dxa"/>
            <w:vMerge/>
            <w:shd w:val="clear" w:color="auto" w:fill="F0E6FF"/>
            <w:vAlign w:val="center"/>
          </w:tcPr>
          <w:p w14:paraId="41583703" w14:textId="77777777" w:rsidR="00797D51" w:rsidRDefault="00797D51" w:rsidP="00797D51">
            <w:pPr>
              <w:rPr>
                <w:szCs w:val="22"/>
              </w:rPr>
            </w:pPr>
          </w:p>
        </w:tc>
        <w:tc>
          <w:tcPr>
            <w:tcW w:w="9652" w:type="dxa"/>
          </w:tcPr>
          <w:p w14:paraId="7043581D" w14:textId="36503E2C" w:rsidR="00797D51" w:rsidRPr="00797D51" w:rsidRDefault="00797D51" w:rsidP="00797D51">
            <w:pPr>
              <w:spacing w:before="120" w:after="120"/>
              <w:ind w:left="29" w:hanging="29"/>
              <w:jc w:val="both"/>
              <w:rPr>
                <w:sz w:val="20"/>
                <w:szCs w:val="20"/>
              </w:rPr>
            </w:pPr>
            <w:r w:rsidRPr="00797D51">
              <w:rPr>
                <w:sz w:val="20"/>
                <w:szCs w:val="20"/>
                <w:u w:val="single"/>
              </w:rPr>
              <w:t>Mitigation Strategies</w:t>
            </w:r>
            <w:r w:rsidRPr="00797D51">
              <w:rPr>
                <w:sz w:val="20"/>
                <w:szCs w:val="20"/>
              </w:rPr>
              <w:t xml:space="preserve">:  a) work with clients and government agency contacts to track potential new environmental </w:t>
            </w:r>
            <w:proofErr w:type="gramStart"/>
            <w:r w:rsidRPr="00797D51">
              <w:rPr>
                <w:sz w:val="20"/>
                <w:szCs w:val="20"/>
              </w:rPr>
              <w:t>standards;  b</w:t>
            </w:r>
            <w:proofErr w:type="gramEnd"/>
            <w:r w:rsidRPr="00797D51">
              <w:rPr>
                <w:sz w:val="20"/>
                <w:szCs w:val="20"/>
              </w:rPr>
              <w:t>) develop upgrades to their equipment and mitigation services so CCR can promise clients they are prepared to meet any future standards (this will be costly in the short-term, but an effective positioning long-term);  c) serve on industry advisory boards that provide input to government agencies that set regulatory policy.</w:t>
            </w:r>
          </w:p>
        </w:tc>
      </w:tr>
      <w:tr w:rsidR="00797D51" w14:paraId="1C8ADA9F" w14:textId="77777777" w:rsidTr="000B376A">
        <w:tc>
          <w:tcPr>
            <w:tcW w:w="1260" w:type="dxa"/>
            <w:vMerge w:val="restart"/>
            <w:shd w:val="clear" w:color="auto" w:fill="FFFFE6"/>
            <w:vAlign w:val="center"/>
          </w:tcPr>
          <w:p w14:paraId="0475E16B" w14:textId="6C11459B" w:rsidR="00797D51" w:rsidRDefault="00797D51" w:rsidP="00797D51">
            <w:pPr>
              <w:rPr>
                <w:szCs w:val="22"/>
              </w:rPr>
            </w:pPr>
            <w:r w:rsidRPr="00C015CA">
              <w:rPr>
                <w:b/>
                <w:szCs w:val="22"/>
              </w:rPr>
              <w:t>Reputational Risk</w:t>
            </w:r>
          </w:p>
        </w:tc>
        <w:tc>
          <w:tcPr>
            <w:tcW w:w="9652" w:type="dxa"/>
          </w:tcPr>
          <w:p w14:paraId="39556830" w14:textId="213B5543" w:rsidR="00797D51" w:rsidRPr="00797D51" w:rsidRDefault="00797D51" w:rsidP="00797D51">
            <w:pPr>
              <w:spacing w:before="120" w:after="120"/>
              <w:ind w:left="29" w:hanging="29"/>
              <w:jc w:val="both"/>
              <w:rPr>
                <w:sz w:val="20"/>
                <w:szCs w:val="20"/>
              </w:rPr>
            </w:pPr>
            <w:r w:rsidRPr="00797D51">
              <w:rPr>
                <w:sz w:val="20"/>
                <w:szCs w:val="20"/>
              </w:rPr>
              <w:t xml:space="preserve">United Airlines is known as "The Friendly Skies."  Passengers just released videos on social media showing a passenger being violently taken off a flight, even though the passenger had a confirmed reservation. Their </w:t>
            </w:r>
            <w:r w:rsidRPr="00797D51">
              <w:rPr>
                <w:b/>
                <w:i/>
                <w:sz w:val="20"/>
                <w:szCs w:val="20"/>
              </w:rPr>
              <w:t>Reputational risk</w:t>
            </w:r>
            <w:r w:rsidRPr="00797D51">
              <w:rPr>
                <w:b/>
                <w:sz w:val="20"/>
                <w:szCs w:val="20"/>
              </w:rPr>
              <w:t>:</w:t>
            </w:r>
            <w:r w:rsidRPr="00797D51">
              <w:rPr>
                <w:sz w:val="20"/>
                <w:szCs w:val="20"/>
              </w:rPr>
              <w:t xml:space="preserve"> they might lose customers who don't believe the airline was being friendly or fair.</w:t>
            </w:r>
          </w:p>
        </w:tc>
      </w:tr>
      <w:tr w:rsidR="00797D51" w14:paraId="4D9F3E19" w14:textId="77777777" w:rsidTr="000B376A">
        <w:tc>
          <w:tcPr>
            <w:tcW w:w="1260" w:type="dxa"/>
            <w:vMerge/>
            <w:shd w:val="clear" w:color="auto" w:fill="FFFFE6"/>
            <w:vAlign w:val="center"/>
          </w:tcPr>
          <w:p w14:paraId="15770E50" w14:textId="77777777" w:rsidR="00797D51" w:rsidRDefault="00797D51" w:rsidP="00797D51">
            <w:pPr>
              <w:rPr>
                <w:szCs w:val="22"/>
              </w:rPr>
            </w:pPr>
          </w:p>
        </w:tc>
        <w:tc>
          <w:tcPr>
            <w:tcW w:w="9652" w:type="dxa"/>
          </w:tcPr>
          <w:p w14:paraId="136CBD1A" w14:textId="4884D85E" w:rsidR="00797D51" w:rsidRPr="00797D51" w:rsidRDefault="00797D51" w:rsidP="00797D51">
            <w:pPr>
              <w:spacing w:before="120" w:after="120"/>
              <w:ind w:left="29" w:hanging="29"/>
              <w:jc w:val="both"/>
              <w:rPr>
                <w:sz w:val="20"/>
                <w:szCs w:val="20"/>
              </w:rPr>
            </w:pPr>
            <w:r w:rsidRPr="00797D51">
              <w:rPr>
                <w:sz w:val="20"/>
                <w:szCs w:val="20"/>
                <w:u w:val="single"/>
              </w:rPr>
              <w:t>Mitigation Strategies</w:t>
            </w:r>
            <w:r w:rsidRPr="00797D51">
              <w:rPr>
                <w:sz w:val="20"/>
                <w:szCs w:val="20"/>
              </w:rPr>
              <w:t xml:space="preserve">:  a) apologizing and paying settlements to the passenger </w:t>
            </w:r>
            <w:proofErr w:type="gramStart"/>
            <w:r w:rsidRPr="00797D51">
              <w:rPr>
                <w:sz w:val="20"/>
                <w:szCs w:val="20"/>
              </w:rPr>
              <w:t>involved;  b</w:t>
            </w:r>
            <w:proofErr w:type="gramEnd"/>
            <w:r w:rsidRPr="00797D51">
              <w:rPr>
                <w:sz w:val="20"/>
                <w:szCs w:val="20"/>
              </w:rPr>
              <w:t>) changing policies to avoid future occurrences of this type;  c) provide a new "If you're seated, you're 'good to go'</w:t>
            </w:r>
            <w:r w:rsidR="00370D42">
              <w:rPr>
                <w:sz w:val="20"/>
                <w:szCs w:val="20"/>
              </w:rPr>
              <w:t>"</w:t>
            </w:r>
            <w:r w:rsidRPr="00797D51">
              <w:rPr>
                <w:sz w:val="20"/>
                <w:szCs w:val="20"/>
              </w:rPr>
              <w:t xml:space="preserve"> policy and advertising campaign.</w:t>
            </w:r>
          </w:p>
        </w:tc>
      </w:tr>
      <w:tr w:rsidR="00797D51" w14:paraId="0319EB06" w14:textId="77777777" w:rsidTr="000B376A">
        <w:tc>
          <w:tcPr>
            <w:tcW w:w="1260" w:type="dxa"/>
            <w:vMerge w:val="restart"/>
            <w:shd w:val="clear" w:color="auto" w:fill="EAF8FF"/>
            <w:vAlign w:val="center"/>
          </w:tcPr>
          <w:p w14:paraId="711E3300" w14:textId="6F4E468E" w:rsidR="00797D51" w:rsidRDefault="00797D51" w:rsidP="00797D51">
            <w:pPr>
              <w:rPr>
                <w:szCs w:val="22"/>
              </w:rPr>
            </w:pPr>
            <w:r w:rsidRPr="00C015CA">
              <w:rPr>
                <w:b/>
                <w:szCs w:val="22"/>
              </w:rPr>
              <w:t>Financial Risk</w:t>
            </w:r>
          </w:p>
        </w:tc>
        <w:tc>
          <w:tcPr>
            <w:tcW w:w="9652" w:type="dxa"/>
          </w:tcPr>
          <w:p w14:paraId="2E9772C0" w14:textId="2B6D5A5A" w:rsidR="00797D51" w:rsidRPr="00797D51" w:rsidRDefault="00797D51" w:rsidP="00797D51">
            <w:pPr>
              <w:spacing w:before="120" w:after="120"/>
              <w:ind w:left="29" w:hanging="29"/>
              <w:jc w:val="both"/>
              <w:rPr>
                <w:sz w:val="20"/>
                <w:szCs w:val="20"/>
              </w:rPr>
            </w:pPr>
            <w:r w:rsidRPr="00797D51">
              <w:rPr>
                <w:sz w:val="20"/>
                <w:szCs w:val="20"/>
              </w:rPr>
              <w:t>Cajun Coastal Restoration offers services in Mexico to Mexican clients, payable in Mexican pesos (which uses the symbol $ MXN).  While some of CCR's expenses are paid in $ MXN (such as local contractors and travel expenses), other expenses are in American dollars</w:t>
            </w:r>
            <w:r w:rsidR="00370D42">
              <w:rPr>
                <w:sz w:val="20"/>
                <w:szCs w:val="20"/>
              </w:rPr>
              <w:t xml:space="preserve"> (symbol $ USD)</w:t>
            </w:r>
            <w:r w:rsidRPr="00797D51">
              <w:rPr>
                <w:sz w:val="20"/>
                <w:szCs w:val="20"/>
              </w:rPr>
              <w:t xml:space="preserve">.  Their </w:t>
            </w:r>
            <w:r w:rsidRPr="00797D51">
              <w:rPr>
                <w:b/>
                <w:i/>
                <w:sz w:val="20"/>
                <w:szCs w:val="20"/>
              </w:rPr>
              <w:t>Foreign Currency risk</w:t>
            </w:r>
            <w:r w:rsidRPr="00797D51">
              <w:rPr>
                <w:b/>
                <w:sz w:val="20"/>
                <w:szCs w:val="20"/>
              </w:rPr>
              <w:t>:</w:t>
            </w:r>
            <w:r w:rsidRPr="00797D51">
              <w:rPr>
                <w:sz w:val="20"/>
                <w:szCs w:val="20"/>
              </w:rPr>
              <w:t xml:space="preserve"> new federal policy has caused the peso ($ MXN) to lose value - instead of $20 MXN to $1 USD, there are now $30 MXN to $1 USD.  That means a $1,500,000 MXN contract that used to be worth $75,000 USD (1,500,000 ÷ 20) is now worth $50,000 USD (1,500,000 ÷ 30).  This means that all CCR contracts with Mexican clients are now money losers.   </w:t>
            </w:r>
          </w:p>
        </w:tc>
      </w:tr>
      <w:tr w:rsidR="00797D51" w14:paraId="7702A7D2" w14:textId="77777777" w:rsidTr="000B376A">
        <w:tc>
          <w:tcPr>
            <w:tcW w:w="1260" w:type="dxa"/>
            <w:vMerge/>
            <w:shd w:val="clear" w:color="auto" w:fill="EAF8FF"/>
            <w:vAlign w:val="center"/>
          </w:tcPr>
          <w:p w14:paraId="1459EC4C" w14:textId="77777777" w:rsidR="00797D51" w:rsidRDefault="00797D51" w:rsidP="00797D51">
            <w:pPr>
              <w:rPr>
                <w:szCs w:val="22"/>
              </w:rPr>
            </w:pPr>
          </w:p>
        </w:tc>
        <w:tc>
          <w:tcPr>
            <w:tcW w:w="9652" w:type="dxa"/>
          </w:tcPr>
          <w:p w14:paraId="41395955" w14:textId="77777777" w:rsidR="00115E40" w:rsidRDefault="00797D51" w:rsidP="00115E40">
            <w:pPr>
              <w:spacing w:before="120" w:after="120"/>
              <w:ind w:left="29" w:hanging="29"/>
              <w:jc w:val="both"/>
              <w:rPr>
                <w:sz w:val="20"/>
                <w:szCs w:val="20"/>
              </w:rPr>
            </w:pPr>
            <w:r w:rsidRPr="00797D51">
              <w:rPr>
                <w:sz w:val="20"/>
                <w:szCs w:val="20"/>
                <w:u w:val="single"/>
              </w:rPr>
              <w:t>Mitigation Strategies</w:t>
            </w:r>
            <w:r w:rsidRPr="00797D51">
              <w:rPr>
                <w:sz w:val="20"/>
                <w:szCs w:val="20"/>
              </w:rPr>
              <w:t>:  a) require Mexican clients to sign contracts denominated in U.S. dollars (although this doesn't protect CCR when the U.S. dollar loses value!</w:t>
            </w:r>
            <w:proofErr w:type="gramStart"/>
            <w:r w:rsidRPr="00797D51">
              <w:rPr>
                <w:sz w:val="20"/>
                <w:szCs w:val="20"/>
              </w:rPr>
              <w:t>);  b</w:t>
            </w:r>
            <w:proofErr w:type="gramEnd"/>
            <w:r w:rsidRPr="00797D51">
              <w:rPr>
                <w:sz w:val="20"/>
                <w:szCs w:val="20"/>
              </w:rPr>
              <w:t>) increase prices to Mexican clients to anticipate the possibility that the peso may fall in value (although this might make CCR uncompetitive in the Mexican market);  c) buy currency hedging contracts (although th</w:t>
            </w:r>
            <w:r w:rsidR="00115E40">
              <w:rPr>
                <w:sz w:val="20"/>
                <w:szCs w:val="20"/>
              </w:rPr>
              <w:t>ese hedges</w:t>
            </w:r>
            <w:r w:rsidRPr="00797D51">
              <w:rPr>
                <w:sz w:val="20"/>
                <w:szCs w:val="20"/>
              </w:rPr>
              <w:t xml:space="preserve"> m</w:t>
            </w:r>
            <w:r w:rsidR="00115E40">
              <w:rPr>
                <w:sz w:val="20"/>
                <w:szCs w:val="20"/>
              </w:rPr>
              <w:t>ay</w:t>
            </w:r>
            <w:r w:rsidRPr="00797D51">
              <w:rPr>
                <w:sz w:val="20"/>
                <w:szCs w:val="20"/>
              </w:rPr>
              <w:t xml:space="preserve"> cost more than the loss in value of the peso).</w:t>
            </w:r>
            <w:r w:rsidR="00115E40">
              <w:rPr>
                <w:sz w:val="20"/>
                <w:szCs w:val="20"/>
              </w:rPr>
              <w:t xml:space="preserve">  </w:t>
            </w:r>
          </w:p>
          <w:p w14:paraId="58CACC0B" w14:textId="4B6F243D" w:rsidR="00797D51" w:rsidRPr="00115E40" w:rsidRDefault="00115E40" w:rsidP="00115E40">
            <w:pPr>
              <w:spacing w:before="120" w:after="120"/>
              <w:ind w:left="29" w:hanging="29"/>
              <w:jc w:val="both"/>
              <w:rPr>
                <w:b/>
                <w:i/>
                <w:sz w:val="20"/>
                <w:szCs w:val="20"/>
              </w:rPr>
            </w:pPr>
            <w:r>
              <w:rPr>
                <w:b/>
                <w:i/>
                <w:sz w:val="20"/>
                <w:szCs w:val="20"/>
                <w:highlight w:val="yellow"/>
              </w:rPr>
              <w:t>With so many uncertainties and costs involved, i</w:t>
            </w:r>
            <w:r w:rsidRPr="00115E40">
              <w:rPr>
                <w:b/>
                <w:i/>
                <w:sz w:val="20"/>
                <w:szCs w:val="20"/>
                <w:highlight w:val="yellow"/>
              </w:rPr>
              <w:t xml:space="preserve">t isn't easy to </w:t>
            </w:r>
            <w:r>
              <w:rPr>
                <w:b/>
                <w:i/>
                <w:sz w:val="20"/>
                <w:szCs w:val="20"/>
                <w:highlight w:val="yellow"/>
              </w:rPr>
              <w:t xml:space="preserve">cost-effectively </w:t>
            </w:r>
            <w:r w:rsidRPr="00115E40">
              <w:rPr>
                <w:b/>
                <w:i/>
                <w:sz w:val="20"/>
                <w:szCs w:val="20"/>
                <w:highlight w:val="yellow"/>
              </w:rPr>
              <w:t>mitigate financial risks!</w:t>
            </w:r>
          </w:p>
        </w:tc>
      </w:tr>
      <w:tr w:rsidR="00797D51" w14:paraId="3C1356F7" w14:textId="77777777" w:rsidTr="000B376A">
        <w:tc>
          <w:tcPr>
            <w:tcW w:w="1260" w:type="dxa"/>
            <w:vMerge w:val="restart"/>
            <w:shd w:val="clear" w:color="auto" w:fill="FFF1E6"/>
            <w:vAlign w:val="center"/>
          </w:tcPr>
          <w:p w14:paraId="3BED1DB9" w14:textId="16842F88" w:rsidR="00797D51" w:rsidRDefault="00797D51" w:rsidP="00797D51">
            <w:pPr>
              <w:rPr>
                <w:szCs w:val="22"/>
              </w:rPr>
            </w:pPr>
            <w:r>
              <w:rPr>
                <w:b/>
                <w:szCs w:val="22"/>
              </w:rPr>
              <w:t xml:space="preserve">Political </w:t>
            </w:r>
            <w:r w:rsidRPr="00C015CA">
              <w:rPr>
                <w:b/>
                <w:szCs w:val="22"/>
              </w:rPr>
              <w:t>Risk</w:t>
            </w:r>
          </w:p>
        </w:tc>
        <w:tc>
          <w:tcPr>
            <w:tcW w:w="9652" w:type="dxa"/>
          </w:tcPr>
          <w:p w14:paraId="129A148E" w14:textId="6B2C69BE" w:rsidR="00797D51" w:rsidRPr="00797D51" w:rsidRDefault="00797D51" w:rsidP="00797D51">
            <w:pPr>
              <w:spacing w:before="120" w:after="120"/>
              <w:ind w:left="29" w:hanging="29"/>
              <w:jc w:val="both"/>
              <w:rPr>
                <w:sz w:val="20"/>
                <w:szCs w:val="20"/>
              </w:rPr>
            </w:pPr>
            <w:r w:rsidRPr="00797D51">
              <w:rPr>
                <w:sz w:val="20"/>
                <w:szCs w:val="20"/>
              </w:rPr>
              <w:t>Cajun Coastal Restoration does business with a large Venezuelan company.  Given their own political crisis and their negative attitude towards the United States, the Venezuelan government just passed a law preventing American companies from receiving payment for their services.</w:t>
            </w:r>
          </w:p>
        </w:tc>
      </w:tr>
      <w:tr w:rsidR="00797D51" w14:paraId="6219E798" w14:textId="77777777" w:rsidTr="000B376A">
        <w:tc>
          <w:tcPr>
            <w:tcW w:w="1260" w:type="dxa"/>
            <w:vMerge/>
            <w:shd w:val="clear" w:color="auto" w:fill="FFF1E6"/>
          </w:tcPr>
          <w:p w14:paraId="4CFC113B" w14:textId="77777777" w:rsidR="00797D51" w:rsidRDefault="00797D51" w:rsidP="007B0C6D">
            <w:pPr>
              <w:jc w:val="both"/>
              <w:rPr>
                <w:szCs w:val="22"/>
              </w:rPr>
            </w:pPr>
          </w:p>
        </w:tc>
        <w:tc>
          <w:tcPr>
            <w:tcW w:w="9652" w:type="dxa"/>
          </w:tcPr>
          <w:p w14:paraId="7D2DD38E" w14:textId="28CC80BA" w:rsidR="00797D51" w:rsidRPr="00797D51" w:rsidRDefault="00797D51" w:rsidP="00115E40">
            <w:pPr>
              <w:spacing w:before="120" w:after="120"/>
              <w:ind w:left="29" w:hanging="29"/>
              <w:jc w:val="both"/>
              <w:rPr>
                <w:sz w:val="20"/>
                <w:szCs w:val="20"/>
              </w:rPr>
            </w:pPr>
            <w:r w:rsidRPr="00797D51">
              <w:rPr>
                <w:sz w:val="20"/>
                <w:szCs w:val="20"/>
                <w:u w:val="single"/>
              </w:rPr>
              <w:t>Mitigation Strategies</w:t>
            </w:r>
            <w:r w:rsidRPr="00797D51">
              <w:rPr>
                <w:sz w:val="20"/>
                <w:szCs w:val="20"/>
              </w:rPr>
              <w:t xml:space="preserve">:  a) find a Venezuelan partner </w:t>
            </w:r>
            <w:r w:rsidR="00115E40">
              <w:rPr>
                <w:sz w:val="20"/>
                <w:szCs w:val="20"/>
              </w:rPr>
              <w:t>favored by the government that has permission to</w:t>
            </w:r>
            <w:r w:rsidRPr="00797D51">
              <w:rPr>
                <w:sz w:val="20"/>
                <w:szCs w:val="20"/>
              </w:rPr>
              <w:t xml:space="preserve"> complete their contracts and receive </w:t>
            </w:r>
            <w:proofErr w:type="gramStart"/>
            <w:r w:rsidRPr="00797D51">
              <w:rPr>
                <w:sz w:val="20"/>
                <w:szCs w:val="20"/>
              </w:rPr>
              <w:t>payment;  b</w:t>
            </w:r>
            <w:proofErr w:type="gramEnd"/>
            <w:r w:rsidRPr="00797D51">
              <w:rPr>
                <w:sz w:val="20"/>
                <w:szCs w:val="20"/>
              </w:rPr>
              <w:t>) close their business in Venezuela</w:t>
            </w:r>
            <w:r w:rsidR="00115E40">
              <w:rPr>
                <w:sz w:val="20"/>
                <w:szCs w:val="20"/>
              </w:rPr>
              <w:t xml:space="preserve"> to limit their losses</w:t>
            </w:r>
            <w:r w:rsidRPr="00797D51">
              <w:rPr>
                <w:sz w:val="20"/>
                <w:szCs w:val="20"/>
              </w:rPr>
              <w:t xml:space="preserve">.  </w:t>
            </w:r>
          </w:p>
        </w:tc>
      </w:tr>
    </w:tbl>
    <w:p w14:paraId="44B199EF" w14:textId="77777777" w:rsidR="00C015CA" w:rsidRPr="00115E40" w:rsidRDefault="00C015CA" w:rsidP="00DB6DF6">
      <w:pPr>
        <w:ind w:left="450" w:hanging="450"/>
        <w:jc w:val="both"/>
        <w:rPr>
          <w:sz w:val="2"/>
          <w:szCs w:val="2"/>
        </w:rPr>
      </w:pPr>
    </w:p>
    <w:sectPr w:rsidR="00C015CA" w:rsidRPr="00115E40"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1B7B" w14:textId="77777777" w:rsidR="00C86A0E" w:rsidRDefault="00C86A0E" w:rsidP="00DB0209">
      <w:r>
        <w:separator/>
      </w:r>
    </w:p>
  </w:endnote>
  <w:endnote w:type="continuationSeparator" w:id="0">
    <w:p w14:paraId="7DDC2EAB" w14:textId="77777777" w:rsidR="00C86A0E" w:rsidRDefault="00C86A0E"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652AAE0"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787D5A">
      <w:rPr>
        <w:sz w:val="20"/>
        <w:szCs w:val="20"/>
      </w:rPr>
      <w:t>10</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6549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65495">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5B68C12"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w:t>
    </w:r>
    <w:r w:rsidR="00787D5A">
      <w:rPr>
        <w:sz w:val="20"/>
        <w:szCs w:val="20"/>
      </w:rPr>
      <w:t>10</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865495">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865495">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0248" w14:textId="77777777" w:rsidR="00C86A0E" w:rsidRDefault="00C86A0E" w:rsidP="00DB0209">
      <w:r>
        <w:separator/>
      </w:r>
    </w:p>
  </w:footnote>
  <w:footnote w:type="continuationSeparator" w:id="0">
    <w:p w14:paraId="58360747" w14:textId="77777777" w:rsidR="00C86A0E" w:rsidRDefault="00C86A0E"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B4CE930"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7D5A">
      <w:rPr>
        <w:b/>
        <w:sz w:val="28"/>
        <w:szCs w:val="28"/>
      </w:rPr>
      <w:t>Understanding / Mitigating Risk</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726B297" w:rsidR="00864DA8" w:rsidRDefault="00864DA8" w:rsidP="00864DA8">
    <w:pPr>
      <w:pStyle w:val="Header"/>
      <w:jc w:val="center"/>
    </w:pPr>
    <w:r>
      <w:rPr>
        <w:b/>
        <w:color w:val="7030A0"/>
      </w:rPr>
      <w:t>Resource 2</w:t>
    </w:r>
    <w:r w:rsidR="00C112D5">
      <w:rPr>
        <w:b/>
        <w:color w:val="7030A0"/>
      </w:rPr>
      <w:t>3</w:t>
    </w:r>
    <w:r>
      <w:rPr>
        <w:b/>
        <w:color w:val="7030A0"/>
      </w:rPr>
      <w:t>-</w:t>
    </w:r>
    <w:r w:rsidR="00787D5A">
      <w:rPr>
        <w:b/>
        <w:color w:val="7030A0"/>
      </w:rPr>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D69"/>
    <w:multiLevelType w:val="hybridMultilevel"/>
    <w:tmpl w:val="2DB00098"/>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A7F6C"/>
    <w:multiLevelType w:val="multilevel"/>
    <w:tmpl w:val="944CB3C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676D60"/>
    <w:multiLevelType w:val="hybridMultilevel"/>
    <w:tmpl w:val="850E142A"/>
    <w:lvl w:ilvl="0" w:tplc="5EA8EA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7817"/>
    <w:multiLevelType w:val="hybridMultilevel"/>
    <w:tmpl w:val="944CB3C0"/>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67FCC"/>
    <w:multiLevelType w:val="hybridMultilevel"/>
    <w:tmpl w:val="225EBA3C"/>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8"/>
  </w:num>
  <w:num w:numId="4">
    <w:abstractNumId w:val="11"/>
  </w:num>
  <w:num w:numId="5">
    <w:abstractNumId w:val="6"/>
  </w:num>
  <w:num w:numId="6">
    <w:abstractNumId w:val="13"/>
  </w:num>
  <w:num w:numId="7">
    <w:abstractNumId w:val="5"/>
  </w:num>
  <w:num w:numId="8">
    <w:abstractNumId w:val="26"/>
  </w:num>
  <w:num w:numId="9">
    <w:abstractNumId w:val="12"/>
  </w:num>
  <w:num w:numId="10">
    <w:abstractNumId w:val="8"/>
  </w:num>
  <w:num w:numId="11">
    <w:abstractNumId w:val="2"/>
  </w:num>
  <w:num w:numId="12">
    <w:abstractNumId w:val="24"/>
  </w:num>
  <w:num w:numId="13">
    <w:abstractNumId w:val="20"/>
  </w:num>
  <w:num w:numId="14">
    <w:abstractNumId w:val="19"/>
  </w:num>
  <w:num w:numId="15">
    <w:abstractNumId w:val="4"/>
  </w:num>
  <w:num w:numId="16">
    <w:abstractNumId w:val="22"/>
  </w:num>
  <w:num w:numId="17">
    <w:abstractNumId w:val="7"/>
  </w:num>
  <w:num w:numId="18">
    <w:abstractNumId w:val="1"/>
  </w:num>
  <w:num w:numId="19">
    <w:abstractNumId w:val="16"/>
  </w:num>
  <w:num w:numId="20">
    <w:abstractNumId w:val="27"/>
  </w:num>
  <w:num w:numId="21">
    <w:abstractNumId w:val="25"/>
  </w:num>
  <w:num w:numId="22">
    <w:abstractNumId w:val="21"/>
  </w:num>
  <w:num w:numId="23">
    <w:abstractNumId w:val="3"/>
  </w:num>
  <w:num w:numId="24">
    <w:abstractNumId w:val="0"/>
  </w:num>
  <w:num w:numId="25">
    <w:abstractNumId w:val="15"/>
  </w:num>
  <w:num w:numId="26">
    <w:abstractNumId w:val="14"/>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4597"/>
    <w:rsid w:val="0006568A"/>
    <w:rsid w:val="00067278"/>
    <w:rsid w:val="00075DD1"/>
    <w:rsid w:val="000B35C7"/>
    <w:rsid w:val="000B376A"/>
    <w:rsid w:val="000B57DF"/>
    <w:rsid w:val="000B6345"/>
    <w:rsid w:val="000B7620"/>
    <w:rsid w:val="000D5755"/>
    <w:rsid w:val="000F0BB7"/>
    <w:rsid w:val="000F2369"/>
    <w:rsid w:val="000F3851"/>
    <w:rsid w:val="00107399"/>
    <w:rsid w:val="00115E40"/>
    <w:rsid w:val="0011731E"/>
    <w:rsid w:val="00146519"/>
    <w:rsid w:val="00152235"/>
    <w:rsid w:val="00172D81"/>
    <w:rsid w:val="00180378"/>
    <w:rsid w:val="001819DC"/>
    <w:rsid w:val="001A2528"/>
    <w:rsid w:val="001A4668"/>
    <w:rsid w:val="001A742D"/>
    <w:rsid w:val="001B3776"/>
    <w:rsid w:val="001E7F4F"/>
    <w:rsid w:val="001F4293"/>
    <w:rsid w:val="00233E53"/>
    <w:rsid w:val="00235D72"/>
    <w:rsid w:val="00247494"/>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47122"/>
    <w:rsid w:val="003649B1"/>
    <w:rsid w:val="00370D42"/>
    <w:rsid w:val="0037108A"/>
    <w:rsid w:val="00372278"/>
    <w:rsid w:val="00373E65"/>
    <w:rsid w:val="003942F4"/>
    <w:rsid w:val="0039617B"/>
    <w:rsid w:val="003A38D7"/>
    <w:rsid w:val="003B02B2"/>
    <w:rsid w:val="003B3752"/>
    <w:rsid w:val="003B3AAB"/>
    <w:rsid w:val="003C76A3"/>
    <w:rsid w:val="003E0AC4"/>
    <w:rsid w:val="003E6021"/>
    <w:rsid w:val="003F5B9A"/>
    <w:rsid w:val="00401732"/>
    <w:rsid w:val="004152CD"/>
    <w:rsid w:val="00422D7F"/>
    <w:rsid w:val="00435191"/>
    <w:rsid w:val="00437668"/>
    <w:rsid w:val="00444D97"/>
    <w:rsid w:val="00450714"/>
    <w:rsid w:val="00453A7C"/>
    <w:rsid w:val="00463F52"/>
    <w:rsid w:val="0046403F"/>
    <w:rsid w:val="00467123"/>
    <w:rsid w:val="00473B68"/>
    <w:rsid w:val="00477B5C"/>
    <w:rsid w:val="004837FC"/>
    <w:rsid w:val="00493645"/>
    <w:rsid w:val="00495252"/>
    <w:rsid w:val="004A4633"/>
    <w:rsid w:val="004B00FD"/>
    <w:rsid w:val="004D46F2"/>
    <w:rsid w:val="004D4F1A"/>
    <w:rsid w:val="004D65EA"/>
    <w:rsid w:val="004D695A"/>
    <w:rsid w:val="004E45D1"/>
    <w:rsid w:val="004F393E"/>
    <w:rsid w:val="004F3DA2"/>
    <w:rsid w:val="005059EA"/>
    <w:rsid w:val="005263CC"/>
    <w:rsid w:val="00526624"/>
    <w:rsid w:val="00537CEC"/>
    <w:rsid w:val="00553878"/>
    <w:rsid w:val="0056092A"/>
    <w:rsid w:val="00560D50"/>
    <w:rsid w:val="0056513E"/>
    <w:rsid w:val="005677CC"/>
    <w:rsid w:val="00572DC6"/>
    <w:rsid w:val="00580AD8"/>
    <w:rsid w:val="00586528"/>
    <w:rsid w:val="00595638"/>
    <w:rsid w:val="005A0997"/>
    <w:rsid w:val="005B265E"/>
    <w:rsid w:val="005C0203"/>
    <w:rsid w:val="005D10BA"/>
    <w:rsid w:val="005E39EB"/>
    <w:rsid w:val="0060133E"/>
    <w:rsid w:val="00610312"/>
    <w:rsid w:val="0061147D"/>
    <w:rsid w:val="00615A7A"/>
    <w:rsid w:val="00622037"/>
    <w:rsid w:val="006326FF"/>
    <w:rsid w:val="0064217B"/>
    <w:rsid w:val="0065697D"/>
    <w:rsid w:val="00667D16"/>
    <w:rsid w:val="00672740"/>
    <w:rsid w:val="006742D6"/>
    <w:rsid w:val="00674C07"/>
    <w:rsid w:val="006829A2"/>
    <w:rsid w:val="00684CF7"/>
    <w:rsid w:val="006A1FC4"/>
    <w:rsid w:val="006B13CA"/>
    <w:rsid w:val="006B2315"/>
    <w:rsid w:val="006B2415"/>
    <w:rsid w:val="006B2C4D"/>
    <w:rsid w:val="006B3885"/>
    <w:rsid w:val="006B6618"/>
    <w:rsid w:val="006D1704"/>
    <w:rsid w:val="006D2499"/>
    <w:rsid w:val="006D33A6"/>
    <w:rsid w:val="006D576D"/>
    <w:rsid w:val="006D578C"/>
    <w:rsid w:val="006E61E8"/>
    <w:rsid w:val="00717D2B"/>
    <w:rsid w:val="00721D28"/>
    <w:rsid w:val="007223F6"/>
    <w:rsid w:val="0072412B"/>
    <w:rsid w:val="007244F9"/>
    <w:rsid w:val="00751391"/>
    <w:rsid w:val="00754ABF"/>
    <w:rsid w:val="007568A6"/>
    <w:rsid w:val="00757825"/>
    <w:rsid w:val="00776BC3"/>
    <w:rsid w:val="007831F0"/>
    <w:rsid w:val="0078468A"/>
    <w:rsid w:val="00787D5A"/>
    <w:rsid w:val="00791354"/>
    <w:rsid w:val="00796D50"/>
    <w:rsid w:val="00797D51"/>
    <w:rsid w:val="007A3FB6"/>
    <w:rsid w:val="007B0C6D"/>
    <w:rsid w:val="007B3E04"/>
    <w:rsid w:val="007C2D81"/>
    <w:rsid w:val="007D19E2"/>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65495"/>
    <w:rsid w:val="00872EBE"/>
    <w:rsid w:val="008733CD"/>
    <w:rsid w:val="008737FD"/>
    <w:rsid w:val="00876D30"/>
    <w:rsid w:val="00877B86"/>
    <w:rsid w:val="008831A8"/>
    <w:rsid w:val="00883206"/>
    <w:rsid w:val="00886AD1"/>
    <w:rsid w:val="00891500"/>
    <w:rsid w:val="008E0119"/>
    <w:rsid w:val="008E2DBD"/>
    <w:rsid w:val="008F7A80"/>
    <w:rsid w:val="00903513"/>
    <w:rsid w:val="00916FA6"/>
    <w:rsid w:val="00943A87"/>
    <w:rsid w:val="009461A1"/>
    <w:rsid w:val="009511BC"/>
    <w:rsid w:val="0097037D"/>
    <w:rsid w:val="009771CA"/>
    <w:rsid w:val="009C6D21"/>
    <w:rsid w:val="009D4EA5"/>
    <w:rsid w:val="009E0FBC"/>
    <w:rsid w:val="009E36C6"/>
    <w:rsid w:val="009E7736"/>
    <w:rsid w:val="009F70FA"/>
    <w:rsid w:val="00A00194"/>
    <w:rsid w:val="00A104D5"/>
    <w:rsid w:val="00A22EF7"/>
    <w:rsid w:val="00A25190"/>
    <w:rsid w:val="00A3121C"/>
    <w:rsid w:val="00A3590C"/>
    <w:rsid w:val="00A37E57"/>
    <w:rsid w:val="00A44629"/>
    <w:rsid w:val="00A73139"/>
    <w:rsid w:val="00A86045"/>
    <w:rsid w:val="00A92631"/>
    <w:rsid w:val="00AA03CE"/>
    <w:rsid w:val="00AA26BC"/>
    <w:rsid w:val="00AD34A3"/>
    <w:rsid w:val="00AE7D54"/>
    <w:rsid w:val="00B05668"/>
    <w:rsid w:val="00B1150E"/>
    <w:rsid w:val="00B27589"/>
    <w:rsid w:val="00B31C36"/>
    <w:rsid w:val="00B55103"/>
    <w:rsid w:val="00B660D1"/>
    <w:rsid w:val="00B764A8"/>
    <w:rsid w:val="00B765CA"/>
    <w:rsid w:val="00BA0392"/>
    <w:rsid w:val="00BA7CDD"/>
    <w:rsid w:val="00BB4181"/>
    <w:rsid w:val="00BC4C66"/>
    <w:rsid w:val="00BE730B"/>
    <w:rsid w:val="00C01549"/>
    <w:rsid w:val="00C015CA"/>
    <w:rsid w:val="00C10993"/>
    <w:rsid w:val="00C112D5"/>
    <w:rsid w:val="00C1207A"/>
    <w:rsid w:val="00C20834"/>
    <w:rsid w:val="00C210C9"/>
    <w:rsid w:val="00C214E8"/>
    <w:rsid w:val="00C2232A"/>
    <w:rsid w:val="00C41551"/>
    <w:rsid w:val="00C47AE5"/>
    <w:rsid w:val="00C53AE7"/>
    <w:rsid w:val="00C55002"/>
    <w:rsid w:val="00C60645"/>
    <w:rsid w:val="00C71645"/>
    <w:rsid w:val="00C765FE"/>
    <w:rsid w:val="00C77C14"/>
    <w:rsid w:val="00C83FEF"/>
    <w:rsid w:val="00C85D79"/>
    <w:rsid w:val="00C86A0E"/>
    <w:rsid w:val="00CA3E1E"/>
    <w:rsid w:val="00CB0599"/>
    <w:rsid w:val="00CD4EB0"/>
    <w:rsid w:val="00CE2F08"/>
    <w:rsid w:val="00CE3769"/>
    <w:rsid w:val="00CE649E"/>
    <w:rsid w:val="00CF2B63"/>
    <w:rsid w:val="00D01959"/>
    <w:rsid w:val="00D04B59"/>
    <w:rsid w:val="00D50B71"/>
    <w:rsid w:val="00D5383B"/>
    <w:rsid w:val="00D61844"/>
    <w:rsid w:val="00D750B8"/>
    <w:rsid w:val="00D80088"/>
    <w:rsid w:val="00D8214E"/>
    <w:rsid w:val="00D96ED6"/>
    <w:rsid w:val="00DB0209"/>
    <w:rsid w:val="00DB2A31"/>
    <w:rsid w:val="00DB6DF6"/>
    <w:rsid w:val="00DC2D74"/>
    <w:rsid w:val="00DD5E1B"/>
    <w:rsid w:val="00DD6784"/>
    <w:rsid w:val="00DD70A0"/>
    <w:rsid w:val="00DE5DEA"/>
    <w:rsid w:val="00DF00E6"/>
    <w:rsid w:val="00E11C57"/>
    <w:rsid w:val="00E15313"/>
    <w:rsid w:val="00E30A96"/>
    <w:rsid w:val="00E3300C"/>
    <w:rsid w:val="00E57246"/>
    <w:rsid w:val="00E666D3"/>
    <w:rsid w:val="00E738DA"/>
    <w:rsid w:val="00E9391C"/>
    <w:rsid w:val="00E95B1C"/>
    <w:rsid w:val="00EA172E"/>
    <w:rsid w:val="00EB3677"/>
    <w:rsid w:val="00EB768F"/>
    <w:rsid w:val="00EC595B"/>
    <w:rsid w:val="00EE25B9"/>
    <w:rsid w:val="00EE405D"/>
    <w:rsid w:val="00EE669D"/>
    <w:rsid w:val="00EF5624"/>
    <w:rsid w:val="00F13F18"/>
    <w:rsid w:val="00F248C7"/>
    <w:rsid w:val="00F257DC"/>
    <w:rsid w:val="00F309A2"/>
    <w:rsid w:val="00F4016B"/>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1098</Words>
  <Characters>6259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2015-12-21T12:56:00Z</cp:lastPrinted>
  <dcterms:created xsi:type="dcterms:W3CDTF">2017-04-29T18:25:00Z</dcterms:created>
  <dcterms:modified xsi:type="dcterms:W3CDTF">2017-06-15T18:17:00Z</dcterms:modified>
</cp:coreProperties>
</file>