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wdb77uvjv0v0" w:id="0"/>
      <w:bookmarkEnd w:id="0"/>
      <w:r w:rsidDel="00000000" w:rsidR="00000000" w:rsidRPr="00000000">
        <w:rPr>
          <w:rtl w:val="0"/>
        </w:rPr>
        <w:t xml:space="preserve">Tech Readiness Seal Application</w:t>
      </w:r>
    </w:p>
    <w:p w:rsidR="00000000" w:rsidDel="00000000" w:rsidP="00000000" w:rsidRDefault="00000000" w:rsidRPr="00000000" w14:paraId="00000002">
      <w:pPr>
        <w:pStyle w:val="Title"/>
        <w:spacing w:after="200" w:before="0" w:lineRule="auto"/>
        <w:rPr/>
      </w:pPr>
      <w:bookmarkStart w:colFirst="0" w:colLast="0" w:name="_heading=h.hhtwyd9tdle" w:id="1"/>
      <w:bookmarkEnd w:id="1"/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sz w:val="28"/>
          <w:szCs w:val="28"/>
          <w:rtl w:val="0"/>
        </w:rPr>
        <w:t xml:space="preserve">Instructional Materials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f4773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5086350</wp:posOffset>
            </wp:positionH>
            <wp:positionV relativeFrom="paragraph">
              <wp:posOffset>285750</wp:posOffset>
            </wp:positionV>
            <wp:extent cx="1766888" cy="1787674"/>
            <wp:effectExtent b="0" l="0" r="0" t="0"/>
            <wp:wrapSquare wrapText="bothSides" distB="114300" distT="114300" distL="114300" distR="114300"/>
            <wp:docPr descr="Icon of Tech Ready Seal" id="1" name="image3.png"/>
            <a:graphic>
              <a:graphicData uri="http://schemas.openxmlformats.org/drawingml/2006/picture">
                <pic:pic>
                  <pic:nvPicPr>
                    <pic:cNvPr descr="Icon of Tech Ready Seal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7876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The Tech Readiness Seal Application is optional and available only to materials that have received a Tier 1 rating through the Louisiana Department of Education’s (LDOE) Instructional Materials Review (IMR) process. Publishers can apply for a designation based on the platform’s technological capabilities. Information should be provided at the summary and capability level. 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Do not</w:t>
      </w:r>
      <w:r w:rsidDel="00000000" w:rsidR="00000000" w:rsidRPr="00000000">
        <w:rPr>
          <w:rtl w:val="0"/>
        </w:rPr>
        <w:t xml:space="preserve"> include IP addresses, internal network topology, security configurations, proprietary source code, or sensitive operational details.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color w:val="444746"/>
          <w:rtl w:val="0"/>
        </w:rPr>
        <w:t xml:space="preserve">Do not </w:t>
      </w:r>
      <w:r w:rsidDel="00000000" w:rsidR="00000000" w:rsidRPr="00000000">
        <w:rPr>
          <w:color w:val="444746"/>
          <w:rtl w:val="0"/>
        </w:rPr>
        <w:t xml:space="preserve">disclose model architecture, system prompts, internal tuning processes, or trade-secret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line="240" w:lineRule="auto"/>
        <w:ind w:left="720" w:hanging="360"/>
        <w:rPr>
          <w:color w:val="444746"/>
        </w:rPr>
      </w:pPr>
      <w:r w:rsidDel="00000000" w:rsidR="00000000" w:rsidRPr="00000000">
        <w:rPr>
          <w:b w:val="1"/>
          <w:bCs w:val="1"/>
          <w:color w:val="444746"/>
          <w:rtl w:val="0"/>
        </w:rPr>
        <w:t xml:space="preserve">Do not </w:t>
      </w:r>
      <w:r w:rsidDel="00000000" w:rsidR="00000000" w:rsidRPr="00000000">
        <w:rPr>
          <w:color w:val="444746"/>
          <w:rtl w:val="0"/>
        </w:rPr>
        <w:t xml:space="preserve">disclose proprietary datasets, licensed content partners, data acquisition contracts, or internal corpus details.</w:t>
      </w:r>
    </w:p>
    <w:p w:rsidR="00000000" w:rsidDel="00000000" w:rsidP="00000000" w:rsidRDefault="00000000" w:rsidRPr="00000000" w14:paraId="00000008">
      <w:pPr>
        <w:spacing w:line="240" w:lineRule="auto"/>
        <w:rPr>
          <w:color w:val="4447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submit a Tech Readiness Seal Application, publishers must first include the following components:</w:t>
      </w:r>
    </w:p>
    <w:p w:rsidR="00000000" w:rsidDel="00000000" w:rsidP="00000000" w:rsidRDefault="00000000" w:rsidRPr="00000000" w14:paraId="0000000A">
      <w:pPr>
        <w:pStyle w:val="Heading2"/>
        <w:spacing w:line="240" w:lineRule="auto"/>
        <w:rPr/>
      </w:pPr>
      <w:bookmarkStart w:colFirst="0" w:colLast="0" w:name="_heading=h.4xiuk4jua2qa" w:id="2"/>
      <w:bookmarkEnd w:id="2"/>
      <w:r w:rsidDel="00000000" w:rsidR="00000000" w:rsidRPr="00000000">
        <w:rPr>
          <w:rtl w:val="0"/>
        </w:rPr>
        <w:t xml:space="preserve">Non-Negotiables: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017f92"/>
            <w:u w:val="single"/>
            <w:rtl w:val="0"/>
          </w:rPr>
          <w:t xml:space="preserve">Security Certification</w:t>
        </w:r>
      </w:hyperlink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Current System and Organization Controls </w:t>
      </w:r>
      <w:r w:rsidDel="00000000" w:rsidR="00000000" w:rsidRPr="00000000">
        <w:rPr>
          <w:b w:val="1"/>
          <w:bCs w:val="1"/>
          <w:rtl w:val="0"/>
        </w:rPr>
        <w:t xml:space="preserve">(SOC)2, Type II</w:t>
      </w:r>
      <w:r w:rsidDel="00000000" w:rsidR="00000000" w:rsidRPr="00000000">
        <w:rPr>
          <w:rtl w:val="0"/>
        </w:rPr>
        <w:t xml:space="preserve">, International Organization for Standardization </w:t>
      </w:r>
      <w:r w:rsidDel="00000000" w:rsidR="00000000" w:rsidRPr="00000000">
        <w:rPr>
          <w:b w:val="1"/>
          <w:bCs w:val="1"/>
          <w:rtl w:val="0"/>
        </w:rPr>
        <w:t xml:space="preserve">(ISO) 27001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bCs w:val="1"/>
          <w:rtl w:val="0"/>
        </w:rPr>
        <w:t xml:space="preserve">equivalent security audit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</w:rPr>
      </w:pPr>
      <w:hyperlink r:id="rId9">
        <w:r w:rsidDel="00000000" w:rsidR="00000000" w:rsidRPr="00000000">
          <w:rPr>
            <w:b w:val="1"/>
            <w:bCs w:val="1"/>
            <w:color w:val="017f92"/>
            <w:u w:val="single"/>
            <w:rtl w:val="0"/>
          </w:rPr>
          <w:t xml:space="preserve">Web Content Accessibility Guidelines (WCAG) 2.1 AA</w:t>
        </w:r>
      </w:hyperlink>
      <w:r w:rsidDel="00000000" w:rsidR="00000000" w:rsidRPr="00000000">
        <w:rPr>
          <w:b w:val="1"/>
          <w:bCs w:val="1"/>
          <w:color w:val="017f92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compliance:</w:t>
      </w:r>
      <w:r w:rsidDel="00000000" w:rsidR="00000000" w:rsidRPr="00000000">
        <w:rPr>
          <w:rtl w:val="0"/>
        </w:rPr>
        <w:t xml:space="preserve"> Voluntary Product Accessibility Template</w:t>
      </w:r>
      <w:r w:rsidDel="00000000" w:rsidR="00000000" w:rsidRPr="00000000">
        <w:rPr>
          <w:b w:val="1"/>
          <w:bCs w:val="1"/>
          <w:rtl w:val="0"/>
        </w:rPr>
        <w:t xml:space="preserve"> (VPAT) or independent audit.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Privacy Agreement (DPA) and deletion process available.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Real-Time Grade Passback (or functional equivalent)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Artificial Intelligence (AI) Transparency (If the platform includes AI):</w:t>
      </w:r>
    </w:p>
    <w:p w:rsidR="00000000" w:rsidDel="00000000" w:rsidP="00000000" w:rsidRDefault="00000000" w:rsidRPr="00000000" w14:paraId="00000010">
      <w:pPr>
        <w:spacing w:after="0"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Human oversight documented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Model training data sources and description disclosed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Provide a general description of training data sources (e.g., publicly available data, licensed datasets, district-provided content).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Important: Do not disclose proprietary datasets, licensed content partners, data acquisition contracts, or internal corpus details.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 earn the Tech Readiness Seal, publishers must also demonstrate that their platform meets rigorous technical and operational standards. </w:t>
      </w:r>
    </w:p>
    <w:p w:rsidR="00000000" w:rsidDel="00000000" w:rsidP="00000000" w:rsidRDefault="00000000" w:rsidRPr="00000000" w14:paraId="00000016">
      <w:pPr>
        <w:pStyle w:val="Heading2"/>
        <w:spacing w:line="240" w:lineRule="auto"/>
        <w:rPr/>
      </w:pPr>
      <w:bookmarkStart w:colFirst="0" w:colLast="0" w:name="_heading=h.px02b56jjs8f" w:id="3"/>
      <w:bookmarkEnd w:id="3"/>
      <w:r w:rsidDel="00000000" w:rsidR="00000000" w:rsidRPr="00000000">
        <w:rPr>
          <w:rtl w:val="0"/>
        </w:rPr>
        <w:t xml:space="preserve">Scoring and Eligibility: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Threshold: </w:t>
      </w:r>
      <w:r w:rsidDel="00000000" w:rsidR="00000000" w:rsidRPr="00000000">
        <w:rPr>
          <w:rtl w:val="0"/>
        </w:rPr>
        <w:t xml:space="preserve">Achieve a score of </w:t>
      </w:r>
      <w:r w:rsidDel="00000000" w:rsidR="00000000" w:rsidRPr="00000000">
        <w:rPr>
          <w:b w:val="1"/>
          <w:bCs w:val="1"/>
          <w:rtl w:val="0"/>
        </w:rPr>
        <w:t xml:space="preserve">80% or higher</w:t>
      </w:r>
      <w:r w:rsidDel="00000000" w:rsidR="00000000" w:rsidRPr="00000000">
        <w:rPr>
          <w:rtl w:val="0"/>
        </w:rPr>
        <w:t xml:space="preserve"> by providing at least 80% of the requested documentation and information listed in this application.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Completeness: </w:t>
      </w:r>
      <w:r w:rsidDel="00000000" w:rsidR="00000000" w:rsidRPr="00000000">
        <w:rPr>
          <w:rtl w:val="0"/>
        </w:rPr>
        <w:t xml:space="preserve">Application must include </w:t>
      </w:r>
      <w:r w:rsidDel="00000000" w:rsidR="00000000" w:rsidRPr="00000000">
        <w:rPr>
          <w:b w:val="1"/>
          <w:bCs w:val="1"/>
          <w:rtl w:val="0"/>
        </w:rPr>
        <w:t xml:space="preserve">all mandated non-negotiable</w:t>
      </w:r>
      <w:r w:rsidDel="00000000" w:rsidR="00000000" w:rsidRPr="00000000">
        <w:rPr>
          <w:rtl w:val="0"/>
        </w:rPr>
        <w:t xml:space="preserve"> components and sufficient supporting documentation to be considered satisfactory.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Prerequisite: </w:t>
      </w:r>
      <w:r w:rsidDel="00000000" w:rsidR="00000000" w:rsidRPr="00000000">
        <w:rPr>
          <w:rtl w:val="0"/>
        </w:rPr>
        <w:t xml:space="preserve">This application is strictly optional and only available for materials that have already secured a </w:t>
      </w:r>
      <w:r w:rsidDel="00000000" w:rsidR="00000000" w:rsidRPr="00000000">
        <w:rPr>
          <w:b w:val="1"/>
          <w:bCs w:val="1"/>
          <w:rtl w:val="0"/>
        </w:rPr>
        <w:t xml:space="preserve">Tier 1 rating </w:t>
      </w:r>
      <w:r w:rsidDel="00000000" w:rsidR="00000000" w:rsidRPr="00000000">
        <w:rPr>
          <w:rtl w:val="0"/>
        </w:rPr>
        <w:t xml:space="preserve">through the LDOE’s IMR process.</w:t>
      </w:r>
    </w:p>
    <w:p w:rsidR="00000000" w:rsidDel="00000000" w:rsidP="00000000" w:rsidRDefault="00000000" w:rsidRPr="00000000" w14:paraId="0000001A">
      <w:pPr>
        <w:pStyle w:val="Heading2"/>
        <w:spacing w:line="240" w:lineRule="auto"/>
        <w:rPr/>
      </w:pPr>
      <w:bookmarkStart w:colFirst="0" w:colLast="0" w:name="_heading=h.q3jsh7dz4zxh" w:id="4"/>
      <w:bookmarkEnd w:id="4"/>
      <w:r w:rsidDel="00000000" w:rsidR="00000000" w:rsidRPr="00000000">
        <w:rPr>
          <w:rtl w:val="0"/>
        </w:rPr>
        <w:t xml:space="preserve">Needed Submission Documentation and Information: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Security: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Important: Do not submit full SOC 2 reports, control matrices, or detailed audit documentation.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Only certification status and audit type/date are required. Do not submit the full audit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1080" w:firstLine="0"/>
        <w:rPr>
          <w:color w:val="017f92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color w:val="017f92"/>
          <w:u w:val="single"/>
          <w:rtl w:val="0"/>
        </w:rPr>
        <w:t xml:space="preserve"> </w:t>
      </w:r>
      <w:hyperlink r:id="rId10">
        <w:r w:rsidDel="00000000" w:rsidR="00000000" w:rsidRPr="00000000">
          <w:rPr>
            <w:color w:val="017f92"/>
            <w:u w:val="single"/>
            <w:rtl w:val="0"/>
          </w:rPr>
          <w:t xml:space="preserve">Cybersecurity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180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SOC 2 Type II certification</w:t>
      </w:r>
    </w:p>
    <w:p w:rsidR="00000000" w:rsidDel="00000000" w:rsidP="00000000" w:rsidRDefault="00000000" w:rsidRPr="00000000" w14:paraId="0000001F">
      <w:pPr>
        <w:spacing w:after="0" w:line="240" w:lineRule="auto"/>
        <w:ind w:left="180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ISO 27001 certification</w:t>
      </w:r>
    </w:p>
    <w:p w:rsidR="00000000" w:rsidDel="00000000" w:rsidP="00000000" w:rsidRDefault="00000000" w:rsidRPr="00000000" w14:paraId="00000020">
      <w:pPr>
        <w:spacing w:after="0" w:line="240" w:lineRule="auto"/>
        <w:ind w:left="180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Equivalent audit documentation</w:t>
      </w:r>
    </w:p>
    <w:p w:rsidR="00000000" w:rsidDel="00000000" w:rsidP="00000000" w:rsidRDefault="00000000" w:rsidRPr="00000000" w14:paraId="00000021">
      <w:pPr>
        <w:spacing w:after="0" w:line="240" w:lineRule="auto"/>
        <w:ind w:left="180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Encryption in transit confirmed</w:t>
      </w:r>
    </w:p>
    <w:p w:rsidR="00000000" w:rsidDel="00000000" w:rsidP="00000000" w:rsidRDefault="00000000" w:rsidRPr="00000000" w14:paraId="00000022">
      <w:pPr>
        <w:spacing w:after="0" w:line="240" w:lineRule="auto"/>
        <w:ind w:left="180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Encryption at rest confirmed</w:t>
      </w:r>
    </w:p>
    <w:p w:rsidR="00000000" w:rsidDel="00000000" w:rsidP="00000000" w:rsidRDefault="00000000" w:rsidRPr="00000000" w14:paraId="00000023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Role-Based Access Controls (RBAC) description provided</w:t>
      </w:r>
    </w:p>
    <w:p w:rsidR="00000000" w:rsidDel="00000000" w:rsidP="00000000" w:rsidRDefault="00000000" w:rsidRPr="00000000" w14:paraId="00000024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Documentation indicating Multi-factor Authentication (MFA) is supported for administrative (admin) accounts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Accessibility: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Completed </w:t>
      </w:r>
      <w:hyperlink r:id="rId11">
        <w:r w:rsidDel="00000000" w:rsidR="00000000" w:rsidRPr="00000000">
          <w:rPr>
            <w:color w:val="017f92"/>
            <w:u w:val="single"/>
            <w:rtl w:val="0"/>
          </w:rPr>
          <w:t xml:space="preserve">Accessibility supports checklist</w:t>
        </w:r>
      </w:hyperlink>
      <w:r w:rsidDel="00000000" w:rsidR="00000000" w:rsidRPr="00000000">
        <w:rPr>
          <w:color w:val="017f92"/>
          <w:rtl w:val="0"/>
        </w:rPr>
        <w:t xml:space="preserve"> </w:t>
      </w:r>
      <w:r w:rsidDel="00000000" w:rsidR="00000000" w:rsidRPr="00000000">
        <w:rPr>
          <w:rtl w:val="0"/>
        </w:rPr>
        <w:t xml:space="preserve">attached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Data Privacy: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DPA template attached</w:t>
      </w:r>
    </w:p>
    <w:p w:rsidR="00000000" w:rsidDel="00000000" w:rsidP="00000000" w:rsidRDefault="00000000" w:rsidRPr="00000000" w14:paraId="00000029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Data deletion procedures explanation</w:t>
      </w:r>
    </w:p>
    <w:p w:rsidR="00000000" w:rsidDel="00000000" w:rsidP="00000000" w:rsidRDefault="00000000" w:rsidRPr="00000000" w14:paraId="0000002A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Provide a high-level summary of data deletion procedures, including:</w:t>
      </w:r>
    </w:p>
    <w:p w:rsidR="00000000" w:rsidDel="00000000" w:rsidP="00000000" w:rsidRDefault="00000000" w:rsidRPr="00000000" w14:paraId="0000002B">
      <w:pPr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/>
      </w:pPr>
      <w:r w:rsidDel="00000000" w:rsidR="00000000" w:rsidRPr="00000000">
        <w:rPr>
          <w:rtl w:val="0"/>
        </w:rPr>
        <w:t xml:space="preserve">Method for requesting deletion</w:t>
      </w:r>
    </w:p>
    <w:p w:rsidR="00000000" w:rsidDel="00000000" w:rsidP="00000000" w:rsidRDefault="00000000" w:rsidRPr="00000000" w14:paraId="0000002C">
      <w:pPr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/>
      </w:pPr>
      <w:r w:rsidDel="00000000" w:rsidR="00000000" w:rsidRPr="00000000">
        <w:rPr>
          <w:rtl w:val="0"/>
        </w:rPr>
        <w:t xml:space="preserve">Timeline for deletion</w:t>
      </w:r>
    </w:p>
    <w:p w:rsidR="00000000" w:rsidDel="00000000" w:rsidP="00000000" w:rsidRDefault="00000000" w:rsidRPr="00000000" w14:paraId="0000002D">
      <w:pPr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Scope of deletion (e.g., user-level, district-level, contract termination)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Important: Do not include technical infrastructure details, storage architecture, or internal operational procedures.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Infrastructure: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Uptime Service-Level Agreement (SLA) documented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Deployment: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Deployment model described</w:t>
      </w:r>
    </w:p>
    <w:p w:rsidR="00000000" w:rsidDel="00000000" w:rsidP="00000000" w:rsidRDefault="00000000" w:rsidRPr="00000000" w14:paraId="00000033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Estimated setup time documented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AI (if applicable):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Closed System /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Open system</w:t>
      </w:r>
    </w:p>
    <w:p w:rsidR="00000000" w:rsidDel="00000000" w:rsidP="00000000" w:rsidRDefault="00000000" w:rsidRPr="00000000" w14:paraId="00000036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AI functionality described</w:t>
      </w:r>
    </w:p>
    <w:p w:rsidR="00000000" w:rsidDel="00000000" w:rsidP="00000000" w:rsidRDefault="00000000" w:rsidRPr="00000000" w14:paraId="00000037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Bias mitigation strategy attached</w:t>
      </w:r>
    </w:p>
    <w:p w:rsidR="00000000" w:rsidDel="00000000" w:rsidP="00000000" w:rsidRDefault="00000000" w:rsidRPr="00000000" w14:paraId="0000003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Provide a high-level summary of bias mitigation practices (e.g., human review, testing protocols, content moderation safeguards).</w:t>
      </w:r>
    </w:p>
    <w:p w:rsidR="00000000" w:rsidDel="00000000" w:rsidP="00000000" w:rsidRDefault="00000000" w:rsidRPr="00000000" w14:paraId="0000003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Do not include internal evaluation tools, scoring models, or testing methodologies.</w:t>
      </w:r>
    </w:p>
    <w:p w:rsidR="00000000" w:rsidDel="00000000" w:rsidP="00000000" w:rsidRDefault="00000000" w:rsidRPr="00000000" w14:paraId="0000003A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Guardrails documented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Provide a high-level summary of bias mitigation practices (e.g., human review, testing protocols, content moderation safeguards).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Do not include internal evaluation tools, scoring models, or testing methodologies.</w:t>
      </w:r>
    </w:p>
    <w:p w:rsidR="00000000" w:rsidDel="00000000" w:rsidP="00000000" w:rsidRDefault="00000000" w:rsidRPr="00000000" w14:paraId="0000003D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Explainability statement included</w:t>
      </w:r>
    </w:p>
    <w:p w:rsidR="00000000" w:rsidDel="00000000" w:rsidP="00000000" w:rsidRDefault="00000000" w:rsidRPr="00000000" w14:paraId="0000003E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Provide a brief description of how AI outputs can be interpreted or reviewed by educators or administrators.</w:t>
      </w:r>
    </w:p>
    <w:p w:rsidR="00000000" w:rsidDel="00000000" w:rsidP="00000000" w:rsidRDefault="00000000" w:rsidRPr="00000000" w14:paraId="0000003F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No proprietary system design details are required.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Interoperability: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Connects directly with Learning Management System (LMS) providers</w:t>
      </w:r>
    </w:p>
    <w:p w:rsidR="00000000" w:rsidDel="00000000" w:rsidP="00000000" w:rsidRDefault="00000000" w:rsidRPr="00000000" w14:paraId="00000042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List compatible LMSs: </w:t>
      </w:r>
      <w:r w:rsidDel="00000000" w:rsidR="00000000" w:rsidRPr="00000000">
        <w:rPr>
          <w:u w:val="single"/>
          <w:rtl w:val="0"/>
        </w:rPr>
        <w:t xml:space="preserve">Click or tap here to enter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Learning Tools Interoperability (LTI) 1.3 Advantage certified (verification link)</w:t>
      </w:r>
    </w:p>
    <w:p w:rsidR="00000000" w:rsidDel="00000000" w:rsidP="00000000" w:rsidRDefault="00000000" w:rsidRPr="00000000" w14:paraId="00000044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OneRoster 1.2 certified (verification link)</w:t>
      </w:r>
    </w:p>
    <w:p w:rsidR="00000000" w:rsidDel="00000000" w:rsidP="00000000" w:rsidRDefault="00000000" w:rsidRPr="00000000" w14:paraId="00000045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Real-time grade passback verified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Operational Readiness: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Implementation documentation</w:t>
      </w:r>
    </w:p>
    <w:p w:rsidR="00000000" w:rsidDel="00000000" w:rsidP="00000000" w:rsidRDefault="00000000" w:rsidRPr="00000000" w14:paraId="00000048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Provide a summary overview of implementation phases (e.g., kickoff, rostering, training, launch).</w:t>
      </w:r>
    </w:p>
    <w:p w:rsidR="00000000" w:rsidDel="00000000" w:rsidP="00000000" w:rsidRDefault="00000000" w:rsidRPr="00000000" w14:paraId="00000049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Do not submit internal operational manuals or security-sensitive deployment documentation.</w:t>
      </w:r>
    </w:p>
    <w:p w:rsidR="00000000" w:rsidDel="00000000" w:rsidP="00000000" w:rsidRDefault="00000000" w:rsidRPr="00000000" w14:paraId="0000004A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Onboarding timeline documented</w:t>
      </w:r>
    </w:p>
    <w:p w:rsidR="00000000" w:rsidDel="00000000" w:rsidP="00000000" w:rsidRDefault="00000000" w:rsidRPr="00000000" w14:paraId="0000004B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Ongoing support availability plan provided</w:t>
      </w:r>
    </w:p>
    <w:p w:rsidR="00000000" w:rsidDel="00000000" w:rsidP="00000000" w:rsidRDefault="00000000" w:rsidRPr="00000000" w14:paraId="0000004C">
      <w:pPr>
        <w:spacing w:after="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Configuration requirements listed</w:t>
      </w:r>
    </w:p>
    <w:p w:rsidR="00000000" w:rsidDel="00000000" w:rsidP="00000000" w:rsidRDefault="00000000" w:rsidRPr="00000000" w14:paraId="0000004D">
      <w:pPr>
        <w:spacing w:after="240" w:line="240" w:lineRule="auto"/>
        <w:ind w:left="1080" w:firstLine="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Total cost transparency provided</w:t>
      </w:r>
    </w:p>
    <w:p w:rsidR="00000000" w:rsidDel="00000000" w:rsidP="00000000" w:rsidRDefault="00000000" w:rsidRPr="00000000" w14:paraId="0000004E">
      <w:pPr>
        <w:rPr/>
        <w:sectPr>
          <w:headerReference r:id="rId12" w:type="default"/>
          <w:headerReference r:id="rId13" w:type="first"/>
          <w:headerReference r:id="rId14" w:type="even"/>
          <w:footerReference r:id="rId15" w:type="default"/>
          <w:footerReference r:id="rId16" w:type="first"/>
          <w:footerReference r:id="rId17" w:type="even"/>
          <w:pgSz w:h="15840" w:w="12240" w:orient="portrait"/>
          <w:pgMar w:bottom="1080" w:top="1080" w:left="720" w:right="720" w:header="1080" w:footer="360"/>
          <w:pgNumType w:start="1"/>
          <w:titlePg w:val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line="240" w:lineRule="auto"/>
        <w:ind w:hanging="20"/>
        <w:rPr/>
      </w:pPr>
      <w:bookmarkStart w:colFirst="0" w:colLast="0" w:name="_heading=h.p6mc482qf9v6" w:id="5"/>
      <w:bookmarkEnd w:id="5"/>
      <w:r w:rsidDel="00000000" w:rsidR="00000000" w:rsidRPr="00000000">
        <w:rPr>
          <w:rtl w:val="0"/>
        </w:rPr>
        <w:t xml:space="preserve">Publisher Attestation</w:t>
      </w:r>
    </w:p>
    <w:p w:rsidR="00000000" w:rsidDel="00000000" w:rsidP="00000000" w:rsidRDefault="00000000" w:rsidRPr="00000000" w14:paraId="00000050">
      <w:pPr>
        <w:pStyle w:val="Subtitle"/>
        <w:rPr/>
      </w:pPr>
      <w:bookmarkStart w:colFirst="0" w:colLast="0" w:name="_heading=h.yd7um5anktdb" w:id="6"/>
      <w:bookmarkEnd w:id="6"/>
      <w:r w:rsidDel="00000000" w:rsidR="00000000" w:rsidRPr="00000000">
        <w:rPr>
          <w:rtl w:val="0"/>
        </w:rPr>
        <w:t xml:space="preserve">IMR Tech Readiness Seal Application</w:t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certify that the information provided is accurate to the best of my knowledge.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Publisher Name: </w:t>
      </w:r>
      <w:r w:rsidDel="00000000" w:rsidR="00000000" w:rsidRPr="00000000">
        <w:rPr>
          <w:u w:val="single"/>
          <w:rtl w:val="0"/>
        </w:rPr>
        <w:t xml:space="preserve">Click or tap here to enter text</w:t>
      </w:r>
    </w:p>
    <w:p w:rsidR="00000000" w:rsidDel="00000000" w:rsidP="00000000" w:rsidRDefault="00000000" w:rsidRPr="00000000" w14:paraId="00000054">
      <w:pPr>
        <w:spacing w:line="240" w:lineRule="auto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Product Name &amp; Version: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Click or tap here to enter text</w:t>
      </w:r>
    </w:p>
    <w:p w:rsidR="00000000" w:rsidDel="00000000" w:rsidP="00000000" w:rsidRDefault="00000000" w:rsidRPr="00000000" w14:paraId="00000055">
      <w:pPr>
        <w:spacing w:line="240" w:lineRule="auto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Authorized Representative: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Click or tap here to enter text</w:t>
      </w:r>
    </w:p>
    <w:p w:rsidR="00000000" w:rsidDel="00000000" w:rsidP="00000000" w:rsidRDefault="00000000" w:rsidRPr="00000000" w14:paraId="00000056">
      <w:pPr>
        <w:spacing w:line="240" w:lineRule="auto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Click or tap here to enter text</w:t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58">
      <w:pPr>
        <w:spacing w:line="240" w:lineRule="auto"/>
        <w:rPr/>
      </w:pPr>
      <w:bookmarkStart w:colFirst="0" w:colLast="0" w:name="_heading=h.s12g40afn121" w:id="7"/>
      <w:bookmarkEnd w:id="7"/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Click or tap here to enter text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type w:val="nextPage"/>
      <w:pgSz w:h="15840" w:w="12240" w:orient="portrait"/>
      <w:pgMar w:bottom="1080" w:top="1080" w:left="720" w:right="720" w:header="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Courier New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after="0" w:lineRule="auto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64">
    <w:pPr>
      <w:tabs>
        <w:tab w:val="right" w:leader="none" w:pos="10800"/>
      </w:tabs>
      <w:spacing w:after="0" w:lineRule="auto"/>
      <w:rPr/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after="0" w:lineRule="auto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 of Education</w:t>
      <w:tab/>
      <w:tab/>
      <w:tab/>
      <w:tab/>
      <w:tab/>
      <w:tab/>
      <w:tab/>
      <w:tab/>
      <w:tab/>
      <w:t xml:space="preserve">                </w:t>
    </w:r>
    <w:r w:rsidDel="00000000" w:rsidR="00000000" w:rsidRPr="00000000">
      <w:rPr>
        <w:sz w:val="16"/>
        <w:szCs w:val="16"/>
        <w:rtl w:val="0"/>
      </w:rPr>
      <w:t xml:space="preserve">Updated: 06/12/2026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right" w:leader="none" w:pos="10800"/>
      </w:tabs>
      <w:spacing w:after="0" w:lineRule="auto"/>
      <w:rPr>
        <w:sz w:val="16"/>
        <w:szCs w:val="16"/>
      </w:rPr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0" w:lineRule="auto"/>
      <w:rPr>
        <w:sz w:val="12"/>
        <w:szCs w:val="12"/>
      </w:rPr>
    </w:pPr>
    <w:r w:rsidDel="00000000" w:rsidR="00000000" w:rsidRPr="00000000">
      <w:rPr>
        <w:sz w:val="12"/>
        <w:szCs w:val="12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-123821</wp:posOffset>
          </wp:positionH>
          <wp:positionV relativeFrom="page">
            <wp:posOffset>0</wp:posOffset>
          </wp:positionV>
          <wp:extent cx="8020050" cy="300038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40310" r="40310" t="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0" w:lineRule="auto"/>
      <w:rPr>
        <w:b w:val="1"/>
        <w:bCs w:val="1"/>
        <w:color w:val="4d4d4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-682903</wp:posOffset>
          </wp:positionV>
          <wp:extent cx="7791450" cy="1200012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" l="0" r="0" t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b w:val="1"/>
        <w:bCs w:val="1"/>
        <w:color w:val="3c1053"/>
        <w:sz w:val="30"/>
        <w:szCs w:val="30"/>
        <w:rtl w:val="0"/>
      </w:rPr>
      <w:t xml:space="preserve">Office of Teaching and Learning</w: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0" w:lineRule="auto"/>
      <w:rPr>
        <w:b w:val="1"/>
        <w:bCs w:val="1"/>
        <w:color w:val="4d4d4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-466720</wp:posOffset>
          </wp:positionH>
          <wp:positionV relativeFrom="paragraph">
            <wp:posOffset>0</wp:posOffset>
          </wp:positionV>
          <wp:extent cx="7791450" cy="1200012"/>
          <wp:effectExtent b="0" l="0" r="0" t="0"/>
          <wp:wrapTopAndBottom distB="0" dist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" l="0" r="0" t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b w:val="1"/>
        <w:bCs w:val="1"/>
        <w:color w:val="3c1053"/>
        <w:sz w:val="30"/>
        <w:szCs w:val="30"/>
        <w:rtl w:val="0"/>
      </w:rPr>
      <w:t xml:space="preserve">Office of Teaching and Learning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4e4e5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color w:val="4e4e51"/>
        <w:sz w:val="22"/>
        <w:szCs w:val="22"/>
        <w:lang w:val="en"/>
      </w:rPr>
    </w:rPrDefault>
    <w:pPrDefault>
      <w:pPr>
        <w:spacing w:after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ind w:left="-20"/>
    </w:pPr>
    <w:rPr>
      <w:b w:val="1"/>
      <w:bCs w:val="1"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b w:val="1"/>
      <w:bCs w:val="1"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40" w:lineRule="auto"/>
    </w:pPr>
    <w:rPr>
      <w:b w:val="1"/>
      <w:bCs w:val="1"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</w:pPr>
    <w:rPr/>
  </w:style>
  <w:style w:type="paragraph" w:styleId="Heading6">
    <w:name w:val="heading 6"/>
    <w:basedOn w:val="Normal"/>
    <w:next w:val="Normal"/>
    <w:pPr>
      <w:keepNext w:val="1"/>
      <w:keepLines w:val="1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0" w:before="200" w:line="240" w:lineRule="auto"/>
    </w:pPr>
    <w:rPr>
      <w:b w:val="1"/>
      <w:bCs w:val="1"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ublic Sans Medium" w:cs="Public Sans Medium" w:eastAsia="Public Sans Medium" w:hAnsi="Public Sans Medium"/>
      <w:color w:val="3c1053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4.xml"/><Relationship Id="rId11" Type="http://schemas.openxmlformats.org/officeDocument/2006/relationships/hyperlink" Target="https://doe.louisiana.gov/docs/default-source/academic-curriculum/tech-readiness-seal-accessibility-supports-checklist.docx" TargetMode="External"/><Relationship Id="rId10" Type="http://schemas.openxmlformats.org/officeDocument/2006/relationships/hyperlink" Target="https://doe.louisiana.gov/docs/default-source/academic-curriculum/tech-readiness-seal-cyber-submission.pdf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3.org/WAI/test-evaluate/conformance/wcag-em/#:~:text=The%20WCAG%2DEM%20Report%20Tool:%20Website%20Accessibility%20Evaluation,report%20from%20the%20input%20that%20you%20provide.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19" Type="http://schemas.openxmlformats.org/officeDocument/2006/relationships/header" Target="header6.xml"/><Relationship Id="rId6" Type="http://schemas.openxmlformats.org/officeDocument/2006/relationships/customXml" Target="../customXML/item1.xml"/><Relationship Id="rId18" Type="http://schemas.openxmlformats.org/officeDocument/2006/relationships/header" Target="header5.xml"/><Relationship Id="rId7" Type="http://schemas.openxmlformats.org/officeDocument/2006/relationships/image" Target="media/image3.png"/><Relationship Id="rId8" Type="http://schemas.openxmlformats.org/officeDocument/2006/relationships/hyperlink" Target="https://doe.louisiana.gov/docs/default-source/academic-curriculum/tech-readiness-seal-cyber-submission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V1zYFN9XFnCXYCvAni6z04hnQ==">CgMxLjAyDmgud2RiNzd1dmp2MHYwMg1oLmhodHd5ZDl0ZGxlMg5oLjR4aXVrNGp1YTJxYTIOaC5weDAyYjU2ampzOGYyDmgucTNqc2g3ZHo0enhoMg5oLnA2bWM0ODJxZjl2NjIOaC55ZDd1bTVhbmt0ZGIyDmguczEyZzQwYWZuMTIxOAByITFmOV9BOWU1Rm1jM3NoeVZUTk9zV3o0X01hQ0tZa0RMVw==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