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  <Override ContentType="application/vnd.openxmlformats-officedocument.wordprocessingml.header+xml" PartName="/word/header4.xml"/>
  <Override ContentType="application/vnd.openxmlformats-officedocument.wordprocessingml.header+xml" PartName="/word/header6.xml"/>
  <Override ContentType="application/vnd.openxmlformats-officedocument.wordprocessingml.header+xml" PartName="/word/header5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Title"/>
        <w:rPr/>
      </w:pPr>
      <w:bookmarkStart w:colFirst="0" w:colLast="0" w:name="_heading=h.wdb77uvjv0v0" w:id="0"/>
      <w:bookmarkEnd w:id="0"/>
      <w:r w:rsidDel="00000000" w:rsidR="00000000" w:rsidRPr="00000000">
        <w:rPr>
          <w:rtl w:val="0"/>
        </w:rPr>
        <w:t xml:space="preserve">Tech Readiness Seal Application</w:t>
      </w:r>
    </w:p>
    <w:p w:rsidR="00000000" w:rsidDel="00000000" w:rsidP="00000000" w:rsidRDefault="00000000" w:rsidRPr="00000000" w14:paraId="00000002">
      <w:pPr>
        <w:pStyle w:val="Title"/>
        <w:spacing w:after="200" w:before="0" w:lineRule="auto"/>
        <w:rPr/>
      </w:pPr>
      <w:bookmarkStart w:colFirst="0" w:colLast="0" w:name="_heading=h.hhtwyd9tdle" w:id="1"/>
      <w:bookmarkEnd w:id="1"/>
      <w:r w:rsidDel="00000000" w:rsidR="00000000" w:rsidRPr="00000000">
        <w:rPr>
          <w:rFonts w:ascii="Public Sans Medium" w:cs="Public Sans Medium" w:eastAsia="Public Sans Medium" w:hAnsi="Public Sans Medium"/>
          <w:b w:val="0"/>
          <w:bCs w:val="0"/>
          <w:sz w:val="28"/>
          <w:szCs w:val="28"/>
          <w:rtl w:val="0"/>
        </w:rPr>
        <w:t xml:space="preserve">Instructional Materials Review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rPr>
          <w:color w:val="f47735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5086350</wp:posOffset>
            </wp:positionH>
            <wp:positionV relativeFrom="paragraph">
              <wp:posOffset>285750</wp:posOffset>
            </wp:positionV>
            <wp:extent cx="1766888" cy="1787674"/>
            <wp:effectExtent b="0" l="0" r="0" t="0"/>
            <wp:wrapSquare wrapText="bothSides" distB="114300" distT="114300" distL="114300" distR="114300"/>
            <wp:docPr descr="Icon of Tech Ready Seal" id="1" name="image3.png"/>
            <a:graphic>
              <a:graphicData uri="http://schemas.openxmlformats.org/drawingml/2006/picture">
                <pic:pic>
                  <pic:nvPicPr>
                    <pic:cNvPr descr="Icon of Tech Ready Seal"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66888" cy="178767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4">
      <w:pPr>
        <w:spacing w:line="240" w:lineRule="auto"/>
        <w:rPr/>
      </w:pPr>
      <w:r w:rsidDel="00000000" w:rsidR="00000000" w:rsidRPr="00000000">
        <w:rPr>
          <w:rtl w:val="0"/>
        </w:rPr>
        <w:t xml:space="preserve">The Tech Readiness Seal Application is optional and available only to materials that have received a Tier 1 rating through the Louisiana Department of Education’s (LDOE) Instructional Materials Review (IMR) process. Publishers can apply for a designation based on the platform’s technological capabilities. Information should be provided at the summary and capability level. </w:t>
      </w:r>
    </w:p>
    <w:p w:rsidR="00000000" w:rsidDel="00000000" w:rsidP="00000000" w:rsidRDefault="00000000" w:rsidRPr="00000000" w14:paraId="00000005">
      <w:pPr>
        <w:numPr>
          <w:ilvl w:val="0"/>
          <w:numId w:val="7"/>
        </w:numPr>
        <w:spacing w:after="0" w:line="24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Do not</w:t>
      </w:r>
      <w:r w:rsidDel="00000000" w:rsidR="00000000" w:rsidRPr="00000000">
        <w:rPr>
          <w:rtl w:val="0"/>
        </w:rPr>
        <w:t xml:space="preserve"> include IP addresses, internal network topology, security configurations, proprietary source code, or sensitive operational details. </w:t>
      </w:r>
    </w:p>
    <w:p w:rsidR="00000000" w:rsidDel="00000000" w:rsidP="00000000" w:rsidRDefault="00000000" w:rsidRPr="00000000" w14:paraId="00000006">
      <w:pPr>
        <w:numPr>
          <w:ilvl w:val="0"/>
          <w:numId w:val="7"/>
        </w:numPr>
        <w:spacing w:after="0" w:line="240" w:lineRule="auto"/>
        <w:ind w:left="720" w:hanging="360"/>
        <w:rPr/>
      </w:pPr>
      <w:r w:rsidDel="00000000" w:rsidR="00000000" w:rsidRPr="00000000">
        <w:rPr>
          <w:b w:val="1"/>
          <w:bCs w:val="1"/>
          <w:color w:val="444746"/>
          <w:rtl w:val="0"/>
        </w:rPr>
        <w:t xml:space="preserve">Do not </w:t>
      </w:r>
      <w:r w:rsidDel="00000000" w:rsidR="00000000" w:rsidRPr="00000000">
        <w:rPr>
          <w:color w:val="444746"/>
          <w:rtl w:val="0"/>
        </w:rPr>
        <w:t xml:space="preserve">disclose model architecture, system prompts, internal tuning processes, or trade-secret methodologies.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7"/>
        </w:numPr>
        <w:spacing w:line="240" w:lineRule="auto"/>
        <w:ind w:left="720" w:hanging="360"/>
        <w:rPr>
          <w:color w:val="444746"/>
        </w:rPr>
      </w:pPr>
      <w:r w:rsidDel="00000000" w:rsidR="00000000" w:rsidRPr="00000000">
        <w:rPr>
          <w:b w:val="1"/>
          <w:bCs w:val="1"/>
          <w:color w:val="444746"/>
          <w:rtl w:val="0"/>
        </w:rPr>
        <w:t xml:space="preserve">Do not </w:t>
      </w:r>
      <w:r w:rsidDel="00000000" w:rsidR="00000000" w:rsidRPr="00000000">
        <w:rPr>
          <w:color w:val="444746"/>
          <w:rtl w:val="0"/>
        </w:rPr>
        <w:t xml:space="preserve">disclose proprietary datasets, licensed content partners, data acquisition contracts, or internal corpus details.</w:t>
      </w:r>
    </w:p>
    <w:p w:rsidR="00000000" w:rsidDel="00000000" w:rsidP="00000000" w:rsidRDefault="00000000" w:rsidRPr="00000000" w14:paraId="00000008">
      <w:pPr>
        <w:spacing w:line="240" w:lineRule="auto"/>
        <w:rPr>
          <w:color w:val="444746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before="240"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To submit a Tech Readiness Seal Application, publishers must first include the following components:</w:t>
      </w:r>
    </w:p>
    <w:p w:rsidR="00000000" w:rsidDel="00000000" w:rsidP="00000000" w:rsidRDefault="00000000" w:rsidRPr="00000000" w14:paraId="0000000A">
      <w:pPr>
        <w:pStyle w:val="Heading2"/>
        <w:spacing w:line="240" w:lineRule="auto"/>
        <w:rPr/>
      </w:pPr>
      <w:bookmarkStart w:colFirst="0" w:colLast="0" w:name="_heading=h.4xiuk4jua2qa" w:id="2"/>
      <w:bookmarkEnd w:id="2"/>
      <w:r w:rsidDel="00000000" w:rsidR="00000000" w:rsidRPr="00000000">
        <w:rPr>
          <w:rtl w:val="0"/>
        </w:rPr>
        <w:t xml:space="preserve">Non-Negotiables: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after="0" w:line="240" w:lineRule="auto"/>
        <w:ind w:left="720" w:hanging="360"/>
        <w:rPr>
          <w:b w:val="1"/>
          <w:bCs w:val="1"/>
        </w:rPr>
      </w:pPr>
      <w:hyperlink r:id="rId8">
        <w:r w:rsidDel="00000000" w:rsidR="00000000" w:rsidRPr="00000000">
          <w:rPr>
            <w:b w:val="1"/>
            <w:bCs w:val="1"/>
            <w:color w:val="017f92"/>
            <w:u w:val="single"/>
            <w:rtl w:val="0"/>
          </w:rPr>
          <w:t xml:space="preserve">Security Certification</w:t>
        </w:r>
      </w:hyperlink>
      <w:r w:rsidDel="00000000" w:rsidR="00000000" w:rsidRPr="00000000">
        <w:rPr>
          <w:b w:val="1"/>
          <w:bCs w:val="1"/>
          <w:rtl w:val="0"/>
        </w:rPr>
        <w:t xml:space="preserve">: </w:t>
      </w:r>
      <w:r w:rsidDel="00000000" w:rsidR="00000000" w:rsidRPr="00000000">
        <w:rPr>
          <w:rtl w:val="0"/>
        </w:rPr>
        <w:t xml:space="preserve">Current System and Organization Controls </w:t>
      </w:r>
      <w:r w:rsidDel="00000000" w:rsidR="00000000" w:rsidRPr="00000000">
        <w:rPr>
          <w:b w:val="1"/>
          <w:bCs w:val="1"/>
          <w:rtl w:val="0"/>
        </w:rPr>
        <w:t xml:space="preserve">(SOC)2, Type II</w:t>
      </w:r>
      <w:r w:rsidDel="00000000" w:rsidR="00000000" w:rsidRPr="00000000">
        <w:rPr>
          <w:rtl w:val="0"/>
        </w:rPr>
        <w:t xml:space="preserve">, International Organization for Standardization </w:t>
      </w:r>
      <w:r w:rsidDel="00000000" w:rsidR="00000000" w:rsidRPr="00000000">
        <w:rPr>
          <w:b w:val="1"/>
          <w:bCs w:val="1"/>
          <w:rtl w:val="0"/>
        </w:rPr>
        <w:t xml:space="preserve">(ISO) 27001</w:t>
      </w:r>
      <w:r w:rsidDel="00000000" w:rsidR="00000000" w:rsidRPr="00000000">
        <w:rPr>
          <w:rtl w:val="0"/>
        </w:rPr>
        <w:t xml:space="preserve">, or </w:t>
      </w:r>
      <w:r w:rsidDel="00000000" w:rsidR="00000000" w:rsidRPr="00000000">
        <w:rPr>
          <w:b w:val="1"/>
          <w:bCs w:val="1"/>
          <w:rtl w:val="0"/>
        </w:rPr>
        <w:t xml:space="preserve">equivalent security audit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after="0" w:line="240" w:lineRule="auto"/>
        <w:ind w:left="720" w:hanging="360"/>
        <w:rPr>
          <w:b w:val="1"/>
          <w:bCs w:val="1"/>
        </w:rPr>
      </w:pPr>
      <w:hyperlink r:id="rId9">
        <w:r w:rsidDel="00000000" w:rsidR="00000000" w:rsidRPr="00000000">
          <w:rPr>
            <w:b w:val="1"/>
            <w:bCs w:val="1"/>
            <w:color w:val="017f92"/>
            <w:u w:val="single"/>
            <w:rtl w:val="0"/>
          </w:rPr>
          <w:t xml:space="preserve">Web Content Accessibility Guidelines (WCAG) 2.1 AA</w:t>
        </w:r>
      </w:hyperlink>
      <w:r w:rsidDel="00000000" w:rsidR="00000000" w:rsidRPr="00000000">
        <w:rPr>
          <w:b w:val="1"/>
          <w:bCs w:val="1"/>
          <w:color w:val="017f92"/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compliance:</w:t>
      </w:r>
      <w:r w:rsidDel="00000000" w:rsidR="00000000" w:rsidRPr="00000000">
        <w:rPr>
          <w:rtl w:val="0"/>
        </w:rPr>
        <w:t xml:space="preserve"> Voluntary Product Accessibility Template</w:t>
      </w:r>
      <w:r w:rsidDel="00000000" w:rsidR="00000000" w:rsidRPr="00000000">
        <w:rPr>
          <w:b w:val="1"/>
          <w:bCs w:val="1"/>
          <w:rtl w:val="0"/>
        </w:rPr>
        <w:t xml:space="preserve"> (VPAT) or independent audit. 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after="0" w:line="24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Data Privacy Agreement (DPA) and deletion process available.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after="0" w:line="24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Real-Time Grade Passback (or functional equivalent)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after="0" w:line="24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Artificial Intelligence (AI) Transparency (If the platform includes AI):</w:t>
      </w:r>
    </w:p>
    <w:p w:rsidR="00000000" w:rsidDel="00000000" w:rsidP="00000000" w:rsidRDefault="00000000" w:rsidRPr="00000000" w14:paraId="00000010">
      <w:pPr>
        <w:spacing w:after="0" w:line="240" w:lineRule="auto"/>
        <w:ind w:left="1080" w:firstLine="0"/>
        <w:rPr>
          <w:b w:val="1"/>
          <w:bCs w:val="1"/>
        </w:rPr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tl w:val="0"/>
        </w:rPr>
        <w:t xml:space="preserve">Human oversight documented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ind w:left="1080" w:firstLine="0"/>
        <w:rPr/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tl w:val="0"/>
        </w:rPr>
        <w:t xml:space="preserve"> Model training data sources and description disclosed 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160" w:hanging="360"/>
        <w:rPr/>
      </w:pPr>
      <w:r w:rsidDel="00000000" w:rsidR="00000000" w:rsidRPr="00000000">
        <w:rPr>
          <w:rtl w:val="0"/>
        </w:rPr>
        <w:t xml:space="preserve">Provide a general description of training data sources (e.g., publicly available data, licensed datasets, district-provided content).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="240" w:lineRule="auto"/>
        <w:ind w:left="2160" w:hanging="360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Important: Do not disclose proprietary datasets, licensed content partners, data acquisition contracts, or internal corpus details.</w:t>
      </w:r>
    </w:p>
    <w:p w:rsidR="00000000" w:rsidDel="00000000" w:rsidP="00000000" w:rsidRDefault="00000000" w:rsidRPr="00000000" w14:paraId="00000014">
      <w:pPr>
        <w:spacing w:after="240" w:before="240" w:line="240" w:lineRule="auto"/>
        <w:rPr>
          <w:i w:val="1"/>
          <w:iCs w:val="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40" w:before="240" w:line="240" w:lineRule="auto"/>
        <w:rPr/>
      </w:pPr>
      <w:r w:rsidDel="00000000" w:rsidR="00000000" w:rsidRPr="00000000">
        <w:rPr>
          <w:rtl w:val="0"/>
        </w:rPr>
        <w:t xml:space="preserve">To earn the Tech Readiness Seal, publishers must also demonstrate that their platform meets rigorous technical and operational standards. </w:t>
      </w:r>
    </w:p>
    <w:p w:rsidR="00000000" w:rsidDel="00000000" w:rsidP="00000000" w:rsidRDefault="00000000" w:rsidRPr="00000000" w14:paraId="00000016">
      <w:pPr>
        <w:pStyle w:val="Heading2"/>
        <w:spacing w:line="240" w:lineRule="auto"/>
        <w:rPr/>
      </w:pPr>
      <w:bookmarkStart w:colFirst="0" w:colLast="0" w:name="_heading=h.px02b56jjs8f" w:id="3"/>
      <w:bookmarkEnd w:id="3"/>
      <w:r w:rsidDel="00000000" w:rsidR="00000000" w:rsidRPr="00000000">
        <w:rPr>
          <w:rtl w:val="0"/>
        </w:rPr>
        <w:t xml:space="preserve">Scoring and Eligibility: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0" w:line="24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Approval Threshold: </w:t>
      </w:r>
      <w:r w:rsidDel="00000000" w:rsidR="00000000" w:rsidRPr="00000000">
        <w:rPr>
          <w:rtl w:val="0"/>
        </w:rPr>
        <w:t xml:space="preserve">Achieve a score of </w:t>
      </w:r>
      <w:r w:rsidDel="00000000" w:rsidR="00000000" w:rsidRPr="00000000">
        <w:rPr>
          <w:b w:val="1"/>
          <w:bCs w:val="1"/>
          <w:rtl w:val="0"/>
        </w:rPr>
        <w:t xml:space="preserve">80% or higher</w:t>
      </w:r>
      <w:r w:rsidDel="00000000" w:rsidR="00000000" w:rsidRPr="00000000">
        <w:rPr>
          <w:rtl w:val="0"/>
        </w:rPr>
        <w:t xml:space="preserve"> by providing at least 80% of the requested documentation and information listed in this application.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0" w:line="24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Completeness: </w:t>
      </w:r>
      <w:r w:rsidDel="00000000" w:rsidR="00000000" w:rsidRPr="00000000">
        <w:rPr>
          <w:rtl w:val="0"/>
        </w:rPr>
        <w:t xml:space="preserve">Application must include </w:t>
      </w:r>
      <w:r w:rsidDel="00000000" w:rsidR="00000000" w:rsidRPr="00000000">
        <w:rPr>
          <w:b w:val="1"/>
          <w:bCs w:val="1"/>
          <w:rtl w:val="0"/>
        </w:rPr>
        <w:t xml:space="preserve">all mandated non-negotiable</w:t>
      </w:r>
      <w:r w:rsidDel="00000000" w:rsidR="00000000" w:rsidRPr="00000000">
        <w:rPr>
          <w:rtl w:val="0"/>
        </w:rPr>
        <w:t xml:space="preserve"> components and sufficient supporting documentation to be considered satisfactory.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line="24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Prerequisite: </w:t>
      </w:r>
      <w:r w:rsidDel="00000000" w:rsidR="00000000" w:rsidRPr="00000000">
        <w:rPr>
          <w:rtl w:val="0"/>
        </w:rPr>
        <w:t xml:space="preserve">This application is strictly optional and only available for materials that have already secured a </w:t>
      </w:r>
      <w:r w:rsidDel="00000000" w:rsidR="00000000" w:rsidRPr="00000000">
        <w:rPr>
          <w:b w:val="1"/>
          <w:bCs w:val="1"/>
          <w:rtl w:val="0"/>
        </w:rPr>
        <w:t xml:space="preserve">Tier 1 rating </w:t>
      </w:r>
      <w:r w:rsidDel="00000000" w:rsidR="00000000" w:rsidRPr="00000000">
        <w:rPr>
          <w:rtl w:val="0"/>
        </w:rPr>
        <w:t xml:space="preserve">through the LDOE’s IMR process.</w:t>
      </w:r>
    </w:p>
    <w:p w:rsidR="00000000" w:rsidDel="00000000" w:rsidP="00000000" w:rsidRDefault="00000000" w:rsidRPr="00000000" w14:paraId="0000001A">
      <w:pPr>
        <w:pStyle w:val="Heading2"/>
        <w:spacing w:line="240" w:lineRule="auto"/>
        <w:rPr/>
      </w:pPr>
      <w:bookmarkStart w:colFirst="0" w:colLast="0" w:name="_heading=h.q3jsh7dz4zxh" w:id="4"/>
      <w:bookmarkEnd w:id="4"/>
      <w:r w:rsidDel="00000000" w:rsidR="00000000" w:rsidRPr="00000000">
        <w:rPr>
          <w:rtl w:val="0"/>
        </w:rPr>
        <w:t xml:space="preserve">Needed Submission Documentation and Information:</w:t>
      </w:r>
    </w:p>
    <w:p w:rsidR="00000000" w:rsidDel="00000000" w:rsidP="00000000" w:rsidRDefault="00000000" w:rsidRPr="00000000" w14:paraId="0000001B">
      <w:pPr>
        <w:numPr>
          <w:ilvl w:val="0"/>
          <w:numId w:val="8"/>
        </w:numPr>
        <w:spacing w:after="0" w:line="24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Security:</w:t>
      </w:r>
    </w:p>
    <w:p w:rsidR="00000000" w:rsidDel="00000000" w:rsidP="00000000" w:rsidRDefault="00000000" w:rsidRPr="00000000" w14:paraId="0000001C">
      <w:pPr>
        <w:spacing w:after="0" w:line="240" w:lineRule="auto"/>
        <w:ind w:left="720" w:firstLine="0"/>
        <w:rPr>
          <w:b w:val="1"/>
          <w:bCs w:val="1"/>
        </w:rPr>
      </w:pPr>
      <w:r w:rsidDel="00000000" w:rsidR="00000000" w:rsidRPr="00000000">
        <w:rPr>
          <w:i w:val="1"/>
          <w:iCs w:val="1"/>
          <w:rtl w:val="0"/>
        </w:rPr>
        <w:t xml:space="preserve">Important: Do not submit full SOC 2 reports, control matrices, or detailed audit documentation.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Only certification status and audit type/date are required. Do not submit the full audit report.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ind w:left="1080" w:firstLine="0"/>
        <w:rPr>
          <w:color w:val="017f92"/>
        </w:rPr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color w:val="017f92"/>
          <w:u w:val="single"/>
          <w:rtl w:val="0"/>
        </w:rPr>
        <w:t xml:space="preserve"> </w:t>
      </w:r>
      <w:hyperlink r:id="rId10">
        <w:r w:rsidDel="00000000" w:rsidR="00000000" w:rsidRPr="00000000">
          <w:rPr>
            <w:color w:val="017f92"/>
            <w:u w:val="single"/>
            <w:rtl w:val="0"/>
          </w:rPr>
          <w:t xml:space="preserve">Cybersecurity Requirements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ind w:left="1800" w:firstLine="0"/>
        <w:rPr/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tl w:val="0"/>
        </w:rPr>
        <w:t xml:space="preserve"> SOC 2 Type II certification</w:t>
      </w:r>
    </w:p>
    <w:p w:rsidR="00000000" w:rsidDel="00000000" w:rsidP="00000000" w:rsidRDefault="00000000" w:rsidRPr="00000000" w14:paraId="0000001F">
      <w:pPr>
        <w:spacing w:after="0" w:line="240" w:lineRule="auto"/>
        <w:ind w:left="1800" w:firstLine="0"/>
        <w:rPr/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tl w:val="0"/>
        </w:rPr>
        <w:t xml:space="preserve"> ISO 27001 certification</w:t>
      </w:r>
    </w:p>
    <w:p w:rsidR="00000000" w:rsidDel="00000000" w:rsidP="00000000" w:rsidRDefault="00000000" w:rsidRPr="00000000" w14:paraId="00000020">
      <w:pPr>
        <w:spacing w:after="0" w:line="240" w:lineRule="auto"/>
        <w:ind w:left="1800" w:firstLine="0"/>
        <w:rPr/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tl w:val="0"/>
        </w:rPr>
        <w:t xml:space="preserve"> Equivalent audit documentation</w:t>
      </w:r>
    </w:p>
    <w:p w:rsidR="00000000" w:rsidDel="00000000" w:rsidP="00000000" w:rsidRDefault="00000000" w:rsidRPr="00000000" w14:paraId="00000021">
      <w:pPr>
        <w:spacing w:after="0" w:line="240" w:lineRule="auto"/>
        <w:ind w:left="1800" w:firstLine="0"/>
        <w:rPr/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tl w:val="0"/>
        </w:rPr>
        <w:t xml:space="preserve"> Encryption in transit confirmed</w:t>
      </w:r>
    </w:p>
    <w:p w:rsidR="00000000" w:rsidDel="00000000" w:rsidP="00000000" w:rsidRDefault="00000000" w:rsidRPr="00000000" w14:paraId="00000022">
      <w:pPr>
        <w:spacing w:after="0" w:line="240" w:lineRule="auto"/>
        <w:ind w:left="1800" w:firstLine="0"/>
        <w:rPr/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tl w:val="0"/>
        </w:rPr>
        <w:t xml:space="preserve"> Encryption at rest confirmed</w:t>
      </w:r>
    </w:p>
    <w:p w:rsidR="00000000" w:rsidDel="00000000" w:rsidP="00000000" w:rsidRDefault="00000000" w:rsidRPr="00000000" w14:paraId="00000023">
      <w:pPr>
        <w:spacing w:after="0" w:line="240" w:lineRule="auto"/>
        <w:ind w:left="1080" w:firstLine="0"/>
        <w:rPr/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tl w:val="0"/>
        </w:rPr>
        <w:t xml:space="preserve"> Role-Based Access Controls (RBAC) description provided</w:t>
      </w:r>
    </w:p>
    <w:p w:rsidR="00000000" w:rsidDel="00000000" w:rsidP="00000000" w:rsidRDefault="00000000" w:rsidRPr="00000000" w14:paraId="00000024">
      <w:pPr>
        <w:spacing w:after="0" w:line="240" w:lineRule="auto"/>
        <w:ind w:left="1080" w:firstLine="0"/>
        <w:rPr/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tl w:val="0"/>
        </w:rPr>
        <w:t xml:space="preserve"> Documentation indicating Multi-factor Authentication (MFA) is supported for administrative (admin) accounts</w:t>
      </w:r>
    </w:p>
    <w:p w:rsidR="00000000" w:rsidDel="00000000" w:rsidP="00000000" w:rsidRDefault="00000000" w:rsidRPr="00000000" w14:paraId="00000025">
      <w:pPr>
        <w:numPr>
          <w:ilvl w:val="0"/>
          <w:numId w:val="10"/>
        </w:numPr>
        <w:spacing w:after="0" w:line="24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Accessibility: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ind w:left="1080" w:firstLine="0"/>
        <w:rPr/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tl w:val="0"/>
        </w:rPr>
        <w:t xml:space="preserve"> Completed </w:t>
      </w:r>
      <w:hyperlink r:id="rId11">
        <w:r w:rsidDel="00000000" w:rsidR="00000000" w:rsidRPr="00000000">
          <w:rPr>
            <w:color w:val="017f92"/>
            <w:u w:val="single"/>
            <w:rtl w:val="0"/>
          </w:rPr>
          <w:t xml:space="preserve">Accessibility supports checklist</w:t>
        </w:r>
      </w:hyperlink>
      <w:r w:rsidDel="00000000" w:rsidR="00000000" w:rsidRPr="00000000">
        <w:rPr>
          <w:color w:val="017f92"/>
          <w:rtl w:val="0"/>
        </w:rPr>
        <w:t xml:space="preserve"> </w:t>
      </w:r>
      <w:r w:rsidDel="00000000" w:rsidR="00000000" w:rsidRPr="00000000">
        <w:rPr>
          <w:rtl w:val="0"/>
        </w:rPr>
        <w:t xml:space="preserve">attached</w:t>
      </w:r>
    </w:p>
    <w:p w:rsidR="00000000" w:rsidDel="00000000" w:rsidP="00000000" w:rsidRDefault="00000000" w:rsidRPr="00000000" w14:paraId="00000027">
      <w:pPr>
        <w:numPr>
          <w:ilvl w:val="0"/>
          <w:numId w:val="10"/>
        </w:numPr>
        <w:spacing w:after="0" w:line="24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Data Privacy: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40" w:lineRule="auto"/>
        <w:ind w:left="1080" w:firstLine="0"/>
        <w:rPr/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tl w:val="0"/>
        </w:rPr>
        <w:t xml:space="preserve"> DPA template attached</w:t>
      </w:r>
    </w:p>
    <w:p w:rsidR="00000000" w:rsidDel="00000000" w:rsidP="00000000" w:rsidRDefault="00000000" w:rsidRPr="00000000" w14:paraId="00000029">
      <w:pPr>
        <w:spacing w:after="0" w:line="240" w:lineRule="auto"/>
        <w:ind w:left="1080" w:firstLine="0"/>
        <w:rPr/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tl w:val="0"/>
        </w:rPr>
        <w:t xml:space="preserve"> Data deletion procedures explanation</w:t>
      </w:r>
    </w:p>
    <w:p w:rsidR="00000000" w:rsidDel="00000000" w:rsidP="00000000" w:rsidRDefault="00000000" w:rsidRPr="00000000" w14:paraId="0000002A">
      <w:pPr>
        <w:numPr>
          <w:ilvl w:val="2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160" w:hanging="360"/>
        <w:rPr/>
      </w:pPr>
      <w:r w:rsidDel="00000000" w:rsidR="00000000" w:rsidRPr="00000000">
        <w:rPr>
          <w:rtl w:val="0"/>
        </w:rPr>
        <w:t xml:space="preserve">Provide a high-level summary of data deletion procedures, including:</w:t>
      </w:r>
    </w:p>
    <w:p w:rsidR="00000000" w:rsidDel="00000000" w:rsidP="00000000" w:rsidRDefault="00000000" w:rsidRPr="00000000" w14:paraId="0000002B">
      <w:pPr>
        <w:numPr>
          <w:ilvl w:val="3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880" w:hanging="360"/>
        <w:rPr/>
      </w:pPr>
      <w:r w:rsidDel="00000000" w:rsidR="00000000" w:rsidRPr="00000000">
        <w:rPr>
          <w:rtl w:val="0"/>
        </w:rPr>
        <w:t xml:space="preserve">Method for requesting deletion</w:t>
      </w:r>
    </w:p>
    <w:p w:rsidR="00000000" w:rsidDel="00000000" w:rsidP="00000000" w:rsidRDefault="00000000" w:rsidRPr="00000000" w14:paraId="0000002C">
      <w:pPr>
        <w:numPr>
          <w:ilvl w:val="3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880" w:hanging="360"/>
        <w:rPr/>
      </w:pPr>
      <w:r w:rsidDel="00000000" w:rsidR="00000000" w:rsidRPr="00000000">
        <w:rPr>
          <w:rtl w:val="0"/>
        </w:rPr>
        <w:t xml:space="preserve">Timeline for deletion</w:t>
      </w:r>
    </w:p>
    <w:p w:rsidR="00000000" w:rsidDel="00000000" w:rsidP="00000000" w:rsidRDefault="00000000" w:rsidRPr="00000000" w14:paraId="0000002D">
      <w:pPr>
        <w:numPr>
          <w:ilvl w:val="3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880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Scope of deletion (e.g., user-level, district-level, contract termination)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2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160" w:hanging="360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Important: Do not include technical infrastructure details, storage architecture, or internal operational procedures.</w:t>
      </w:r>
    </w:p>
    <w:p w:rsidR="00000000" w:rsidDel="00000000" w:rsidP="00000000" w:rsidRDefault="00000000" w:rsidRPr="00000000" w14:paraId="0000002F">
      <w:pPr>
        <w:numPr>
          <w:ilvl w:val="0"/>
          <w:numId w:val="10"/>
        </w:numPr>
        <w:spacing w:after="0" w:line="24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Infrastructure: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ind w:left="1080" w:firstLine="0"/>
        <w:rPr/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tl w:val="0"/>
        </w:rPr>
        <w:t xml:space="preserve"> Uptime Service-Level Agreement (SLA) documented</w:t>
      </w:r>
    </w:p>
    <w:p w:rsidR="00000000" w:rsidDel="00000000" w:rsidP="00000000" w:rsidRDefault="00000000" w:rsidRPr="00000000" w14:paraId="00000031">
      <w:pPr>
        <w:numPr>
          <w:ilvl w:val="0"/>
          <w:numId w:val="10"/>
        </w:numPr>
        <w:spacing w:after="0" w:line="24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Deployment: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ind w:left="1080" w:firstLine="0"/>
        <w:rPr/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tl w:val="0"/>
        </w:rPr>
        <w:t xml:space="preserve"> Deployment model described</w:t>
      </w:r>
    </w:p>
    <w:p w:rsidR="00000000" w:rsidDel="00000000" w:rsidP="00000000" w:rsidRDefault="00000000" w:rsidRPr="00000000" w14:paraId="00000033">
      <w:pPr>
        <w:spacing w:after="0" w:line="240" w:lineRule="auto"/>
        <w:ind w:left="1080" w:firstLine="0"/>
        <w:rPr/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tl w:val="0"/>
        </w:rPr>
        <w:t xml:space="preserve"> Estimated setup time documented</w:t>
      </w:r>
    </w:p>
    <w:p w:rsidR="00000000" w:rsidDel="00000000" w:rsidP="00000000" w:rsidRDefault="00000000" w:rsidRPr="00000000" w14:paraId="00000034">
      <w:pPr>
        <w:numPr>
          <w:ilvl w:val="0"/>
          <w:numId w:val="10"/>
        </w:numPr>
        <w:spacing w:after="0" w:line="24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AI (if applicable):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line="240" w:lineRule="auto"/>
        <w:ind w:left="1080" w:firstLine="0"/>
        <w:rPr/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tl w:val="0"/>
        </w:rPr>
        <w:t xml:space="preserve"> Closed System / </w:t>
      </w: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tl w:val="0"/>
        </w:rPr>
        <w:t xml:space="preserve"> Open system</w:t>
      </w:r>
    </w:p>
    <w:p w:rsidR="00000000" w:rsidDel="00000000" w:rsidP="00000000" w:rsidRDefault="00000000" w:rsidRPr="00000000" w14:paraId="00000036">
      <w:pPr>
        <w:spacing w:after="0" w:line="240" w:lineRule="auto"/>
        <w:ind w:left="1080" w:firstLine="0"/>
        <w:rPr/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tl w:val="0"/>
        </w:rPr>
        <w:t xml:space="preserve"> AI functionality described</w:t>
      </w:r>
    </w:p>
    <w:p w:rsidR="00000000" w:rsidDel="00000000" w:rsidP="00000000" w:rsidRDefault="00000000" w:rsidRPr="00000000" w14:paraId="00000037">
      <w:pPr>
        <w:spacing w:after="0" w:line="240" w:lineRule="auto"/>
        <w:ind w:left="1080" w:firstLine="0"/>
        <w:rPr/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tl w:val="0"/>
        </w:rPr>
        <w:t xml:space="preserve"> Bias mitigation strategy attached</w:t>
      </w:r>
    </w:p>
    <w:p w:rsidR="00000000" w:rsidDel="00000000" w:rsidP="00000000" w:rsidRDefault="00000000" w:rsidRPr="00000000" w14:paraId="00000038">
      <w:pPr>
        <w:numPr>
          <w:ilvl w:val="2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160" w:hanging="360"/>
        <w:rPr/>
      </w:pPr>
      <w:r w:rsidDel="00000000" w:rsidR="00000000" w:rsidRPr="00000000">
        <w:rPr>
          <w:rtl w:val="0"/>
        </w:rPr>
        <w:t xml:space="preserve">Provide a high-level summary of bias mitigation practices (e.g., human review, testing protocols, content moderation safeguards).</w:t>
      </w:r>
    </w:p>
    <w:p w:rsidR="00000000" w:rsidDel="00000000" w:rsidP="00000000" w:rsidRDefault="00000000" w:rsidRPr="00000000" w14:paraId="00000039">
      <w:pPr>
        <w:numPr>
          <w:ilvl w:val="2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160" w:hanging="360"/>
        <w:rPr/>
      </w:pPr>
      <w:r w:rsidDel="00000000" w:rsidR="00000000" w:rsidRPr="00000000">
        <w:rPr>
          <w:rtl w:val="0"/>
        </w:rPr>
        <w:t xml:space="preserve">Do not include internal evaluation tools, scoring models, or testing methodologies.</w:t>
      </w:r>
    </w:p>
    <w:p w:rsidR="00000000" w:rsidDel="00000000" w:rsidP="00000000" w:rsidRDefault="00000000" w:rsidRPr="00000000" w14:paraId="0000003A">
      <w:pPr>
        <w:spacing w:after="0" w:line="240" w:lineRule="auto"/>
        <w:ind w:left="1080" w:firstLine="0"/>
        <w:rPr/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tl w:val="0"/>
        </w:rPr>
        <w:t xml:space="preserve"> Guardrails documented</w:t>
      </w:r>
    </w:p>
    <w:p w:rsidR="00000000" w:rsidDel="00000000" w:rsidP="00000000" w:rsidRDefault="00000000" w:rsidRPr="00000000" w14:paraId="0000003B">
      <w:pPr>
        <w:numPr>
          <w:ilvl w:val="2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160" w:hanging="360"/>
        <w:rPr/>
      </w:pPr>
      <w:r w:rsidDel="00000000" w:rsidR="00000000" w:rsidRPr="00000000">
        <w:rPr>
          <w:rtl w:val="0"/>
        </w:rPr>
        <w:t xml:space="preserve">Provide a high-level summary of bias mitigation practices (e.g., human review, testing protocols, content moderation safeguards).</w:t>
      </w:r>
    </w:p>
    <w:p w:rsidR="00000000" w:rsidDel="00000000" w:rsidP="00000000" w:rsidRDefault="00000000" w:rsidRPr="00000000" w14:paraId="0000003C">
      <w:pPr>
        <w:numPr>
          <w:ilvl w:val="2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160" w:hanging="360"/>
        <w:rPr/>
      </w:pPr>
      <w:r w:rsidDel="00000000" w:rsidR="00000000" w:rsidRPr="00000000">
        <w:rPr>
          <w:rtl w:val="0"/>
        </w:rPr>
        <w:t xml:space="preserve">Do not include internal evaluation tools, scoring models, or testing methodologies.</w:t>
      </w:r>
    </w:p>
    <w:p w:rsidR="00000000" w:rsidDel="00000000" w:rsidP="00000000" w:rsidRDefault="00000000" w:rsidRPr="00000000" w14:paraId="0000003D">
      <w:pPr>
        <w:spacing w:after="0" w:line="240" w:lineRule="auto"/>
        <w:ind w:left="1080" w:firstLine="0"/>
        <w:rPr/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tl w:val="0"/>
        </w:rPr>
        <w:t xml:space="preserve"> Explainability statement included</w:t>
      </w:r>
    </w:p>
    <w:p w:rsidR="00000000" w:rsidDel="00000000" w:rsidP="00000000" w:rsidRDefault="00000000" w:rsidRPr="00000000" w14:paraId="0000003E">
      <w:pPr>
        <w:numPr>
          <w:ilvl w:val="2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160" w:hanging="360"/>
        <w:rPr/>
      </w:pPr>
      <w:r w:rsidDel="00000000" w:rsidR="00000000" w:rsidRPr="00000000">
        <w:rPr>
          <w:rtl w:val="0"/>
        </w:rPr>
        <w:t xml:space="preserve">Provide a brief description of how AI outputs can be interpreted or reviewed by educators or administrators.</w:t>
      </w:r>
    </w:p>
    <w:p w:rsidR="00000000" w:rsidDel="00000000" w:rsidP="00000000" w:rsidRDefault="00000000" w:rsidRPr="00000000" w14:paraId="0000003F">
      <w:pPr>
        <w:numPr>
          <w:ilvl w:val="2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160" w:hanging="360"/>
        <w:rPr/>
      </w:pPr>
      <w:r w:rsidDel="00000000" w:rsidR="00000000" w:rsidRPr="00000000">
        <w:rPr>
          <w:rtl w:val="0"/>
        </w:rPr>
        <w:t xml:space="preserve">No proprietary system design details are required.</w:t>
      </w:r>
    </w:p>
    <w:p w:rsidR="00000000" w:rsidDel="00000000" w:rsidP="00000000" w:rsidRDefault="00000000" w:rsidRPr="00000000" w14:paraId="00000040">
      <w:pPr>
        <w:numPr>
          <w:ilvl w:val="0"/>
          <w:numId w:val="9"/>
        </w:numPr>
        <w:spacing w:after="0" w:line="24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Interoperability: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240" w:lineRule="auto"/>
        <w:ind w:left="1080" w:firstLine="0"/>
        <w:rPr/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tl w:val="0"/>
        </w:rPr>
        <w:t xml:space="preserve"> Connects directly with Learning Management System (LMS) providers</w:t>
      </w:r>
    </w:p>
    <w:p w:rsidR="00000000" w:rsidDel="00000000" w:rsidP="00000000" w:rsidRDefault="00000000" w:rsidRPr="00000000" w14:paraId="00000042">
      <w:pPr>
        <w:numPr>
          <w:ilvl w:val="2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160" w:hanging="360"/>
        <w:rPr/>
      </w:pPr>
      <w:r w:rsidDel="00000000" w:rsidR="00000000" w:rsidRPr="00000000">
        <w:rPr>
          <w:rtl w:val="0"/>
        </w:rPr>
        <w:t xml:space="preserve">List compatible LMSs: </w:t>
      </w:r>
      <w:r w:rsidDel="00000000" w:rsidR="00000000" w:rsidRPr="00000000">
        <w:rPr>
          <w:u w:val="single"/>
          <w:rtl w:val="0"/>
        </w:rPr>
        <w:t xml:space="preserve">Click or tap here to enter text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0" w:line="240" w:lineRule="auto"/>
        <w:ind w:left="1080" w:firstLine="0"/>
        <w:rPr/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tl w:val="0"/>
        </w:rPr>
        <w:t xml:space="preserve"> Learning Tools Interoperability (LTI) 1.3 Advantage certified (verification link)</w:t>
      </w:r>
    </w:p>
    <w:p w:rsidR="00000000" w:rsidDel="00000000" w:rsidP="00000000" w:rsidRDefault="00000000" w:rsidRPr="00000000" w14:paraId="00000044">
      <w:pPr>
        <w:spacing w:after="0" w:line="240" w:lineRule="auto"/>
        <w:ind w:left="1080" w:firstLine="0"/>
        <w:rPr/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tl w:val="0"/>
        </w:rPr>
        <w:t xml:space="preserve"> OneRoster 1.2 certified (verification link)</w:t>
      </w:r>
    </w:p>
    <w:p w:rsidR="00000000" w:rsidDel="00000000" w:rsidP="00000000" w:rsidRDefault="00000000" w:rsidRPr="00000000" w14:paraId="00000045">
      <w:pPr>
        <w:spacing w:after="0" w:line="240" w:lineRule="auto"/>
        <w:ind w:left="1080" w:firstLine="0"/>
        <w:rPr/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tl w:val="0"/>
        </w:rPr>
        <w:t xml:space="preserve"> Real-time grade passback verified</w:t>
      </w:r>
    </w:p>
    <w:p w:rsidR="00000000" w:rsidDel="00000000" w:rsidP="00000000" w:rsidRDefault="00000000" w:rsidRPr="00000000" w14:paraId="00000046">
      <w:pPr>
        <w:numPr>
          <w:ilvl w:val="0"/>
          <w:numId w:val="9"/>
        </w:numPr>
        <w:spacing w:after="0" w:line="24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Operational Readiness: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="240" w:lineRule="auto"/>
        <w:ind w:left="1080" w:firstLine="0"/>
        <w:rPr/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tl w:val="0"/>
        </w:rPr>
        <w:t xml:space="preserve"> Implementation documentation</w:t>
      </w:r>
    </w:p>
    <w:p w:rsidR="00000000" w:rsidDel="00000000" w:rsidP="00000000" w:rsidRDefault="00000000" w:rsidRPr="00000000" w14:paraId="00000048">
      <w:pPr>
        <w:numPr>
          <w:ilvl w:val="2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160" w:hanging="360"/>
        <w:rPr/>
      </w:pPr>
      <w:r w:rsidDel="00000000" w:rsidR="00000000" w:rsidRPr="00000000">
        <w:rPr>
          <w:rtl w:val="0"/>
        </w:rPr>
        <w:t xml:space="preserve">Provide a summary overview of implementation phases (e.g., kickoff, rostering, training, launch).</w:t>
      </w:r>
    </w:p>
    <w:p w:rsidR="00000000" w:rsidDel="00000000" w:rsidP="00000000" w:rsidRDefault="00000000" w:rsidRPr="00000000" w14:paraId="00000049">
      <w:pPr>
        <w:numPr>
          <w:ilvl w:val="2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160" w:hanging="360"/>
        <w:rPr/>
      </w:pPr>
      <w:r w:rsidDel="00000000" w:rsidR="00000000" w:rsidRPr="00000000">
        <w:rPr>
          <w:rtl w:val="0"/>
        </w:rPr>
        <w:t xml:space="preserve">Do not submit internal operational manuals or security-sensitive deployment documentation.</w:t>
      </w:r>
    </w:p>
    <w:p w:rsidR="00000000" w:rsidDel="00000000" w:rsidP="00000000" w:rsidRDefault="00000000" w:rsidRPr="00000000" w14:paraId="0000004A">
      <w:pPr>
        <w:spacing w:after="0" w:line="240" w:lineRule="auto"/>
        <w:ind w:left="1080" w:firstLine="0"/>
        <w:rPr/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tl w:val="0"/>
        </w:rPr>
        <w:t xml:space="preserve"> Onboarding timeline documented</w:t>
      </w:r>
    </w:p>
    <w:p w:rsidR="00000000" w:rsidDel="00000000" w:rsidP="00000000" w:rsidRDefault="00000000" w:rsidRPr="00000000" w14:paraId="0000004B">
      <w:pPr>
        <w:spacing w:after="0" w:line="240" w:lineRule="auto"/>
        <w:ind w:left="1080" w:firstLine="0"/>
        <w:rPr/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tl w:val="0"/>
        </w:rPr>
        <w:t xml:space="preserve"> Ongoing support availability plan provided</w:t>
      </w:r>
    </w:p>
    <w:p w:rsidR="00000000" w:rsidDel="00000000" w:rsidP="00000000" w:rsidRDefault="00000000" w:rsidRPr="00000000" w14:paraId="0000004C">
      <w:pPr>
        <w:spacing w:after="0" w:line="240" w:lineRule="auto"/>
        <w:ind w:left="1080" w:firstLine="0"/>
        <w:rPr/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tl w:val="0"/>
        </w:rPr>
        <w:t xml:space="preserve"> Configuration requirements listed</w:t>
      </w:r>
    </w:p>
    <w:p w:rsidR="00000000" w:rsidDel="00000000" w:rsidP="00000000" w:rsidRDefault="00000000" w:rsidRPr="00000000" w14:paraId="0000004D">
      <w:pPr>
        <w:spacing w:after="240" w:line="240" w:lineRule="auto"/>
        <w:ind w:left="1080" w:firstLine="0"/>
        <w:rPr/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tl w:val="0"/>
        </w:rPr>
        <w:t xml:space="preserve"> Total cost transparency provided</w:t>
      </w:r>
    </w:p>
    <w:p w:rsidR="00000000" w:rsidDel="00000000" w:rsidP="00000000" w:rsidRDefault="00000000" w:rsidRPr="00000000" w14:paraId="0000004E">
      <w:pPr>
        <w:rPr/>
        <w:sectPr>
          <w:headerReference r:id="rId12" w:type="default"/>
          <w:headerReference r:id="rId13" w:type="first"/>
          <w:headerReference r:id="rId14" w:type="even"/>
          <w:footerReference r:id="rId15" w:type="default"/>
          <w:footerReference r:id="rId16" w:type="first"/>
          <w:footerReference r:id="rId17" w:type="even"/>
          <w:pgSz w:h="15840" w:w="12240" w:orient="portrait"/>
          <w:pgMar w:bottom="1080" w:top="1080" w:left="720" w:right="720" w:header="1080" w:footer="360"/>
          <w:pgNumType w:start="1"/>
          <w:titlePg w:val="1"/>
        </w:sect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Style w:val="Heading1"/>
        <w:spacing w:line="240" w:lineRule="auto"/>
        <w:ind w:hanging="20"/>
        <w:rPr/>
      </w:pPr>
      <w:bookmarkStart w:colFirst="0" w:colLast="0" w:name="_heading=h.p6mc482qf9v6" w:id="5"/>
      <w:bookmarkEnd w:id="5"/>
      <w:r w:rsidDel="00000000" w:rsidR="00000000" w:rsidRPr="00000000">
        <w:rPr>
          <w:rtl w:val="0"/>
        </w:rPr>
        <w:t xml:space="preserve">Publisher Attestation</w:t>
      </w:r>
    </w:p>
    <w:p w:rsidR="00000000" w:rsidDel="00000000" w:rsidP="00000000" w:rsidRDefault="00000000" w:rsidRPr="00000000" w14:paraId="00000050">
      <w:pPr>
        <w:pStyle w:val="Subtitle"/>
        <w:rPr/>
      </w:pPr>
      <w:bookmarkStart w:colFirst="0" w:colLast="0" w:name="_heading=h.yd7um5anktdb" w:id="6"/>
      <w:bookmarkEnd w:id="6"/>
      <w:r w:rsidDel="00000000" w:rsidR="00000000" w:rsidRPr="00000000">
        <w:rPr>
          <w:rtl w:val="0"/>
        </w:rPr>
        <w:t xml:space="preserve">IMR Tech Readiness Seal Application</w:t>
      </w:r>
    </w:p>
    <w:p w:rsidR="00000000" w:rsidDel="00000000" w:rsidP="00000000" w:rsidRDefault="00000000" w:rsidRPr="00000000" w14:paraId="00000051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I certify that the information provided is accurate to the best of my knowledge.</w:t>
      </w:r>
    </w:p>
    <w:p w:rsidR="00000000" w:rsidDel="00000000" w:rsidP="00000000" w:rsidRDefault="00000000" w:rsidRPr="00000000" w14:paraId="00000052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line="240" w:lineRule="auto"/>
        <w:rPr>
          <w:u w:val="single"/>
        </w:rPr>
      </w:pPr>
      <w:r w:rsidDel="00000000" w:rsidR="00000000" w:rsidRPr="00000000">
        <w:rPr>
          <w:b w:val="1"/>
          <w:bCs w:val="1"/>
          <w:rtl w:val="0"/>
        </w:rPr>
        <w:t xml:space="preserve">Publisher Name: </w:t>
      </w:r>
      <w:r w:rsidDel="00000000" w:rsidR="00000000" w:rsidRPr="00000000">
        <w:rPr>
          <w:u w:val="single"/>
          <w:rtl w:val="0"/>
        </w:rPr>
        <w:t xml:space="preserve">Click or tap here to enter text</w:t>
      </w:r>
    </w:p>
    <w:p w:rsidR="00000000" w:rsidDel="00000000" w:rsidP="00000000" w:rsidRDefault="00000000" w:rsidRPr="00000000" w14:paraId="00000054">
      <w:pPr>
        <w:spacing w:line="240" w:lineRule="auto"/>
        <w:rPr>
          <w:u w:val="single"/>
        </w:rPr>
      </w:pPr>
      <w:r w:rsidDel="00000000" w:rsidR="00000000" w:rsidRPr="00000000">
        <w:rPr>
          <w:b w:val="1"/>
          <w:bCs w:val="1"/>
          <w:rtl w:val="0"/>
        </w:rPr>
        <w:t xml:space="preserve">Product Name &amp; Version: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u w:val="single"/>
          <w:rtl w:val="0"/>
        </w:rPr>
        <w:t xml:space="preserve">Click or tap here to enter text</w:t>
      </w:r>
    </w:p>
    <w:p w:rsidR="00000000" w:rsidDel="00000000" w:rsidP="00000000" w:rsidRDefault="00000000" w:rsidRPr="00000000" w14:paraId="00000055">
      <w:pPr>
        <w:spacing w:line="240" w:lineRule="auto"/>
        <w:rPr>
          <w:u w:val="single"/>
        </w:rPr>
      </w:pPr>
      <w:r w:rsidDel="00000000" w:rsidR="00000000" w:rsidRPr="00000000">
        <w:rPr>
          <w:b w:val="1"/>
          <w:bCs w:val="1"/>
          <w:rtl w:val="0"/>
        </w:rPr>
        <w:t xml:space="preserve">Authorized Representative: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u w:val="single"/>
          <w:rtl w:val="0"/>
        </w:rPr>
        <w:t xml:space="preserve">Click or tap here to enter text</w:t>
      </w:r>
    </w:p>
    <w:p w:rsidR="00000000" w:rsidDel="00000000" w:rsidP="00000000" w:rsidRDefault="00000000" w:rsidRPr="00000000" w14:paraId="00000056">
      <w:pPr>
        <w:spacing w:line="240" w:lineRule="auto"/>
        <w:rPr>
          <w:u w:val="single"/>
        </w:rPr>
      </w:pPr>
      <w:r w:rsidDel="00000000" w:rsidR="00000000" w:rsidRPr="00000000">
        <w:rPr>
          <w:b w:val="1"/>
          <w:bCs w:val="1"/>
          <w:rtl w:val="0"/>
        </w:rPr>
        <w:t xml:space="preserve">Title: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u w:val="single"/>
          <w:rtl w:val="0"/>
        </w:rPr>
        <w:t xml:space="preserve">Click or tap here to enter text</w:t>
      </w:r>
    </w:p>
    <w:p w:rsidR="00000000" w:rsidDel="00000000" w:rsidP="00000000" w:rsidRDefault="00000000" w:rsidRPr="00000000" w14:paraId="00000057">
      <w:pPr>
        <w:spacing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Signature:</w:t>
      </w:r>
      <w:r w:rsidDel="00000000" w:rsidR="00000000" w:rsidRPr="00000000">
        <w:rPr>
          <w:rtl w:val="0"/>
        </w:rPr>
        <w:t xml:space="preserve"> ______________________________________________________________</w:t>
      </w:r>
    </w:p>
    <w:p w:rsidR="00000000" w:rsidDel="00000000" w:rsidP="00000000" w:rsidRDefault="00000000" w:rsidRPr="00000000" w14:paraId="00000058">
      <w:pPr>
        <w:spacing w:line="240" w:lineRule="auto"/>
        <w:rPr/>
      </w:pPr>
      <w:bookmarkStart w:colFirst="0" w:colLast="0" w:name="_heading=h.s12g40afn121" w:id="7"/>
      <w:bookmarkEnd w:id="7"/>
      <w:r w:rsidDel="00000000" w:rsidR="00000000" w:rsidRPr="00000000">
        <w:rPr>
          <w:b w:val="1"/>
          <w:bCs w:val="1"/>
          <w:rtl w:val="0"/>
        </w:rPr>
        <w:t xml:space="preserve">Date: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u w:val="single"/>
          <w:rtl w:val="0"/>
        </w:rPr>
        <w:t xml:space="preserve">Click or tap here to enter text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line="240" w:lineRule="auto"/>
        <w:rPr/>
      </w:pPr>
      <w:r w:rsidDel="00000000" w:rsidR="00000000" w:rsidRPr="00000000">
        <w:rPr>
          <w:rtl w:val="0"/>
        </w:rPr>
      </w:r>
    </w:p>
    <w:sectPr>
      <w:headerReference r:id="rId18" w:type="default"/>
      <w:headerReference r:id="rId19" w:type="first"/>
      <w:headerReference r:id="rId20" w:type="even"/>
      <w:type w:val="nextPage"/>
      <w:pgSz w:h="15840" w:w="12240" w:orient="portrait"/>
      <w:pgMar w:bottom="1080" w:top="1080" w:left="720" w:right="720" w:header="0" w:footer="36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MS Gothic"/>
  <w:font w:name="Courier New"/>
  <w:font w:name="Public Sans Medium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ublic Sa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Noto Sans Symbols">
    <w:embedRegular w:fontKey="{00000000-0000-0000-0000-000000000000}" r:id="rId9" w:subsetted="0"/>
    <w:embedBold w:fontKey="{00000000-0000-0000-0000-000000000000}" r:id="rId10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line="240" w:lineRule="auto"/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3">
    <w:pPr>
      <w:spacing w:after="0" w:lineRule="auto"/>
      <w:rPr>
        <w:b w:val="1"/>
        <w:bCs w:val="1"/>
        <w:sz w:val="16"/>
        <w:szCs w:val="16"/>
      </w:rPr>
    </w:pPr>
    <w:r w:rsidDel="00000000" w:rsidR="00000000" w:rsidRPr="00000000">
      <w:rPr>
        <w:b w:val="1"/>
        <w:bCs w:val="1"/>
        <w:sz w:val="16"/>
        <w:szCs w:val="16"/>
        <w:rtl w:val="0"/>
      </w:rPr>
      <w:t xml:space="preserve">Louisiana Department of Education</w:t>
    </w:r>
  </w:p>
  <w:p w:rsidR="00000000" w:rsidDel="00000000" w:rsidP="00000000" w:rsidRDefault="00000000" w:rsidRPr="00000000" w14:paraId="00000064">
    <w:pPr>
      <w:tabs>
        <w:tab w:val="right" w:leader="none" w:pos="10800"/>
      </w:tabs>
      <w:spacing w:after="0" w:lineRule="auto"/>
      <w:rPr/>
    </w:pPr>
    <w:hyperlink r:id="rId1">
      <w:r w:rsidDel="00000000" w:rsidR="00000000" w:rsidRPr="00000000">
        <w:rPr>
          <w:color w:val="017f92"/>
          <w:sz w:val="16"/>
          <w:szCs w:val="16"/>
          <w:u w:val="single"/>
          <w:rtl w:val="0"/>
        </w:rPr>
        <w:t xml:space="preserve">doe.louisiana.gov</w:t>
      </w:r>
    </w:hyperlink>
    <w:r w:rsidDel="00000000" w:rsidR="00000000" w:rsidRPr="00000000">
      <w:rPr>
        <w:sz w:val="16"/>
        <w:szCs w:val="16"/>
        <w:rtl w:val="0"/>
      </w:rPr>
      <w:t xml:space="preserve">  |  P.O. Box 94064 •  Baton Rouge, LA •  70804-9064</w:t>
      <w:tab/>
      <w:t xml:space="preserve">Page </w:t>
    </w:r>
    <w:r w:rsidDel="00000000" w:rsidR="00000000" w:rsidRPr="00000000">
      <w:rPr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5">
    <w:pPr>
      <w:spacing w:after="0" w:lineRule="auto"/>
      <w:rPr>
        <w:b w:val="1"/>
        <w:bCs w:val="1"/>
        <w:sz w:val="16"/>
        <w:szCs w:val="16"/>
      </w:rPr>
    </w:pPr>
    <w:r w:rsidDel="00000000" w:rsidR="00000000" w:rsidRPr="00000000">
      <w:rPr>
        <w:b w:val="1"/>
        <w:bCs w:val="1"/>
        <w:sz w:val="16"/>
        <w:szCs w:val="16"/>
        <w:rtl w:val="0"/>
      </w:rPr>
      <w:t xml:space="preserve">Louisiana Department of Education</w:t>
      <w:tab/>
      <w:tab/>
      <w:tab/>
      <w:tab/>
      <w:tab/>
      <w:tab/>
      <w:tab/>
      <w:tab/>
      <w:tab/>
      <w:t xml:space="preserve">                </w:t>
    </w:r>
    <w:r w:rsidDel="00000000" w:rsidR="00000000" w:rsidRPr="00000000">
      <w:rPr>
        <w:sz w:val="16"/>
        <w:szCs w:val="16"/>
        <w:rtl w:val="0"/>
      </w:rPr>
      <w:t xml:space="preserve">Updated: 06/12/2026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6">
    <w:pPr>
      <w:tabs>
        <w:tab w:val="right" w:leader="none" w:pos="10800"/>
      </w:tabs>
      <w:spacing w:after="0" w:lineRule="auto"/>
      <w:rPr>
        <w:sz w:val="16"/>
        <w:szCs w:val="16"/>
      </w:rPr>
    </w:pPr>
    <w:hyperlink r:id="rId1">
      <w:r w:rsidDel="00000000" w:rsidR="00000000" w:rsidRPr="00000000">
        <w:rPr>
          <w:color w:val="017f92"/>
          <w:sz w:val="16"/>
          <w:szCs w:val="16"/>
          <w:u w:val="single"/>
          <w:rtl w:val="0"/>
        </w:rPr>
        <w:t xml:space="preserve">doe.louisiana.gov</w:t>
      </w:r>
    </w:hyperlink>
    <w:r w:rsidDel="00000000" w:rsidR="00000000" w:rsidRPr="00000000">
      <w:rPr>
        <w:sz w:val="16"/>
        <w:szCs w:val="16"/>
        <w:rtl w:val="0"/>
      </w:rPr>
      <w:t xml:space="preserve">  |  P.O. Box 94064 •  Baton Rouge, LA •  70804-9064</w:t>
      <w:tab/>
      <w:t xml:space="preserve">Page </w:t>
    </w:r>
    <w:r w:rsidDel="00000000" w:rsidR="00000000" w:rsidRPr="00000000">
      <w:rPr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line="240" w:lineRule="auto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B">
    <w:pPr>
      <w:spacing w:after="0" w:lineRule="auto"/>
      <w:rPr>
        <w:sz w:val="12"/>
        <w:szCs w:val="12"/>
      </w:rPr>
    </w:pPr>
    <w:r w:rsidDel="00000000" w:rsidR="00000000" w:rsidRPr="00000000">
      <w:rPr>
        <w:sz w:val="12"/>
        <w:szCs w:val="12"/>
      </w:rPr>
      <w:drawing>
        <wp:anchor allowOverlap="1" behindDoc="0" distB="0" distT="0" distL="0" distR="0" hidden="0" layoutInCell="1" locked="0" relativeHeight="0" simplePos="0">
          <wp:simplePos x="0" y="0"/>
          <wp:positionH relativeFrom="page">
            <wp:posOffset>-123821</wp:posOffset>
          </wp:positionH>
          <wp:positionV relativeFrom="page">
            <wp:posOffset>0</wp:posOffset>
          </wp:positionV>
          <wp:extent cx="8020050" cy="300038"/>
          <wp:effectExtent b="0" l="0" r="0" t="0"/>
          <wp:wrapNone/>
          <wp:docPr id="3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40310" r="40310" t="0"/>
                  <a:stretch>
                    <a:fillRect/>
                  </a:stretch>
                </pic:blipFill>
                <pic:spPr>
                  <a:xfrm>
                    <a:off x="0" y="0"/>
                    <a:ext cx="8020050" cy="30003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C">
    <w:pPr>
      <w:spacing w:after="0" w:lineRule="auto"/>
      <w:rPr>
        <w:b w:val="1"/>
        <w:bCs w:val="1"/>
        <w:color w:val="4d4d4f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-457196</wp:posOffset>
          </wp:positionH>
          <wp:positionV relativeFrom="paragraph">
            <wp:posOffset>-682903</wp:posOffset>
          </wp:positionV>
          <wp:extent cx="7791450" cy="1200012"/>
          <wp:effectExtent b="0" l="0" r="0" t="0"/>
          <wp:wrapTopAndBottom distB="0" dist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87" l="0" r="0" t="87"/>
                  <a:stretch>
                    <a:fillRect/>
                  </a:stretch>
                </pic:blipFill>
                <pic:spPr>
                  <a:xfrm>
                    <a:off x="0" y="0"/>
                    <a:ext cx="7791450" cy="1200012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5D">
    <w:pPr>
      <w:rPr/>
    </w:pPr>
    <w:r w:rsidDel="00000000" w:rsidR="00000000" w:rsidRPr="00000000">
      <w:rPr>
        <w:b w:val="1"/>
        <w:bCs w:val="1"/>
        <w:color w:val="3c1053"/>
        <w:sz w:val="30"/>
        <w:szCs w:val="30"/>
        <w:rtl w:val="0"/>
      </w:rPr>
      <w:t xml:space="preserve">Office of Teaching and Learning</w:t>
    </w:r>
    <w:r w:rsidDel="00000000" w:rsidR="00000000" w:rsidRPr="00000000">
      <w:rPr>
        <w:rtl w:val="0"/>
      </w:rPr>
    </w:r>
  </w:p>
</w:hdr>
</file>

<file path=word/header4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line="240" w:lineRule="auto"/>
      <w:rPr/>
    </w:pPr>
    <w:r w:rsidDel="00000000" w:rsidR="00000000" w:rsidRPr="00000000">
      <w:rPr>
        <w:rtl w:val="0"/>
      </w:rPr>
    </w:r>
  </w:p>
</w:hdr>
</file>

<file path=word/header5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F">
    <w:pPr>
      <w:spacing w:after="0" w:lineRule="auto"/>
      <w:rPr>
        <w:b w:val="1"/>
        <w:bCs w:val="1"/>
        <w:color w:val="4d4d4f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-466720</wp:posOffset>
          </wp:positionH>
          <wp:positionV relativeFrom="paragraph">
            <wp:posOffset>0</wp:posOffset>
          </wp:positionV>
          <wp:extent cx="7791450" cy="1200012"/>
          <wp:effectExtent b="0" l="0" r="0" t="0"/>
          <wp:wrapTopAndBottom distB="0" distT="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87" l="0" r="0" t="87"/>
                  <a:stretch>
                    <a:fillRect/>
                  </a:stretch>
                </pic:blipFill>
                <pic:spPr>
                  <a:xfrm>
                    <a:off x="0" y="0"/>
                    <a:ext cx="7791450" cy="1200012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60">
    <w:pPr>
      <w:rPr/>
    </w:pPr>
    <w:r w:rsidDel="00000000" w:rsidR="00000000" w:rsidRPr="00000000">
      <w:rPr>
        <w:b w:val="1"/>
        <w:bCs w:val="1"/>
        <w:color w:val="3c1053"/>
        <w:sz w:val="30"/>
        <w:szCs w:val="30"/>
        <w:rtl w:val="0"/>
      </w:rPr>
      <w:t xml:space="preserve">Office of Teaching and Learning</w:t>
    </w:r>
    <w:r w:rsidDel="00000000" w:rsidR="00000000" w:rsidRPr="00000000">
      <w:rPr>
        <w:rtl w:val="0"/>
      </w:rPr>
    </w:r>
  </w:p>
</w:hdr>
</file>

<file path=word/header6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line="240" w:lineRule="auto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color w:val="4e4e5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92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Public Sans" w:cs="Public Sans" w:eastAsia="Public Sans" w:hAnsi="Public Sans"/>
        <w:color w:val="4e4e51"/>
        <w:sz w:val="22"/>
        <w:szCs w:val="22"/>
        <w:lang w:val="en"/>
      </w:rPr>
    </w:rPrDefault>
    <w:pPrDefault>
      <w:pPr>
        <w:spacing w:after="200" w:line="288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00" w:lineRule="auto"/>
      <w:ind w:left="-20"/>
    </w:pPr>
    <w:rPr>
      <w:b w:val="1"/>
      <w:bCs w:val="1"/>
      <w:color w:val="3c1053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120" w:lineRule="auto"/>
    </w:pPr>
    <w:rPr>
      <w:b w:val="1"/>
      <w:bCs w:val="1"/>
      <w:color w:val="017f92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="240" w:lineRule="auto"/>
    </w:pPr>
    <w:rPr>
      <w:b w:val="1"/>
      <w:bCs w:val="1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before="200" w:line="240" w:lineRule="auto"/>
    </w:pPr>
    <w:rPr>
      <w:b w:val="1"/>
      <w:bCs w:val="1"/>
      <w:color w:val="4d4d4f"/>
      <w:sz w:val="20"/>
      <w:szCs w:val="20"/>
    </w:rPr>
  </w:style>
  <w:style w:type="paragraph" w:styleId="Heading5">
    <w:name w:val="heading 5"/>
    <w:basedOn w:val="Normal"/>
    <w:next w:val="Normal"/>
    <w:pPr>
      <w:keepNext w:val="1"/>
      <w:keepLines w:val="1"/>
    </w:pPr>
    <w:rPr/>
  </w:style>
  <w:style w:type="paragraph" w:styleId="Heading6">
    <w:name w:val="heading 6"/>
    <w:basedOn w:val="Normal"/>
    <w:next w:val="Normal"/>
    <w:pPr>
      <w:keepNext w:val="1"/>
      <w:keepLines w:val="1"/>
    </w:pPr>
    <w:rPr/>
  </w:style>
  <w:style w:type="paragraph" w:styleId="Title">
    <w:name w:val="Title"/>
    <w:basedOn w:val="Normal"/>
    <w:next w:val="Normal"/>
    <w:pPr>
      <w:keepNext w:val="1"/>
      <w:keepLines w:val="1"/>
      <w:spacing w:after="0" w:before="200" w:line="240" w:lineRule="auto"/>
    </w:pPr>
    <w:rPr>
      <w:b w:val="1"/>
      <w:bCs w:val="1"/>
      <w:color w:val="3c1053"/>
      <w:sz w:val="56"/>
      <w:szCs w:val="56"/>
    </w:rPr>
  </w:style>
  <w:style w:type="paragraph" w:styleId="Subtitle">
    <w:name w:val="Subtitle"/>
    <w:basedOn w:val="Normal"/>
    <w:next w:val="Normal"/>
    <w:pPr>
      <w:keepNext w:val="1"/>
      <w:keepLines w:val="1"/>
    </w:pPr>
    <w:rPr>
      <w:rFonts w:ascii="Public Sans Medium" w:cs="Public Sans Medium" w:eastAsia="Public Sans Medium" w:hAnsi="Public Sans Medium"/>
      <w:color w:val="3c1053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eader" Target="header4.xml"/><Relationship Id="rId11" Type="http://schemas.openxmlformats.org/officeDocument/2006/relationships/hyperlink" Target="https://doe.louisiana.gov/docs/default-source/academic-curriculum/tech-readiness-seal-accessibility-supports-checklist.docx" TargetMode="External"/><Relationship Id="rId10" Type="http://schemas.openxmlformats.org/officeDocument/2006/relationships/hyperlink" Target="https://doe.louisiana.gov/docs/default-source/academic-curriculum/tech-readiness-seal-cyber-submission.pdf" TargetMode="External"/><Relationship Id="rId13" Type="http://schemas.openxmlformats.org/officeDocument/2006/relationships/header" Target="header3.xml"/><Relationship Id="rId12" Type="http://schemas.openxmlformats.org/officeDocument/2006/relationships/header" Target="head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w3.org/WAI/test-evaluate/conformance/wcag-em/#:~:text=The%20WCAG%2DEM%20Report%20Tool:%20Website%20Accessibility%20Evaluation,report%20from%20the%20input%20that%20you%20provide." TargetMode="External"/><Relationship Id="rId15" Type="http://schemas.openxmlformats.org/officeDocument/2006/relationships/footer" Target="footer2.xml"/><Relationship Id="rId14" Type="http://schemas.openxmlformats.org/officeDocument/2006/relationships/header" Target="header1.xml"/><Relationship Id="rId17" Type="http://schemas.openxmlformats.org/officeDocument/2006/relationships/footer" Target="footer1.xml"/><Relationship Id="rId16" Type="http://schemas.openxmlformats.org/officeDocument/2006/relationships/footer" Target="footer3.xml"/><Relationship Id="rId5" Type="http://schemas.openxmlformats.org/officeDocument/2006/relationships/styles" Target="styles.xml"/><Relationship Id="rId19" Type="http://schemas.openxmlformats.org/officeDocument/2006/relationships/header" Target="header6.xml"/><Relationship Id="rId6" Type="http://schemas.openxmlformats.org/officeDocument/2006/relationships/customXml" Target="../customXML/item1.xml"/><Relationship Id="rId18" Type="http://schemas.openxmlformats.org/officeDocument/2006/relationships/header" Target="header5.xml"/><Relationship Id="rId7" Type="http://schemas.openxmlformats.org/officeDocument/2006/relationships/image" Target="media/image3.png"/><Relationship Id="rId8" Type="http://schemas.openxmlformats.org/officeDocument/2006/relationships/hyperlink" Target="https://doe.louisiana.gov/docs/default-source/academic-curriculum/tech-readiness-seal-cyber-submission.pdf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ublicSansMedium-regular.ttf"/><Relationship Id="rId2" Type="http://schemas.openxmlformats.org/officeDocument/2006/relationships/font" Target="fonts/PublicSansMedium-bold.ttf"/><Relationship Id="rId3" Type="http://schemas.openxmlformats.org/officeDocument/2006/relationships/font" Target="fonts/PublicSansMedium-italic.ttf"/><Relationship Id="rId4" Type="http://schemas.openxmlformats.org/officeDocument/2006/relationships/font" Target="fonts/PublicSansMedium-boldItalic.ttf"/><Relationship Id="rId10" Type="http://schemas.openxmlformats.org/officeDocument/2006/relationships/font" Target="fonts/NotoSansSymbols-bold.ttf"/><Relationship Id="rId9" Type="http://schemas.openxmlformats.org/officeDocument/2006/relationships/font" Target="fonts/NotoSansSymbols-regular.ttf"/><Relationship Id="rId5" Type="http://schemas.openxmlformats.org/officeDocument/2006/relationships/font" Target="fonts/PublicSans-regular.ttf"/><Relationship Id="rId6" Type="http://schemas.openxmlformats.org/officeDocument/2006/relationships/font" Target="fonts/PublicSans-bold.ttf"/><Relationship Id="rId7" Type="http://schemas.openxmlformats.org/officeDocument/2006/relationships/font" Target="fonts/PublicSans-italic.ttf"/><Relationship Id="rId8" Type="http://schemas.openxmlformats.org/officeDocument/2006/relationships/font" Target="fonts/PublicSans-boldItalic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hyperlink" Target="http://doe.louisiana.gov/" TargetMode="External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hyperlink" Target="http://doe.louisiana.gov/" TargetMode="Externa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IV1zYFN9XFnCXYCvAni6z04hnQ==">CgMxLjAyDmgud2RiNzd1dmp2MHYwMg1oLmhodHd5ZDl0ZGxlMg5oLjR4aXVrNGp1YTJxYTIOaC5weDAyYjU2ampzOGYyDmgucTNqc2g3ZHo0enhoMg5oLnA2bWM0ODJxZjl2NjIOaC55ZDd1bTVhbmt0ZGIyDmguczEyZzQwYWZuMTIxOAByITFmOV9BOWU1Rm1jM3NoeVZUTk9zV3o0X01hQ0tZa0RMVw==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