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0818A1F4"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2978C0">
              <w:rPr>
                <w:rFonts w:ascii="Arial Rounded MT Bold" w:hAnsi="Arial Rounded MT Bold"/>
              </w:rPr>
              <w:t>Oil &amp; Gas T-2 Safety Systems</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644439" w:rsidRPr="00D33E95" w14:paraId="7BC06D3D" w14:textId="77777777" w:rsidTr="00875074">
        <w:tc>
          <w:tcPr>
            <w:tcW w:w="2448" w:type="dxa"/>
            <w:shd w:val="clear" w:color="auto" w:fill="F4EFFF"/>
            <w:vAlign w:val="center"/>
          </w:tcPr>
          <w:p w14:paraId="74E107F5" w14:textId="77777777" w:rsidR="00644439" w:rsidRPr="00D33E95" w:rsidRDefault="00644439"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77FB38D6" w14:textId="77777777" w:rsidR="00644439" w:rsidRPr="00A118C7" w:rsidRDefault="00644439" w:rsidP="00875074">
            <w:pPr>
              <w:spacing w:before="60" w:after="60"/>
              <w:rPr>
                <w:rFonts w:ascii="Calibri" w:hAnsi="Calibri"/>
                <w:noProof/>
                <w:sz w:val="22"/>
                <w:szCs w:val="22"/>
              </w:rPr>
            </w:pPr>
            <w:r>
              <w:rPr>
                <w:rFonts w:ascii="Calibri" w:hAnsi="Calibri"/>
                <w:noProof/>
                <w:sz w:val="22"/>
                <w:szCs w:val="22"/>
              </w:rPr>
              <w:t>4 Star: Derrick Operators; Rotary Drill Operator; Roustabouts</w:t>
            </w:r>
          </w:p>
        </w:tc>
      </w:tr>
    </w:tbl>
    <w:p w14:paraId="202BB4F9" w14:textId="77777777" w:rsidR="00644439" w:rsidRPr="006C00B8" w:rsidRDefault="00644439" w:rsidP="00644439">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644439" w:rsidRPr="00D33E95" w14:paraId="0F82E99A" w14:textId="77777777" w:rsidTr="00875074">
        <w:tc>
          <w:tcPr>
            <w:tcW w:w="2448" w:type="dxa"/>
            <w:shd w:val="clear" w:color="auto" w:fill="F4EFFF"/>
            <w:vAlign w:val="center"/>
          </w:tcPr>
          <w:p w14:paraId="47CA7904" w14:textId="77777777" w:rsidR="00644439" w:rsidRPr="00DB10EE" w:rsidRDefault="00644439"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3D917003" w14:textId="77777777" w:rsidR="00644439" w:rsidRPr="00A118C7" w:rsidRDefault="00644439" w:rsidP="00875074">
            <w:pPr>
              <w:spacing w:before="60" w:after="60"/>
              <w:rPr>
                <w:rFonts w:ascii="Calibri" w:hAnsi="Calibri"/>
                <w:noProof/>
                <w:sz w:val="22"/>
                <w:szCs w:val="22"/>
              </w:rPr>
            </w:pPr>
            <w:r>
              <w:rPr>
                <w:rFonts w:ascii="Calibri" w:hAnsi="Calibri"/>
                <w:noProof/>
                <w:sz w:val="22"/>
                <w:szCs w:val="22"/>
              </w:rPr>
              <w:t>$26,000 - $29,000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6A865D92" w:rsidR="00017009" w:rsidRPr="008F3AEB" w:rsidRDefault="0069437B"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Oil &amp; Gas T-2 Safety Systems</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Default="00DB10EE" w:rsidP="00DB10EE">
      <w:pPr>
        <w:jc w:val="both"/>
        <w:rPr>
          <w:rFonts w:asciiTheme="majorHAnsi" w:hAnsiTheme="majorHAnsi"/>
          <w:sz w:val="22"/>
          <w:szCs w:val="22"/>
        </w:rPr>
      </w:pPr>
    </w:p>
    <w:p w14:paraId="2C486980" w14:textId="77777777" w:rsidR="00644439" w:rsidRPr="0025680D" w:rsidRDefault="00644439"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3B94CDF" w:rsidR="00FC3576" w:rsidRPr="00753E9A" w:rsidRDefault="00FC3576" w:rsidP="008D7E2B">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8D7E2B">
              <w:rPr>
                <w:rFonts w:ascii="Arial Rounded MT Bold" w:hAnsi="Arial Rounded MT Bold"/>
                <w:sz w:val="28"/>
                <w:szCs w:val="28"/>
              </w:rPr>
              <w:t>Oil &amp; Gas T-2 Safety Systems</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0255D1">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47466DE9" w:rsidR="00DF167C" w:rsidRPr="00DF167C" w:rsidRDefault="000255D1"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644439" w:rsidRPr="001D0E08" w14:paraId="4A04A23C" w14:textId="77777777" w:rsidTr="00875074">
        <w:trPr>
          <w:trHeight w:val="2231"/>
        </w:trPr>
        <w:tc>
          <w:tcPr>
            <w:tcW w:w="1554" w:type="dxa"/>
            <w:vAlign w:val="center"/>
          </w:tcPr>
          <w:p w14:paraId="3090DC67" w14:textId="77777777" w:rsidR="00644439" w:rsidRPr="00D33E95" w:rsidRDefault="00644439"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40641962" w14:textId="77777777" w:rsidR="00644439" w:rsidRDefault="00644439"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5B2EA6C2" w14:textId="77777777" w:rsidR="00644439" w:rsidRDefault="00644439"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27C0385F" w14:textId="77777777" w:rsidR="00644439" w:rsidRDefault="00644439" w:rsidP="00875074">
            <w:pPr>
              <w:spacing w:before="60" w:after="60"/>
              <w:rPr>
                <w:rFonts w:ascii="Calibri" w:hAnsi="Calibri"/>
                <w:b/>
                <w:sz w:val="22"/>
                <w:szCs w:val="22"/>
                <w:u w:val="single"/>
              </w:rPr>
            </w:pPr>
          </w:p>
          <w:p w14:paraId="143F4A77" w14:textId="77777777" w:rsidR="00644439" w:rsidRDefault="00644439"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American Petroleum Institute (API) T2 Production Safety Systems</w:t>
            </w:r>
          </w:p>
          <w:p w14:paraId="5B186250" w14:textId="77777777" w:rsidR="00644439" w:rsidRPr="00A402F8" w:rsidRDefault="00644439" w:rsidP="00875074">
            <w:pPr>
              <w:spacing w:before="60" w:after="60"/>
              <w:ind w:left="156"/>
              <w:rPr>
                <w:rFonts w:ascii="Calibri" w:hAnsi="Calibri"/>
                <w:sz w:val="22"/>
                <w:szCs w:val="22"/>
              </w:rPr>
            </w:pPr>
            <w:r w:rsidRPr="00A402F8">
              <w:rPr>
                <w:rFonts w:ascii="Calibri" w:hAnsi="Calibri"/>
                <w:sz w:val="22"/>
                <w:szCs w:val="22"/>
              </w:rPr>
              <w:t>OR</w:t>
            </w:r>
          </w:p>
          <w:p w14:paraId="518081E9" w14:textId="77777777" w:rsidR="00644439" w:rsidRPr="001D0E08" w:rsidRDefault="00644439"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37"/>
        <w:gridCol w:w="3237"/>
        <w:gridCol w:w="3233"/>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644439" w:rsidRPr="00D33E95" w14:paraId="16665441" w14:textId="77777777" w:rsidTr="00875074">
        <w:tc>
          <w:tcPr>
            <w:tcW w:w="3294" w:type="dxa"/>
            <w:vAlign w:val="center"/>
          </w:tcPr>
          <w:p w14:paraId="12F8B2AB"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Algebra I</w:t>
            </w:r>
          </w:p>
          <w:p w14:paraId="69EAF727"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English I</w:t>
            </w:r>
          </w:p>
          <w:p w14:paraId="76188A60"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Environmental Science</w:t>
            </w:r>
          </w:p>
          <w:p w14:paraId="268184B4"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Civics</w:t>
            </w:r>
          </w:p>
          <w:p w14:paraId="51CCC2BC" w14:textId="77777777" w:rsidR="00644439" w:rsidRPr="00297FF3" w:rsidRDefault="00644439" w:rsidP="00875074">
            <w:pPr>
              <w:spacing w:before="80" w:after="80"/>
              <w:rPr>
                <w:rFonts w:ascii="Calibri" w:hAnsi="Calibri"/>
                <w:b/>
                <w:i/>
                <w:sz w:val="20"/>
                <w:szCs w:val="20"/>
              </w:rPr>
            </w:pPr>
            <w:r w:rsidRPr="00297FF3">
              <w:rPr>
                <w:rFonts w:ascii="Calibri" w:hAnsi="Calibri"/>
                <w:b/>
                <w:i/>
                <w:sz w:val="20"/>
                <w:szCs w:val="20"/>
              </w:rPr>
              <w:t>IBCA</w:t>
            </w:r>
          </w:p>
          <w:p w14:paraId="37577BDE" w14:textId="77777777" w:rsidR="00644439" w:rsidRPr="00297FF3" w:rsidRDefault="00644439" w:rsidP="00875074">
            <w:pPr>
              <w:spacing w:before="80" w:after="80"/>
              <w:rPr>
                <w:rFonts w:ascii="Calibri" w:hAnsi="Calibri"/>
                <w:b/>
                <w:i/>
                <w:sz w:val="20"/>
                <w:szCs w:val="20"/>
              </w:rPr>
            </w:pPr>
            <w:r w:rsidRPr="00297FF3">
              <w:rPr>
                <w:rFonts w:ascii="Calibri" w:hAnsi="Calibri"/>
                <w:b/>
                <w:i/>
                <w:sz w:val="20"/>
                <w:szCs w:val="20"/>
              </w:rPr>
              <w:t>Journey to Careers</w:t>
            </w:r>
          </w:p>
          <w:p w14:paraId="3237B7C2" w14:textId="77777777" w:rsidR="00644439" w:rsidRPr="00E93B24" w:rsidRDefault="00644439" w:rsidP="00875074">
            <w:pPr>
              <w:spacing w:before="80" w:after="80"/>
              <w:rPr>
                <w:rFonts w:ascii="Calibri" w:hAnsi="Calibri"/>
                <w:sz w:val="20"/>
                <w:szCs w:val="20"/>
              </w:rPr>
            </w:pPr>
            <w:r w:rsidRPr="00297FF3">
              <w:rPr>
                <w:rFonts w:ascii="Calibri" w:hAnsi="Calibri"/>
                <w:sz w:val="20"/>
                <w:szCs w:val="20"/>
              </w:rPr>
              <w:t>Physical Education I</w:t>
            </w:r>
          </w:p>
        </w:tc>
        <w:tc>
          <w:tcPr>
            <w:tcW w:w="3294" w:type="dxa"/>
            <w:vAlign w:val="center"/>
          </w:tcPr>
          <w:p w14:paraId="1E916B97"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 xml:space="preserve">Business Math </w:t>
            </w:r>
          </w:p>
          <w:p w14:paraId="4BD938BA"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English II</w:t>
            </w:r>
          </w:p>
          <w:p w14:paraId="67620C3D"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Biology</w:t>
            </w:r>
          </w:p>
          <w:p w14:paraId="377C63BE" w14:textId="77777777" w:rsidR="00644439" w:rsidRPr="00297FF3" w:rsidRDefault="00644439" w:rsidP="00875074">
            <w:pPr>
              <w:spacing w:before="80" w:after="80"/>
              <w:rPr>
                <w:rFonts w:ascii="Calibri" w:hAnsi="Calibri"/>
                <w:b/>
                <w:i/>
                <w:sz w:val="20"/>
                <w:szCs w:val="20"/>
              </w:rPr>
            </w:pPr>
            <w:r w:rsidRPr="00297FF3">
              <w:rPr>
                <w:rFonts w:ascii="Calibri" w:hAnsi="Calibri"/>
                <w:b/>
                <w:i/>
                <w:sz w:val="20"/>
                <w:szCs w:val="20"/>
              </w:rPr>
              <w:t>Agriscience I</w:t>
            </w:r>
          </w:p>
          <w:p w14:paraId="3A0B32DC" w14:textId="77777777" w:rsidR="00644439" w:rsidRPr="00297FF3" w:rsidRDefault="00644439" w:rsidP="00875074">
            <w:pPr>
              <w:spacing w:before="80" w:after="80"/>
              <w:rPr>
                <w:rFonts w:ascii="Calibri" w:hAnsi="Calibri"/>
                <w:b/>
                <w:i/>
                <w:sz w:val="20"/>
                <w:szCs w:val="20"/>
              </w:rPr>
            </w:pPr>
            <w:r>
              <w:rPr>
                <w:rFonts w:ascii="Calibri" w:hAnsi="Calibri"/>
                <w:b/>
                <w:i/>
                <w:sz w:val="20"/>
                <w:szCs w:val="20"/>
              </w:rPr>
              <w:t>NCCER Core</w:t>
            </w:r>
          </w:p>
          <w:p w14:paraId="5AAAFCA9"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Physical Education II / Health</w:t>
            </w:r>
          </w:p>
          <w:p w14:paraId="6CABB7F5" w14:textId="77777777" w:rsidR="00644439" w:rsidRPr="00E93B24" w:rsidRDefault="00644439" w:rsidP="00875074">
            <w:pPr>
              <w:spacing w:before="80" w:after="80"/>
              <w:rPr>
                <w:rFonts w:ascii="Calibri" w:hAnsi="Calibri"/>
                <w:i/>
                <w:sz w:val="20"/>
                <w:szCs w:val="20"/>
              </w:rPr>
            </w:pPr>
            <w:r w:rsidRPr="00297FF3">
              <w:rPr>
                <w:rFonts w:ascii="Calibri" w:hAnsi="Calibri"/>
                <w:i/>
                <w:sz w:val="20"/>
                <w:szCs w:val="20"/>
              </w:rPr>
              <w:t>Elective Course</w:t>
            </w:r>
          </w:p>
        </w:tc>
        <w:tc>
          <w:tcPr>
            <w:tcW w:w="3294" w:type="dxa"/>
            <w:vAlign w:val="center"/>
          </w:tcPr>
          <w:p w14:paraId="12BD26AC"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 xml:space="preserve">Financial </w:t>
            </w:r>
            <w:r>
              <w:rPr>
                <w:rFonts w:ascii="Calibri" w:hAnsi="Calibri"/>
                <w:sz w:val="20"/>
                <w:szCs w:val="20"/>
              </w:rPr>
              <w:t>Literacy</w:t>
            </w:r>
          </w:p>
          <w:p w14:paraId="7D8140EA"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English III</w:t>
            </w:r>
          </w:p>
          <w:p w14:paraId="62A44632"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 xml:space="preserve">U.S. History </w:t>
            </w:r>
          </w:p>
          <w:p w14:paraId="5325C94D" w14:textId="77777777" w:rsidR="00644439" w:rsidRDefault="00644439" w:rsidP="00875074">
            <w:pPr>
              <w:spacing w:before="80" w:after="80"/>
              <w:rPr>
                <w:rFonts w:ascii="Calibri" w:hAnsi="Calibri"/>
                <w:b/>
                <w:i/>
                <w:sz w:val="20"/>
                <w:szCs w:val="20"/>
              </w:rPr>
            </w:pPr>
            <w:r w:rsidRPr="00297FF3">
              <w:rPr>
                <w:rFonts w:ascii="Calibri" w:hAnsi="Calibri"/>
                <w:b/>
                <w:i/>
                <w:sz w:val="20"/>
                <w:szCs w:val="20"/>
              </w:rPr>
              <w:t>Agriscience II</w:t>
            </w:r>
          </w:p>
          <w:p w14:paraId="6BA86058" w14:textId="77777777" w:rsidR="00644439" w:rsidRDefault="00644439" w:rsidP="00875074">
            <w:pPr>
              <w:spacing w:before="80" w:after="80"/>
              <w:rPr>
                <w:rFonts w:ascii="Calibri" w:hAnsi="Calibri"/>
                <w:b/>
                <w:i/>
                <w:sz w:val="20"/>
                <w:szCs w:val="20"/>
              </w:rPr>
            </w:pPr>
            <w:r w:rsidRPr="00297FF3">
              <w:rPr>
                <w:rFonts w:ascii="Calibri" w:hAnsi="Calibri"/>
                <w:b/>
                <w:i/>
                <w:sz w:val="20"/>
                <w:szCs w:val="20"/>
              </w:rPr>
              <w:t>First Responder</w:t>
            </w:r>
          </w:p>
          <w:p w14:paraId="3584F3D9" w14:textId="77777777" w:rsidR="00644439" w:rsidRDefault="00644439" w:rsidP="00875074">
            <w:pPr>
              <w:spacing w:before="80" w:after="80"/>
              <w:rPr>
                <w:rFonts w:ascii="Calibri" w:hAnsi="Calibri"/>
                <w:b/>
                <w:i/>
                <w:sz w:val="20"/>
                <w:szCs w:val="20"/>
              </w:rPr>
            </w:pPr>
            <w:r>
              <w:rPr>
                <w:rFonts w:ascii="Calibri" w:hAnsi="Calibri"/>
                <w:b/>
                <w:i/>
                <w:sz w:val="20"/>
                <w:szCs w:val="20"/>
              </w:rPr>
              <w:t>Principles of Business</w:t>
            </w:r>
          </w:p>
          <w:p w14:paraId="488BAA9E" w14:textId="77777777" w:rsidR="00644439" w:rsidRPr="00E93B24" w:rsidRDefault="00644439" w:rsidP="00875074">
            <w:pPr>
              <w:spacing w:before="80" w:after="80"/>
              <w:rPr>
                <w:rFonts w:ascii="Calibri" w:hAnsi="Calibri"/>
                <w:b/>
                <w:i/>
                <w:sz w:val="20"/>
                <w:szCs w:val="20"/>
              </w:rPr>
            </w:pPr>
            <w:r w:rsidRPr="00297FF3">
              <w:rPr>
                <w:rFonts w:ascii="Calibri" w:hAnsi="Calibri"/>
                <w:i/>
                <w:sz w:val="20"/>
                <w:szCs w:val="20"/>
              </w:rPr>
              <w:t>Elective Course</w:t>
            </w:r>
          </w:p>
        </w:tc>
        <w:tc>
          <w:tcPr>
            <w:tcW w:w="3294" w:type="dxa"/>
            <w:vAlign w:val="center"/>
          </w:tcPr>
          <w:p w14:paraId="311D409F"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Math Essentials</w:t>
            </w:r>
          </w:p>
          <w:p w14:paraId="4A44E9B4" w14:textId="77777777" w:rsidR="00644439" w:rsidRPr="00297FF3" w:rsidRDefault="00644439" w:rsidP="00875074">
            <w:pPr>
              <w:spacing w:before="80" w:after="80"/>
              <w:rPr>
                <w:rFonts w:ascii="Calibri" w:hAnsi="Calibri"/>
                <w:sz w:val="20"/>
                <w:szCs w:val="20"/>
              </w:rPr>
            </w:pPr>
            <w:r w:rsidRPr="00297FF3">
              <w:rPr>
                <w:rFonts w:ascii="Calibri" w:hAnsi="Calibri"/>
                <w:sz w:val="20"/>
                <w:szCs w:val="20"/>
              </w:rPr>
              <w:t>Business English</w:t>
            </w:r>
          </w:p>
          <w:p w14:paraId="50C68557" w14:textId="77777777" w:rsidR="00644439" w:rsidRPr="00297FF3" w:rsidRDefault="00644439" w:rsidP="00875074">
            <w:pPr>
              <w:spacing w:before="80" w:after="80"/>
              <w:rPr>
                <w:rFonts w:ascii="Calibri" w:hAnsi="Calibri"/>
                <w:b/>
                <w:i/>
                <w:sz w:val="20"/>
                <w:szCs w:val="20"/>
              </w:rPr>
            </w:pPr>
            <w:r w:rsidRPr="00297FF3">
              <w:rPr>
                <w:rFonts w:ascii="Calibri" w:hAnsi="Calibri"/>
                <w:b/>
                <w:i/>
                <w:sz w:val="20"/>
                <w:szCs w:val="20"/>
              </w:rPr>
              <w:t xml:space="preserve">Oil &amp; Gas </w:t>
            </w:r>
          </w:p>
          <w:p w14:paraId="6AF64A79" w14:textId="77777777" w:rsidR="00644439" w:rsidRPr="00297FF3" w:rsidRDefault="00644439" w:rsidP="00875074">
            <w:pPr>
              <w:spacing w:before="80" w:after="80"/>
              <w:rPr>
                <w:rFonts w:ascii="Calibri" w:hAnsi="Calibri"/>
                <w:b/>
                <w:i/>
                <w:sz w:val="20"/>
                <w:szCs w:val="20"/>
              </w:rPr>
            </w:pPr>
            <w:r>
              <w:rPr>
                <w:rFonts w:ascii="Calibri" w:hAnsi="Calibri"/>
                <w:b/>
                <w:i/>
                <w:sz w:val="20"/>
                <w:szCs w:val="20"/>
              </w:rPr>
              <w:t>T-2 Safety Systems</w:t>
            </w:r>
          </w:p>
          <w:p w14:paraId="0593E511" w14:textId="77777777" w:rsidR="00644439" w:rsidRPr="00297FF3" w:rsidRDefault="00644439" w:rsidP="00875074">
            <w:pPr>
              <w:spacing w:before="80" w:after="80"/>
              <w:rPr>
                <w:rFonts w:ascii="Calibri" w:hAnsi="Calibri"/>
                <w:i/>
                <w:sz w:val="20"/>
                <w:szCs w:val="20"/>
              </w:rPr>
            </w:pPr>
            <w:r w:rsidRPr="00297FF3">
              <w:rPr>
                <w:rFonts w:ascii="Calibri" w:hAnsi="Calibri"/>
                <w:i/>
                <w:sz w:val="20"/>
                <w:szCs w:val="20"/>
              </w:rPr>
              <w:t>Elective Course</w:t>
            </w:r>
          </w:p>
          <w:p w14:paraId="15C7803D" w14:textId="77777777" w:rsidR="00644439" w:rsidRDefault="00644439" w:rsidP="00875074">
            <w:pPr>
              <w:spacing w:before="80" w:after="80"/>
              <w:rPr>
                <w:rFonts w:ascii="Calibri" w:hAnsi="Calibri"/>
                <w:i/>
                <w:sz w:val="20"/>
                <w:szCs w:val="20"/>
              </w:rPr>
            </w:pPr>
            <w:r w:rsidRPr="00297FF3">
              <w:rPr>
                <w:rFonts w:ascii="Calibri" w:hAnsi="Calibri"/>
                <w:i/>
                <w:sz w:val="20"/>
                <w:szCs w:val="20"/>
              </w:rPr>
              <w:t>Elective Course</w:t>
            </w:r>
          </w:p>
          <w:p w14:paraId="218F6D71" w14:textId="77777777" w:rsidR="00644439" w:rsidRPr="00E93B24" w:rsidRDefault="00644439" w:rsidP="00875074">
            <w:pPr>
              <w:spacing w:before="80" w:after="80"/>
              <w:rPr>
                <w:rFonts w:ascii="Calibri" w:hAnsi="Calibri"/>
                <w:i/>
                <w:sz w:val="20"/>
                <w:szCs w:val="20"/>
              </w:rPr>
            </w:pPr>
            <w:r>
              <w:rPr>
                <w:rFonts w:ascii="Calibri" w:hAnsi="Calibri"/>
                <w:i/>
                <w:sz w:val="20"/>
                <w:szCs w:val="20"/>
              </w:rPr>
              <w:t>Elective Course</w:t>
            </w:r>
          </w:p>
        </w:tc>
      </w:tr>
      <w:tr w:rsidR="00644439" w:rsidRPr="00D33E95" w14:paraId="2C92DE01" w14:textId="77777777" w:rsidTr="00875074">
        <w:tc>
          <w:tcPr>
            <w:tcW w:w="3294" w:type="dxa"/>
            <w:vAlign w:val="center"/>
          </w:tcPr>
          <w:p w14:paraId="6EBB1109" w14:textId="77777777" w:rsidR="00644439" w:rsidRPr="00E93B24" w:rsidRDefault="00644439"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198974CB" w14:textId="77777777" w:rsidR="00644439" w:rsidRPr="00E93B24" w:rsidRDefault="00644439"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49524039" w14:textId="77777777" w:rsidR="00644439" w:rsidRPr="00E93B24" w:rsidRDefault="00644439"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7376B88D" w14:textId="77777777" w:rsidR="00644439" w:rsidRPr="00E93B24" w:rsidRDefault="00644439" w:rsidP="00875074">
            <w:pPr>
              <w:spacing w:before="80" w:after="80"/>
              <w:jc w:val="center"/>
              <w:rPr>
                <w:rFonts w:ascii="Calibri" w:hAnsi="Calibri"/>
                <w:sz w:val="20"/>
                <w:szCs w:val="20"/>
              </w:rPr>
            </w:pPr>
            <w:r w:rsidRPr="00D33E95">
              <w:rPr>
                <w:rFonts w:ascii="Calibri" w:hAnsi="Calibri"/>
                <w:sz w:val="20"/>
                <w:szCs w:val="20"/>
              </w:rPr>
              <w:t>7 credits</w:t>
            </w:r>
          </w:p>
        </w:tc>
      </w:tr>
      <w:tr w:rsidR="00644439" w:rsidRPr="00D33E95" w14:paraId="6FEC0268" w14:textId="77777777" w:rsidTr="00875074">
        <w:tc>
          <w:tcPr>
            <w:tcW w:w="3294" w:type="dxa"/>
            <w:vAlign w:val="center"/>
          </w:tcPr>
          <w:p w14:paraId="195B8BAE" w14:textId="77777777" w:rsidR="00644439" w:rsidRPr="00E93B24" w:rsidRDefault="00644439"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680A5857" w14:textId="77777777" w:rsidR="00644439" w:rsidRPr="002123DA" w:rsidRDefault="00644439" w:rsidP="00875074">
            <w:pPr>
              <w:spacing w:before="80" w:after="80"/>
              <w:jc w:val="center"/>
              <w:rPr>
                <w:rFonts w:ascii="Calibri" w:hAnsi="Calibri"/>
                <w:sz w:val="20"/>
                <w:szCs w:val="20"/>
              </w:rPr>
            </w:pPr>
            <w:r w:rsidRPr="002123DA">
              <w:rPr>
                <w:rFonts w:ascii="Calibri" w:hAnsi="Calibri"/>
                <w:sz w:val="20"/>
                <w:szCs w:val="20"/>
              </w:rPr>
              <w:t>American Petroleum Institute (API) T2 Production Safety Systems</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754EDC81"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35425F">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17CFB8A4"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w:t>
      </w:r>
      <w:r w:rsidR="0035425F">
        <w:rPr>
          <w:rFonts w:asciiTheme="majorHAnsi" w:hAnsiTheme="majorHAnsi"/>
          <w:b/>
          <w:i/>
          <w:color w:val="0000FF"/>
          <w:sz w:val="22"/>
          <w:szCs w:val="22"/>
          <w:highlight w:val="yellow"/>
        </w:rPr>
        <w:t>abilities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A778" w14:textId="77777777" w:rsidR="004C28E2" w:rsidRDefault="004C28E2" w:rsidP="007D2F88">
      <w:r>
        <w:separator/>
      </w:r>
    </w:p>
  </w:endnote>
  <w:endnote w:type="continuationSeparator" w:id="0">
    <w:p w14:paraId="784D8619" w14:textId="77777777" w:rsidR="004C28E2" w:rsidRDefault="004C28E2"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19AFEBBE"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5425F">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5425F">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4A3E3929"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5425F">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5425F">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1D58" w14:textId="77777777" w:rsidR="004C28E2" w:rsidRDefault="004C28E2" w:rsidP="007D2F88">
      <w:r>
        <w:separator/>
      </w:r>
    </w:p>
  </w:footnote>
  <w:footnote w:type="continuationSeparator" w:id="0">
    <w:p w14:paraId="1654FBC6" w14:textId="77777777" w:rsidR="004C28E2" w:rsidRDefault="004C28E2"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48428F92" w:rsidR="00C1035A" w:rsidRPr="00E424C5" w:rsidRDefault="00644439" w:rsidP="00E424C5">
          <w:pPr>
            <w:spacing w:before="60" w:after="60"/>
            <w:jc w:val="center"/>
            <w:rPr>
              <w:rFonts w:ascii="Arial Rounded MT Bold" w:hAnsi="Arial Rounded MT Bold"/>
              <w:b/>
              <w:sz w:val="22"/>
              <w:szCs w:val="22"/>
            </w:rPr>
          </w:pPr>
          <w:r>
            <w:rPr>
              <w:rFonts w:ascii="Arial Rounded MT Bold" w:hAnsi="Arial Rounded MT Bold"/>
              <w:b/>
              <w:sz w:val="22"/>
              <w:szCs w:val="22"/>
            </w:rPr>
            <w:t>Oil &amp; Gas T-2 Safety Systems</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04FAC0B7" w:rsidR="00C1035A" w:rsidRPr="007D2F88" w:rsidRDefault="00644439"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Oil &amp; Gas T-2 Safety Systems</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3089"/>
    <w:rsid w:val="000255D1"/>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978C0"/>
    <w:rsid w:val="002A7A11"/>
    <w:rsid w:val="002C3C50"/>
    <w:rsid w:val="002C57ED"/>
    <w:rsid w:val="002D1CD8"/>
    <w:rsid w:val="00310EF8"/>
    <w:rsid w:val="00315598"/>
    <w:rsid w:val="00316DCA"/>
    <w:rsid w:val="00326707"/>
    <w:rsid w:val="003417A5"/>
    <w:rsid w:val="00343897"/>
    <w:rsid w:val="0035425F"/>
    <w:rsid w:val="0035615A"/>
    <w:rsid w:val="00363899"/>
    <w:rsid w:val="003730DD"/>
    <w:rsid w:val="00380D96"/>
    <w:rsid w:val="003C6778"/>
    <w:rsid w:val="00404ED1"/>
    <w:rsid w:val="00413B3F"/>
    <w:rsid w:val="004158DF"/>
    <w:rsid w:val="0042044B"/>
    <w:rsid w:val="00421147"/>
    <w:rsid w:val="00421294"/>
    <w:rsid w:val="00421C27"/>
    <w:rsid w:val="0042322E"/>
    <w:rsid w:val="00442D74"/>
    <w:rsid w:val="00466998"/>
    <w:rsid w:val="004844AC"/>
    <w:rsid w:val="00496519"/>
    <w:rsid w:val="004C28E2"/>
    <w:rsid w:val="004C647E"/>
    <w:rsid w:val="004D2802"/>
    <w:rsid w:val="004E3750"/>
    <w:rsid w:val="004E6A24"/>
    <w:rsid w:val="00503132"/>
    <w:rsid w:val="005111A6"/>
    <w:rsid w:val="00515256"/>
    <w:rsid w:val="00534F17"/>
    <w:rsid w:val="0059734D"/>
    <w:rsid w:val="005A5E56"/>
    <w:rsid w:val="005B340D"/>
    <w:rsid w:val="005F2A4B"/>
    <w:rsid w:val="00630329"/>
    <w:rsid w:val="00644439"/>
    <w:rsid w:val="00647C12"/>
    <w:rsid w:val="00670016"/>
    <w:rsid w:val="00684398"/>
    <w:rsid w:val="0069437B"/>
    <w:rsid w:val="006B0231"/>
    <w:rsid w:val="006F4E42"/>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22DB9"/>
    <w:rsid w:val="0084634D"/>
    <w:rsid w:val="008679C7"/>
    <w:rsid w:val="008714DA"/>
    <w:rsid w:val="008A5268"/>
    <w:rsid w:val="008C0697"/>
    <w:rsid w:val="008C6944"/>
    <w:rsid w:val="008D7E2B"/>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C3BE8"/>
    <w:rsid w:val="00AE057C"/>
    <w:rsid w:val="00AE2380"/>
    <w:rsid w:val="00AF53C5"/>
    <w:rsid w:val="00AF54A9"/>
    <w:rsid w:val="00B21B6A"/>
    <w:rsid w:val="00B24194"/>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B6933"/>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6759</Words>
  <Characters>38530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2017-08-31T15:55:00Z</cp:lastPrinted>
  <dcterms:created xsi:type="dcterms:W3CDTF">2020-08-12T19:26:00Z</dcterms:created>
  <dcterms:modified xsi:type="dcterms:W3CDTF">2020-08-12T19:27:00Z</dcterms:modified>
</cp:coreProperties>
</file>