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7BAF2B4D" w:rsidR="002650B2" w:rsidRPr="00903513" w:rsidRDefault="00903513" w:rsidP="00267665">
      <w:pPr>
        <w:ind w:left="-90" w:right="-90"/>
        <w:jc w:val="center"/>
        <w:rPr>
          <w:b/>
          <w:noProof/>
          <w:sz w:val="28"/>
          <w:szCs w:val="28"/>
        </w:rPr>
      </w:pPr>
      <w:r>
        <w:rPr>
          <w:b/>
          <w:noProof/>
          <w:sz w:val="28"/>
          <w:szCs w:val="28"/>
        </w:rPr>
        <w:t>Jump Start Micro-Enterprise Credentia</w:t>
      </w:r>
      <w:r w:rsidR="00D73903">
        <w:rPr>
          <w:b/>
          <w:noProof/>
          <w:sz w:val="28"/>
          <w:szCs w:val="28"/>
        </w:rPr>
        <w:t xml:space="preserve">l:  </w:t>
      </w:r>
      <w:r w:rsidR="00267665">
        <w:rPr>
          <w:b/>
          <w:noProof/>
          <w:sz w:val="28"/>
          <w:szCs w:val="28"/>
        </w:rPr>
        <w:t>Government Agencies Important to Small Businesses</w:t>
      </w:r>
    </w:p>
    <w:p w14:paraId="433F7BDC" w14:textId="1209C23D" w:rsidR="007C2D81" w:rsidRPr="006B2C4D" w:rsidRDefault="006B2C4D" w:rsidP="007E25CE">
      <w:pPr>
        <w:jc w:val="center"/>
        <w:rPr>
          <w:sz w:val="20"/>
          <w:szCs w:val="20"/>
        </w:rPr>
      </w:pPr>
      <w:r w:rsidRPr="001A742D">
        <w:rPr>
          <w:noProof/>
          <w:sz w:val="20"/>
          <w:szCs w:val="20"/>
        </w:rPr>
        <w:t>(</w:t>
      </w:r>
      <w:r w:rsidR="003E6021" w:rsidRPr="001A742D">
        <w:rPr>
          <w:noProof/>
          <w:sz w:val="20"/>
          <w:szCs w:val="20"/>
        </w:rPr>
        <w:t>Updated</w:t>
      </w:r>
      <w:r w:rsidR="00D73903">
        <w:rPr>
          <w:noProof/>
          <w:sz w:val="20"/>
          <w:szCs w:val="20"/>
        </w:rPr>
        <w:t xml:space="preserve">:  </w:t>
      </w:r>
      <w:r w:rsidR="00DE4D81">
        <w:rPr>
          <w:noProof/>
          <w:sz w:val="20"/>
          <w:szCs w:val="20"/>
        </w:rPr>
        <w:t>July</w:t>
      </w:r>
      <w:r w:rsidR="00D73903">
        <w:rPr>
          <w:noProof/>
          <w:sz w:val="20"/>
          <w:szCs w:val="20"/>
        </w:rPr>
        <w:t xml:space="preserve"> 2016</w:t>
      </w:r>
      <w:r w:rsidR="007C2D81" w:rsidRPr="001A742D">
        <w:rPr>
          <w:noProof/>
          <w:sz w:val="20"/>
          <w:szCs w:val="20"/>
        </w:rPr>
        <w:t>)</w:t>
      </w:r>
    </w:p>
    <w:p w14:paraId="4C539C74" w14:textId="77777777" w:rsidR="007E25CE" w:rsidRPr="00FF1FB1" w:rsidRDefault="007E25CE" w:rsidP="007E25CE">
      <w:pPr>
        <w:jc w:val="center"/>
        <w:rPr>
          <w:sz w:val="36"/>
          <w:szCs w:val="36"/>
        </w:rPr>
      </w:pPr>
      <w:bookmarkStart w:id="0" w:name="_GoBack"/>
      <w:bookmarkEnd w:id="0"/>
    </w:p>
    <w:p w14:paraId="4573AB6F" w14:textId="5FE8B5BD" w:rsidR="001A742D" w:rsidRDefault="00CF6F80" w:rsidP="00714502">
      <w:pPr>
        <w:spacing w:after="180"/>
        <w:jc w:val="both"/>
      </w:pPr>
      <w:r>
        <w:t>Small businesses must interact with many federal, state and local government agencies.</w:t>
      </w:r>
    </w:p>
    <w:tbl>
      <w:tblPr>
        <w:tblStyle w:val="TableGrid"/>
        <w:tblW w:w="10818" w:type="dxa"/>
        <w:tblInd w:w="108" w:type="dxa"/>
        <w:tblLook w:val="04A0" w:firstRow="1" w:lastRow="0" w:firstColumn="1" w:lastColumn="0" w:noHBand="0" w:noVBand="1"/>
      </w:tblPr>
      <w:tblGrid>
        <w:gridCol w:w="2160"/>
        <w:gridCol w:w="2160"/>
        <w:gridCol w:w="6498"/>
      </w:tblGrid>
      <w:tr w:rsidR="00570414" w14:paraId="71572E4C" w14:textId="77777777" w:rsidTr="00FC58F7">
        <w:tc>
          <w:tcPr>
            <w:tcW w:w="2160" w:type="dxa"/>
            <w:vAlign w:val="center"/>
          </w:tcPr>
          <w:p w14:paraId="16D13A7F" w14:textId="7C101DB6" w:rsidR="00CF6F80" w:rsidRPr="00CF6F80" w:rsidRDefault="00570414" w:rsidP="00CF6F80">
            <w:pPr>
              <w:spacing w:before="80" w:after="80"/>
              <w:jc w:val="center"/>
              <w:rPr>
                <w:b/>
              </w:rPr>
            </w:pPr>
            <w:r>
              <w:rPr>
                <w:b/>
              </w:rPr>
              <w:t>Level</w:t>
            </w:r>
            <w:r w:rsidR="00CF6F80">
              <w:rPr>
                <w:b/>
              </w:rPr>
              <w:t xml:space="preserve"> of Government</w:t>
            </w:r>
          </w:p>
        </w:tc>
        <w:tc>
          <w:tcPr>
            <w:tcW w:w="2160" w:type="dxa"/>
            <w:vAlign w:val="center"/>
          </w:tcPr>
          <w:p w14:paraId="73BDCAC3" w14:textId="1A280BDB" w:rsidR="00CF6F80" w:rsidRPr="00CF6F80" w:rsidRDefault="00CF6F80" w:rsidP="00CF6F80">
            <w:pPr>
              <w:spacing w:before="80" w:after="80"/>
              <w:jc w:val="center"/>
              <w:rPr>
                <w:b/>
              </w:rPr>
            </w:pPr>
            <w:r>
              <w:rPr>
                <w:b/>
              </w:rPr>
              <w:t>Description</w:t>
            </w:r>
          </w:p>
        </w:tc>
        <w:tc>
          <w:tcPr>
            <w:tcW w:w="6498" w:type="dxa"/>
            <w:vAlign w:val="center"/>
          </w:tcPr>
          <w:p w14:paraId="5318969F" w14:textId="1150CC8D" w:rsidR="00CF6F80" w:rsidRPr="00CF6F80" w:rsidRDefault="00CF6F80" w:rsidP="00CF6F80">
            <w:pPr>
              <w:spacing w:before="80" w:after="80"/>
              <w:jc w:val="center"/>
              <w:rPr>
                <w:b/>
              </w:rPr>
            </w:pPr>
            <w:r>
              <w:rPr>
                <w:b/>
              </w:rPr>
              <w:t>Examples</w:t>
            </w:r>
            <w:r w:rsidR="00570414">
              <w:rPr>
                <w:b/>
              </w:rPr>
              <w:t xml:space="preserve"> Relevant to Small Businesses</w:t>
            </w:r>
          </w:p>
        </w:tc>
      </w:tr>
      <w:tr w:rsidR="00570414" w14:paraId="3674FA7E" w14:textId="77777777" w:rsidTr="00FC58F7">
        <w:tc>
          <w:tcPr>
            <w:tcW w:w="2160" w:type="dxa"/>
            <w:vAlign w:val="center"/>
          </w:tcPr>
          <w:p w14:paraId="3897FFF6" w14:textId="0F154EB5" w:rsidR="00CF6F80" w:rsidRDefault="00CF6F80" w:rsidP="00CF6F80">
            <w:pPr>
              <w:spacing w:before="80" w:after="80"/>
            </w:pPr>
            <w:r>
              <w:t>Federal</w:t>
            </w:r>
          </w:p>
        </w:tc>
        <w:tc>
          <w:tcPr>
            <w:tcW w:w="2160" w:type="dxa"/>
            <w:vAlign w:val="center"/>
          </w:tcPr>
          <w:p w14:paraId="3A435F01" w14:textId="602485AE" w:rsidR="00CF6F80" w:rsidRDefault="00CF6F80" w:rsidP="00CF6F80">
            <w:pPr>
              <w:spacing w:before="80" w:after="80"/>
            </w:pPr>
            <w:r>
              <w:t>An agency of the United States government</w:t>
            </w:r>
          </w:p>
        </w:tc>
        <w:tc>
          <w:tcPr>
            <w:tcW w:w="6498" w:type="dxa"/>
          </w:tcPr>
          <w:p w14:paraId="0C0637A3" w14:textId="7CE636C6" w:rsidR="00CF6F80" w:rsidRDefault="00570414" w:rsidP="00570414">
            <w:pPr>
              <w:pStyle w:val="ListParagraph"/>
              <w:numPr>
                <w:ilvl w:val="0"/>
                <w:numId w:val="21"/>
              </w:numPr>
              <w:spacing w:before="80" w:after="80"/>
              <w:ind w:left="260" w:hanging="274"/>
              <w:contextualSpacing w:val="0"/>
              <w:jc w:val="both"/>
            </w:pPr>
            <w:r>
              <w:t>Internal Revenue Service (IRS) – collects taxes</w:t>
            </w:r>
            <w:r w:rsidR="0083062C">
              <w:t>.</w:t>
            </w:r>
          </w:p>
          <w:p w14:paraId="63F5CD0B" w14:textId="26D05260" w:rsidR="00570414" w:rsidRDefault="00570414" w:rsidP="00570414">
            <w:pPr>
              <w:pStyle w:val="ListParagraph"/>
              <w:numPr>
                <w:ilvl w:val="0"/>
                <w:numId w:val="21"/>
              </w:numPr>
              <w:spacing w:before="80" w:after="80"/>
              <w:ind w:left="260" w:hanging="274"/>
              <w:contextualSpacing w:val="0"/>
              <w:jc w:val="both"/>
            </w:pPr>
            <w:r>
              <w:t xml:space="preserve">Small Business Administration (SBA) – provides </w:t>
            </w:r>
            <w:r w:rsidR="0083062C">
              <w:t>aid</w:t>
            </w:r>
            <w:r>
              <w:t xml:space="preserve"> and advice to small businesses, assisting and protecting the interests of small business concerns</w:t>
            </w:r>
            <w:r w:rsidR="0083062C">
              <w:t>.</w:t>
            </w:r>
          </w:p>
          <w:p w14:paraId="45A06CA6" w14:textId="20F4FDE0" w:rsidR="00570414" w:rsidRDefault="00570414" w:rsidP="00570414">
            <w:pPr>
              <w:pStyle w:val="ListParagraph"/>
              <w:numPr>
                <w:ilvl w:val="0"/>
                <w:numId w:val="21"/>
              </w:numPr>
              <w:spacing w:before="80" w:after="80"/>
              <w:ind w:left="260" w:hanging="274"/>
              <w:contextualSpacing w:val="0"/>
              <w:jc w:val="both"/>
            </w:pPr>
            <w:r>
              <w:t>Occupational Safety &amp; Health Administration (OSHA) – assures safe and healthful working conditions</w:t>
            </w:r>
            <w:r w:rsidR="0083062C">
              <w:t>.</w:t>
            </w:r>
          </w:p>
        </w:tc>
      </w:tr>
      <w:tr w:rsidR="00570414" w14:paraId="746AF14E" w14:textId="77777777" w:rsidTr="00FC58F7">
        <w:tc>
          <w:tcPr>
            <w:tcW w:w="2160" w:type="dxa"/>
            <w:vAlign w:val="center"/>
          </w:tcPr>
          <w:p w14:paraId="40BA739D" w14:textId="65911074" w:rsidR="00CF6F80" w:rsidRDefault="00CF6F80" w:rsidP="00CF6F80">
            <w:pPr>
              <w:spacing w:before="80" w:after="80"/>
            </w:pPr>
            <w:r>
              <w:t>State</w:t>
            </w:r>
          </w:p>
        </w:tc>
        <w:tc>
          <w:tcPr>
            <w:tcW w:w="2160" w:type="dxa"/>
            <w:vAlign w:val="center"/>
          </w:tcPr>
          <w:p w14:paraId="4BF21E95" w14:textId="1EA62854" w:rsidR="00CF6F80" w:rsidRDefault="00CF6F80" w:rsidP="00FC58F7">
            <w:pPr>
              <w:spacing w:before="80" w:after="80"/>
            </w:pPr>
            <w:r>
              <w:t xml:space="preserve">An agency of Louisiana </w:t>
            </w:r>
            <w:r w:rsidR="00FC58F7">
              <w:t>s</w:t>
            </w:r>
            <w:r>
              <w:t>tate</w:t>
            </w:r>
            <w:r w:rsidR="00FC58F7">
              <w:t xml:space="preserve"> government</w:t>
            </w:r>
          </w:p>
        </w:tc>
        <w:tc>
          <w:tcPr>
            <w:tcW w:w="6498" w:type="dxa"/>
          </w:tcPr>
          <w:p w14:paraId="0FA4FEFE" w14:textId="77777777" w:rsidR="00CF6F80" w:rsidRDefault="00570414" w:rsidP="00570414">
            <w:pPr>
              <w:pStyle w:val="ListParagraph"/>
              <w:numPr>
                <w:ilvl w:val="0"/>
                <w:numId w:val="21"/>
              </w:numPr>
              <w:spacing w:before="80" w:after="80"/>
              <w:ind w:left="260" w:hanging="274"/>
              <w:contextualSpacing w:val="0"/>
              <w:jc w:val="both"/>
            </w:pPr>
            <w:r>
              <w:t>Secretary of State – register a business</w:t>
            </w:r>
          </w:p>
          <w:p w14:paraId="0C269D03" w14:textId="71BC3B69" w:rsidR="00570414" w:rsidRDefault="00570414" w:rsidP="00570414">
            <w:pPr>
              <w:pStyle w:val="ListParagraph"/>
              <w:numPr>
                <w:ilvl w:val="0"/>
                <w:numId w:val="21"/>
              </w:numPr>
              <w:spacing w:before="80" w:after="80"/>
              <w:ind w:left="260" w:hanging="274"/>
              <w:contextualSpacing w:val="0"/>
              <w:jc w:val="both"/>
            </w:pPr>
            <w:r>
              <w:t xml:space="preserve">Louisiana Workforce Commission – hire </w:t>
            </w:r>
            <w:r w:rsidR="0083062C">
              <w:t xml:space="preserve">/ support </w:t>
            </w:r>
            <w:r>
              <w:t>employees</w:t>
            </w:r>
          </w:p>
          <w:p w14:paraId="436E9407" w14:textId="77777777" w:rsidR="00570414" w:rsidRDefault="00570414" w:rsidP="00570414">
            <w:pPr>
              <w:pStyle w:val="ListParagraph"/>
              <w:numPr>
                <w:ilvl w:val="0"/>
                <w:numId w:val="21"/>
              </w:numPr>
              <w:spacing w:before="80" w:after="80"/>
              <w:ind w:left="260" w:hanging="274"/>
              <w:contextualSpacing w:val="0"/>
              <w:jc w:val="both"/>
            </w:pPr>
            <w:r>
              <w:t>Louisiana Department of Revenue – pay taxes</w:t>
            </w:r>
          </w:p>
          <w:p w14:paraId="5A5E6771" w14:textId="7FDD5D52" w:rsidR="00570414" w:rsidRDefault="00570414" w:rsidP="00570414">
            <w:pPr>
              <w:pStyle w:val="ListParagraph"/>
              <w:numPr>
                <w:ilvl w:val="0"/>
                <w:numId w:val="21"/>
              </w:numPr>
              <w:spacing w:before="80" w:after="80"/>
              <w:ind w:left="260" w:hanging="274"/>
              <w:contextualSpacing w:val="0"/>
              <w:jc w:val="both"/>
            </w:pPr>
            <w:r>
              <w:t xml:space="preserve">Louisiana Economic Development – grow </w:t>
            </w:r>
            <w:r w:rsidR="0083062C">
              <w:t>a</w:t>
            </w:r>
            <w:r>
              <w:t xml:space="preserve"> business</w:t>
            </w:r>
          </w:p>
          <w:p w14:paraId="228C1E16" w14:textId="678AE4FC" w:rsidR="00570414" w:rsidRDefault="00570414" w:rsidP="00570414">
            <w:pPr>
              <w:pStyle w:val="ListParagraph"/>
              <w:numPr>
                <w:ilvl w:val="0"/>
                <w:numId w:val="21"/>
              </w:numPr>
              <w:spacing w:before="80" w:after="80"/>
              <w:ind w:left="260" w:hanging="274"/>
              <w:contextualSpacing w:val="0"/>
              <w:jc w:val="both"/>
            </w:pPr>
            <w:r>
              <w:t>Industry Boards – regulate specific industries (see below)</w:t>
            </w:r>
          </w:p>
        </w:tc>
      </w:tr>
      <w:tr w:rsidR="00570414" w14:paraId="7031D9F7" w14:textId="77777777" w:rsidTr="00FC58F7">
        <w:tc>
          <w:tcPr>
            <w:tcW w:w="2160" w:type="dxa"/>
            <w:vAlign w:val="center"/>
          </w:tcPr>
          <w:p w14:paraId="45B829D5" w14:textId="04319D20" w:rsidR="00CF6F80" w:rsidRDefault="00CF6F80" w:rsidP="00CF6F80">
            <w:pPr>
              <w:spacing w:before="80" w:after="80"/>
            </w:pPr>
            <w:r>
              <w:t>Local</w:t>
            </w:r>
          </w:p>
        </w:tc>
        <w:tc>
          <w:tcPr>
            <w:tcW w:w="2160" w:type="dxa"/>
            <w:vAlign w:val="center"/>
          </w:tcPr>
          <w:p w14:paraId="4529AAD1" w14:textId="632F435F" w:rsidR="00CF6F80" w:rsidRDefault="00570414" w:rsidP="00570414">
            <w:pPr>
              <w:spacing w:before="80" w:after="80"/>
            </w:pPr>
            <w:r>
              <w:t>An agency of a parish or a city / town</w:t>
            </w:r>
          </w:p>
        </w:tc>
        <w:tc>
          <w:tcPr>
            <w:tcW w:w="6498" w:type="dxa"/>
          </w:tcPr>
          <w:p w14:paraId="6A8AF6FB" w14:textId="40178A32" w:rsidR="00CF6F80" w:rsidRDefault="00570414" w:rsidP="00570414">
            <w:pPr>
              <w:pStyle w:val="ListParagraph"/>
              <w:numPr>
                <w:ilvl w:val="0"/>
                <w:numId w:val="21"/>
              </w:numPr>
              <w:spacing w:before="80" w:after="80"/>
              <w:ind w:left="260" w:hanging="274"/>
              <w:contextualSpacing w:val="0"/>
              <w:jc w:val="both"/>
            </w:pPr>
            <w:r>
              <w:t>Parishes, cities and towns maintain agencies to collect taxes, inspect businesses for safety and compliance with local laws, etc.</w:t>
            </w:r>
          </w:p>
        </w:tc>
      </w:tr>
    </w:tbl>
    <w:p w14:paraId="194DFCD2" w14:textId="77777777" w:rsidR="00CF6F80" w:rsidRDefault="00CF6F80" w:rsidP="00FC58F7">
      <w:pPr>
        <w:jc w:val="both"/>
      </w:pPr>
    </w:p>
    <w:p w14:paraId="111EF5A2" w14:textId="5168DC26" w:rsidR="00D73903" w:rsidRPr="00FC58F7" w:rsidRDefault="00FC58F7" w:rsidP="00714502">
      <w:pPr>
        <w:spacing w:after="180"/>
        <w:jc w:val="both"/>
        <w:rPr>
          <w:b/>
          <w:i/>
        </w:rPr>
      </w:pPr>
      <w:r>
        <w:t xml:space="preserve">It’s not always easy to know which government agencies a small business needs to contact.  </w:t>
      </w:r>
      <w:r w:rsidR="003E49B7">
        <w:t xml:space="preserve">The good news: </w:t>
      </w:r>
      <w:r>
        <w:rPr>
          <w:b/>
          <w:i/>
        </w:rPr>
        <w:t xml:space="preserve">entrepreneurs and small business owners can go to the </w:t>
      </w:r>
      <w:proofErr w:type="spellStart"/>
      <w:r>
        <w:rPr>
          <w:b/>
        </w:rPr>
        <w:t>geauxBIZ</w:t>
      </w:r>
      <w:proofErr w:type="spellEnd"/>
      <w:r>
        <w:rPr>
          <w:b/>
          <w:i/>
        </w:rPr>
        <w:t xml:space="preserve"> web portal for a helpful list of the government agencies they should contact.</w:t>
      </w:r>
    </w:p>
    <w:p w14:paraId="1E8F454C" w14:textId="32A95528" w:rsidR="0006754E" w:rsidRPr="00FC58F7" w:rsidRDefault="00FC58F7" w:rsidP="0063354A">
      <w:pPr>
        <w:spacing w:after="180"/>
        <w:jc w:val="both"/>
        <w:rPr>
          <w:rFonts w:asciiTheme="minorHAnsi" w:hAnsiTheme="minorHAnsi"/>
          <w:szCs w:val="22"/>
        </w:rPr>
      </w:pPr>
      <w:r w:rsidRPr="00FC58F7">
        <w:rPr>
          <w:rFonts w:asciiTheme="minorHAnsi" w:hAnsiTheme="minorHAnsi"/>
          <w:szCs w:val="22"/>
        </w:rPr>
        <w:t>The Secretary of State’s</w:t>
      </w:r>
      <w:r w:rsidR="0006754E" w:rsidRPr="00FC58F7">
        <w:rPr>
          <w:rFonts w:asciiTheme="minorHAnsi" w:hAnsiTheme="minorHAnsi"/>
          <w:szCs w:val="22"/>
        </w:rPr>
        <w:t xml:space="preserve"> </w:t>
      </w:r>
      <w:proofErr w:type="spellStart"/>
      <w:r w:rsidRPr="00FC58F7">
        <w:rPr>
          <w:rFonts w:asciiTheme="minorHAnsi" w:eastAsiaTheme="minorHAnsi" w:hAnsiTheme="minorHAnsi" w:cs="Tahoma"/>
          <w:i/>
          <w:color w:val="01152B"/>
          <w:szCs w:val="22"/>
        </w:rPr>
        <w:t>g</w:t>
      </w:r>
      <w:r w:rsidR="0006754E" w:rsidRPr="00FC58F7">
        <w:rPr>
          <w:rFonts w:asciiTheme="minorHAnsi" w:eastAsiaTheme="minorHAnsi" w:hAnsiTheme="minorHAnsi" w:cs="Tahoma"/>
          <w:i/>
          <w:color w:val="01152B"/>
          <w:szCs w:val="22"/>
        </w:rPr>
        <w:t>eauxB</w:t>
      </w:r>
      <w:r>
        <w:rPr>
          <w:rFonts w:asciiTheme="minorHAnsi" w:eastAsiaTheme="minorHAnsi" w:hAnsiTheme="minorHAnsi" w:cs="Tahoma"/>
          <w:i/>
          <w:color w:val="01152B"/>
          <w:szCs w:val="22"/>
        </w:rPr>
        <w:t>IZ</w:t>
      </w:r>
      <w:proofErr w:type="spellEnd"/>
      <w:r w:rsidR="0006754E" w:rsidRPr="00FC58F7">
        <w:rPr>
          <w:rFonts w:asciiTheme="minorHAnsi" w:eastAsiaTheme="minorHAnsi" w:hAnsiTheme="minorHAnsi" w:cs="Tahoma"/>
          <w:color w:val="01152B"/>
          <w:szCs w:val="22"/>
        </w:rPr>
        <w:t xml:space="preserve"> </w:t>
      </w:r>
      <w:r w:rsidRPr="00FC58F7">
        <w:rPr>
          <w:rFonts w:asciiTheme="minorHAnsi" w:eastAsiaTheme="minorHAnsi" w:hAnsiTheme="minorHAnsi" w:cs="Tahoma"/>
          <w:color w:val="01152B"/>
          <w:szCs w:val="22"/>
        </w:rPr>
        <w:t xml:space="preserve">portal </w:t>
      </w:r>
      <w:r w:rsidR="0006754E" w:rsidRPr="00FC58F7">
        <w:rPr>
          <w:rFonts w:asciiTheme="minorHAnsi" w:eastAsiaTheme="minorHAnsi" w:hAnsiTheme="minorHAnsi" w:cs="Tahoma"/>
          <w:color w:val="01152B"/>
          <w:szCs w:val="22"/>
        </w:rPr>
        <w:t xml:space="preserve">gives current and potential business owners a single place to go for all the necessary information to operate within the state. </w:t>
      </w:r>
      <w:r w:rsidR="0044378D">
        <w:rPr>
          <w:rFonts w:asciiTheme="minorHAnsi" w:eastAsiaTheme="minorHAnsi" w:hAnsiTheme="minorHAnsi" w:cs="Tahoma"/>
          <w:color w:val="01152B"/>
          <w:szCs w:val="22"/>
        </w:rPr>
        <w:t xml:space="preserve"> Various</w:t>
      </w:r>
      <w:r w:rsidR="0083062C">
        <w:rPr>
          <w:rFonts w:asciiTheme="minorHAnsi" w:eastAsiaTheme="minorHAnsi" w:hAnsiTheme="minorHAnsi" w:cs="Tahoma"/>
          <w:color w:val="01152B"/>
          <w:szCs w:val="22"/>
        </w:rPr>
        <w:t xml:space="preserve"> state, parish and local agencies still approve</w:t>
      </w:r>
      <w:r w:rsidR="0006754E" w:rsidRPr="00FC58F7">
        <w:rPr>
          <w:rFonts w:asciiTheme="minorHAnsi" w:eastAsiaTheme="minorHAnsi" w:hAnsiTheme="minorHAnsi" w:cs="Tahoma"/>
          <w:color w:val="01152B"/>
          <w:szCs w:val="22"/>
        </w:rPr>
        <w:t xml:space="preserve"> all licenses and permits, but </w:t>
      </w:r>
      <w:proofErr w:type="spellStart"/>
      <w:r w:rsidRPr="00FC58F7">
        <w:rPr>
          <w:rFonts w:asciiTheme="minorHAnsi" w:eastAsiaTheme="minorHAnsi" w:hAnsiTheme="minorHAnsi" w:cs="Tahoma"/>
          <w:color w:val="01152B"/>
          <w:szCs w:val="22"/>
        </w:rPr>
        <w:t>geauxBIZ</w:t>
      </w:r>
      <w:proofErr w:type="spellEnd"/>
      <w:r w:rsidR="0006754E" w:rsidRPr="00FC58F7">
        <w:rPr>
          <w:rFonts w:asciiTheme="minorHAnsi" w:eastAsiaTheme="minorHAnsi" w:hAnsiTheme="minorHAnsi" w:cs="Tahoma"/>
          <w:color w:val="01152B"/>
          <w:szCs w:val="22"/>
        </w:rPr>
        <w:t xml:space="preserve"> is a </w:t>
      </w:r>
      <w:r>
        <w:rPr>
          <w:rFonts w:asciiTheme="minorHAnsi" w:eastAsiaTheme="minorHAnsi" w:hAnsiTheme="minorHAnsi" w:cs="Tahoma"/>
          <w:color w:val="01152B"/>
          <w:szCs w:val="22"/>
        </w:rPr>
        <w:t>the best starting point to learn which government agencies a small business must contact:</w:t>
      </w:r>
      <w:r w:rsidR="0006754E" w:rsidRPr="00FC58F7">
        <w:rPr>
          <w:rFonts w:asciiTheme="minorHAnsi" w:eastAsiaTheme="minorHAnsi" w:hAnsiTheme="minorHAnsi" w:cs="Tahoma"/>
          <w:color w:val="01152B"/>
          <w:szCs w:val="22"/>
        </w:rPr>
        <w:t xml:space="preserve">  </w:t>
      </w:r>
    </w:p>
    <w:p w14:paraId="3F8D7857" w14:textId="0F0602A8" w:rsidR="00FC58F7" w:rsidRPr="00FC58F7" w:rsidRDefault="0006754E" w:rsidP="00FC58F7">
      <w:pPr>
        <w:pStyle w:val="ListParagraph"/>
        <w:numPr>
          <w:ilvl w:val="0"/>
          <w:numId w:val="21"/>
        </w:numPr>
        <w:spacing w:after="180"/>
        <w:ind w:right="540"/>
        <w:contextualSpacing w:val="0"/>
        <w:jc w:val="both"/>
        <w:rPr>
          <w:rFonts w:asciiTheme="minorHAnsi" w:eastAsiaTheme="minorHAnsi" w:hAnsiTheme="minorHAnsi" w:cs="Tahoma"/>
          <w:color w:val="01152B"/>
          <w:szCs w:val="22"/>
        </w:rPr>
      </w:pPr>
      <w:proofErr w:type="spellStart"/>
      <w:r w:rsidRPr="00FC58F7">
        <w:rPr>
          <w:rFonts w:asciiTheme="minorHAnsi" w:eastAsiaTheme="minorHAnsi" w:hAnsiTheme="minorHAnsi" w:cs="Tahoma"/>
          <w:i/>
          <w:color w:val="01152B"/>
          <w:szCs w:val="22"/>
        </w:rPr>
        <w:t>geauxBIZ</w:t>
      </w:r>
      <w:proofErr w:type="spellEnd"/>
      <w:r w:rsidRPr="00FC58F7">
        <w:rPr>
          <w:rFonts w:asciiTheme="minorHAnsi" w:eastAsiaTheme="minorHAnsi" w:hAnsiTheme="minorHAnsi" w:cs="Tahoma"/>
          <w:color w:val="01152B"/>
          <w:szCs w:val="22"/>
        </w:rPr>
        <w:t xml:space="preserve"> can help </w:t>
      </w:r>
      <w:r w:rsidR="00FC58F7">
        <w:rPr>
          <w:rFonts w:asciiTheme="minorHAnsi" w:eastAsiaTheme="minorHAnsi" w:hAnsiTheme="minorHAnsi" w:cs="Tahoma"/>
          <w:color w:val="01152B"/>
          <w:szCs w:val="22"/>
        </w:rPr>
        <w:t>small business owners and entrepreneurs</w:t>
      </w:r>
      <w:r w:rsidRPr="00FC58F7">
        <w:rPr>
          <w:rFonts w:asciiTheme="minorHAnsi" w:eastAsiaTheme="minorHAnsi" w:hAnsiTheme="minorHAnsi" w:cs="Tahoma"/>
          <w:color w:val="01152B"/>
          <w:szCs w:val="22"/>
        </w:rPr>
        <w:t xml:space="preserve"> find resources to help plan, make key financial decisions, and complete legal activities necessary to start </w:t>
      </w:r>
      <w:r w:rsidR="00FC58F7">
        <w:rPr>
          <w:rFonts w:asciiTheme="minorHAnsi" w:eastAsiaTheme="minorHAnsi" w:hAnsiTheme="minorHAnsi" w:cs="Tahoma"/>
          <w:color w:val="01152B"/>
          <w:szCs w:val="22"/>
        </w:rPr>
        <w:t>a business;</w:t>
      </w:r>
      <w:r w:rsidRPr="00FC58F7">
        <w:rPr>
          <w:rFonts w:asciiTheme="minorHAnsi" w:eastAsiaTheme="minorHAnsi" w:hAnsiTheme="minorHAnsi" w:cs="Tahoma"/>
          <w:color w:val="01152B"/>
          <w:szCs w:val="22"/>
        </w:rPr>
        <w:t xml:space="preserve"> </w:t>
      </w:r>
    </w:p>
    <w:p w14:paraId="35F4FDEE" w14:textId="78202087" w:rsidR="0006754E" w:rsidRPr="00FC58F7" w:rsidRDefault="0006754E" w:rsidP="00FC58F7">
      <w:pPr>
        <w:pStyle w:val="ListParagraph"/>
        <w:numPr>
          <w:ilvl w:val="0"/>
          <w:numId w:val="21"/>
        </w:numPr>
        <w:spacing w:after="180"/>
        <w:ind w:right="540"/>
        <w:contextualSpacing w:val="0"/>
        <w:jc w:val="both"/>
        <w:rPr>
          <w:rFonts w:asciiTheme="minorHAnsi" w:eastAsiaTheme="minorHAnsi" w:hAnsiTheme="minorHAnsi" w:cs="Tahoma"/>
          <w:color w:val="01152B"/>
          <w:szCs w:val="22"/>
        </w:rPr>
      </w:pPr>
      <w:proofErr w:type="spellStart"/>
      <w:r w:rsidRPr="00FC58F7">
        <w:rPr>
          <w:rFonts w:asciiTheme="minorHAnsi" w:eastAsiaTheme="minorHAnsi" w:hAnsiTheme="minorHAnsi" w:cs="Tahoma"/>
          <w:i/>
          <w:color w:val="01152B"/>
          <w:szCs w:val="22"/>
        </w:rPr>
        <w:t>geauxBIZ</w:t>
      </w:r>
      <w:proofErr w:type="spellEnd"/>
      <w:r w:rsidRPr="00FC58F7">
        <w:rPr>
          <w:rFonts w:asciiTheme="minorHAnsi" w:eastAsiaTheme="minorHAnsi" w:hAnsiTheme="minorHAnsi" w:cs="Tahoma"/>
          <w:color w:val="01152B"/>
          <w:szCs w:val="22"/>
        </w:rPr>
        <w:t xml:space="preserve"> </w:t>
      </w:r>
      <w:r w:rsidR="00FC58F7">
        <w:rPr>
          <w:rFonts w:asciiTheme="minorHAnsi" w:eastAsiaTheme="minorHAnsi" w:hAnsiTheme="minorHAnsi" w:cs="Tahoma"/>
          <w:color w:val="01152B"/>
          <w:szCs w:val="22"/>
        </w:rPr>
        <w:t>will</w:t>
      </w:r>
      <w:r w:rsidRPr="00FC58F7">
        <w:rPr>
          <w:rFonts w:asciiTheme="minorHAnsi" w:eastAsiaTheme="minorHAnsi" w:hAnsiTheme="minorHAnsi" w:cs="Tahoma"/>
          <w:color w:val="01152B"/>
          <w:szCs w:val="22"/>
        </w:rPr>
        <w:t xml:space="preserve"> produce a list of possible federal, state and local licenses and permits required for </w:t>
      </w:r>
      <w:r w:rsidR="00FC58F7">
        <w:rPr>
          <w:rFonts w:asciiTheme="minorHAnsi" w:eastAsiaTheme="minorHAnsi" w:hAnsiTheme="minorHAnsi" w:cs="Tahoma"/>
          <w:color w:val="01152B"/>
          <w:szCs w:val="22"/>
        </w:rPr>
        <w:t>a new or existing</w:t>
      </w:r>
      <w:r w:rsidR="0044378D">
        <w:rPr>
          <w:rFonts w:asciiTheme="minorHAnsi" w:eastAsiaTheme="minorHAnsi" w:hAnsiTheme="minorHAnsi" w:cs="Tahoma"/>
          <w:color w:val="01152B"/>
          <w:szCs w:val="22"/>
        </w:rPr>
        <w:t xml:space="preserve"> business</w:t>
      </w:r>
      <w:r w:rsidRPr="00FC58F7">
        <w:rPr>
          <w:rFonts w:asciiTheme="minorHAnsi" w:eastAsiaTheme="minorHAnsi" w:hAnsiTheme="minorHAnsi" w:cs="Tahoma"/>
          <w:color w:val="01152B"/>
          <w:szCs w:val="22"/>
        </w:rPr>
        <w:t xml:space="preserve"> to reserve </w:t>
      </w:r>
      <w:r w:rsidR="00FC58F7">
        <w:rPr>
          <w:rFonts w:asciiTheme="minorHAnsi" w:eastAsiaTheme="minorHAnsi" w:hAnsiTheme="minorHAnsi" w:cs="Tahoma"/>
          <w:color w:val="01152B"/>
          <w:szCs w:val="22"/>
        </w:rPr>
        <w:t>a</w:t>
      </w:r>
      <w:r w:rsidR="0044378D">
        <w:rPr>
          <w:rFonts w:asciiTheme="minorHAnsi" w:eastAsiaTheme="minorHAnsi" w:hAnsiTheme="minorHAnsi" w:cs="Tahoma"/>
          <w:color w:val="01152B"/>
          <w:szCs w:val="22"/>
        </w:rPr>
        <w:t xml:space="preserve"> new business name and </w:t>
      </w:r>
      <w:r w:rsidRPr="00FC58F7">
        <w:rPr>
          <w:rFonts w:asciiTheme="minorHAnsi" w:eastAsiaTheme="minorHAnsi" w:hAnsiTheme="minorHAnsi" w:cs="Tahoma"/>
          <w:color w:val="01152B"/>
          <w:szCs w:val="22"/>
        </w:rPr>
        <w:t xml:space="preserve">complete </w:t>
      </w:r>
      <w:r w:rsidR="00FC58F7">
        <w:rPr>
          <w:rFonts w:asciiTheme="minorHAnsi" w:eastAsiaTheme="minorHAnsi" w:hAnsiTheme="minorHAnsi" w:cs="Tahoma"/>
          <w:color w:val="01152B"/>
          <w:szCs w:val="22"/>
        </w:rPr>
        <w:t>required</w:t>
      </w:r>
      <w:r w:rsidRPr="00FC58F7">
        <w:rPr>
          <w:rFonts w:asciiTheme="minorHAnsi" w:eastAsiaTheme="minorHAnsi" w:hAnsiTheme="minorHAnsi" w:cs="Tahoma"/>
          <w:color w:val="01152B"/>
          <w:szCs w:val="22"/>
        </w:rPr>
        <w:t xml:space="preserve"> new business filing</w:t>
      </w:r>
      <w:r w:rsidR="00FC58F7">
        <w:rPr>
          <w:rFonts w:asciiTheme="minorHAnsi" w:eastAsiaTheme="minorHAnsi" w:hAnsiTheme="minorHAnsi" w:cs="Tahoma"/>
          <w:color w:val="01152B"/>
          <w:szCs w:val="22"/>
        </w:rPr>
        <w:t>s</w:t>
      </w:r>
      <w:r w:rsidRPr="00FC58F7">
        <w:rPr>
          <w:rFonts w:asciiTheme="minorHAnsi" w:eastAsiaTheme="minorHAnsi" w:hAnsiTheme="minorHAnsi" w:cs="Tahoma"/>
          <w:color w:val="01152B"/>
          <w:szCs w:val="22"/>
        </w:rPr>
        <w:t xml:space="preserve">. </w:t>
      </w:r>
    </w:p>
    <w:p w14:paraId="72F2B152" w14:textId="5D8F2F0D" w:rsidR="00FC58F7" w:rsidRDefault="00FC58F7" w:rsidP="0063354A">
      <w:pPr>
        <w:spacing w:after="180"/>
        <w:jc w:val="both"/>
        <w:rPr>
          <w:rFonts w:asciiTheme="minorHAnsi" w:eastAsiaTheme="minorHAnsi" w:hAnsiTheme="minorHAnsi" w:cs="Tahoma"/>
          <w:color w:val="01152B"/>
          <w:szCs w:val="22"/>
        </w:rPr>
      </w:pPr>
      <w:r>
        <w:rPr>
          <w:rFonts w:asciiTheme="minorHAnsi" w:eastAsiaTheme="minorHAnsi" w:hAnsiTheme="minorHAnsi" w:cs="Tahoma"/>
          <w:i/>
          <w:color w:val="01152B"/>
          <w:szCs w:val="22"/>
        </w:rPr>
        <w:t xml:space="preserve">Part of earning the Micro-Enterprise Credential is going online to the </w:t>
      </w:r>
      <w:proofErr w:type="spellStart"/>
      <w:r>
        <w:rPr>
          <w:rFonts w:asciiTheme="minorHAnsi" w:eastAsiaTheme="minorHAnsi" w:hAnsiTheme="minorHAnsi" w:cs="Tahoma"/>
          <w:color w:val="01152B"/>
          <w:szCs w:val="22"/>
        </w:rPr>
        <w:t>geauxBIZ</w:t>
      </w:r>
      <w:proofErr w:type="spellEnd"/>
      <w:r>
        <w:rPr>
          <w:rFonts w:asciiTheme="minorHAnsi" w:eastAsiaTheme="minorHAnsi" w:hAnsiTheme="minorHAnsi" w:cs="Tahoma"/>
          <w:i/>
          <w:color w:val="01152B"/>
          <w:szCs w:val="22"/>
        </w:rPr>
        <w:t xml:space="preserve"> student portal to learn how to register a new business in Louisiana.</w:t>
      </w:r>
    </w:p>
    <w:p w14:paraId="4C2101CF" w14:textId="4E08DA11" w:rsidR="00FC58F7" w:rsidRDefault="00FC58F7" w:rsidP="0063354A">
      <w:pPr>
        <w:spacing w:after="180"/>
        <w:jc w:val="both"/>
        <w:rPr>
          <w:rFonts w:asciiTheme="minorHAnsi" w:eastAsiaTheme="minorHAnsi" w:hAnsiTheme="minorHAnsi" w:cs="Tahoma"/>
          <w:color w:val="01152B"/>
          <w:szCs w:val="22"/>
        </w:rPr>
      </w:pPr>
      <w:r>
        <w:rPr>
          <w:rFonts w:asciiTheme="minorHAnsi" w:eastAsiaTheme="minorHAnsi" w:hAnsiTheme="minorHAnsi" w:cs="Tahoma"/>
          <w:color w:val="01152B"/>
          <w:szCs w:val="22"/>
        </w:rPr>
        <w:t xml:space="preserve">The table </w:t>
      </w:r>
      <w:r w:rsidR="0044378D">
        <w:rPr>
          <w:rFonts w:asciiTheme="minorHAnsi" w:eastAsiaTheme="minorHAnsi" w:hAnsiTheme="minorHAnsi" w:cs="Tahoma"/>
          <w:color w:val="01152B"/>
          <w:szCs w:val="22"/>
        </w:rPr>
        <w:t>at the top of</w:t>
      </w:r>
      <w:r>
        <w:rPr>
          <w:rFonts w:asciiTheme="minorHAnsi" w:eastAsiaTheme="minorHAnsi" w:hAnsiTheme="minorHAnsi" w:cs="Tahoma"/>
          <w:color w:val="01152B"/>
          <w:szCs w:val="22"/>
        </w:rPr>
        <w:t xml:space="preserve"> the next page provides a bit more detail on the Louisiana state government agencies that play important roles in helping every small business operate, pay appropriate taxes, abide by important laws and take advantages of opportunities to grow and prosper.</w:t>
      </w:r>
    </w:p>
    <w:p w14:paraId="629C1C53" w14:textId="19F78CD9" w:rsidR="00FC58F7" w:rsidRDefault="00FC58F7">
      <w:pPr>
        <w:spacing w:after="200" w:line="276" w:lineRule="auto"/>
        <w:rPr>
          <w:rFonts w:asciiTheme="minorHAnsi" w:eastAsiaTheme="minorHAnsi" w:hAnsiTheme="minorHAnsi" w:cs="Tahoma"/>
          <w:color w:val="01152B"/>
          <w:szCs w:val="22"/>
        </w:rPr>
      </w:pPr>
      <w:r>
        <w:rPr>
          <w:rFonts w:asciiTheme="minorHAnsi" w:eastAsiaTheme="minorHAnsi" w:hAnsiTheme="minorHAnsi" w:cs="Tahoma"/>
          <w:color w:val="01152B"/>
          <w:szCs w:val="22"/>
        </w:rPr>
        <w:br w:type="page"/>
      </w:r>
    </w:p>
    <w:tbl>
      <w:tblPr>
        <w:tblStyle w:val="TableGrid"/>
        <w:tblW w:w="10818" w:type="dxa"/>
        <w:tblInd w:w="108" w:type="dxa"/>
        <w:tblLook w:val="04A0" w:firstRow="1" w:lastRow="0" w:firstColumn="1" w:lastColumn="0" w:noHBand="0" w:noVBand="1"/>
      </w:tblPr>
      <w:tblGrid>
        <w:gridCol w:w="1980"/>
        <w:gridCol w:w="8838"/>
      </w:tblGrid>
      <w:tr w:rsidR="001114B1" w14:paraId="26025C48" w14:textId="77777777" w:rsidTr="001114B1">
        <w:tc>
          <w:tcPr>
            <w:tcW w:w="1980" w:type="dxa"/>
            <w:vAlign w:val="center"/>
          </w:tcPr>
          <w:p w14:paraId="4736CAF8" w14:textId="549F336F" w:rsidR="00CB044E" w:rsidRPr="00CF6F80" w:rsidRDefault="00CB044E" w:rsidP="003432A5">
            <w:pPr>
              <w:spacing w:before="80" w:after="80"/>
              <w:jc w:val="center"/>
              <w:rPr>
                <w:b/>
              </w:rPr>
            </w:pPr>
            <w:r>
              <w:rPr>
                <w:b/>
              </w:rPr>
              <w:lastRenderedPageBreak/>
              <w:t>State Agency</w:t>
            </w:r>
          </w:p>
        </w:tc>
        <w:tc>
          <w:tcPr>
            <w:tcW w:w="8838" w:type="dxa"/>
            <w:vAlign w:val="center"/>
          </w:tcPr>
          <w:p w14:paraId="7D364502" w14:textId="38E292D8" w:rsidR="00CB044E" w:rsidRPr="00CF6F80" w:rsidRDefault="00F95231" w:rsidP="003432A5">
            <w:pPr>
              <w:spacing w:before="80" w:after="80"/>
              <w:jc w:val="center"/>
              <w:rPr>
                <w:b/>
              </w:rPr>
            </w:pPr>
            <w:r>
              <w:rPr>
                <w:b/>
              </w:rPr>
              <w:t>Purpose / Responsibilities</w:t>
            </w:r>
          </w:p>
        </w:tc>
      </w:tr>
      <w:tr w:rsidR="001114B1" w14:paraId="77A353FE" w14:textId="77777777" w:rsidTr="001114B1">
        <w:tc>
          <w:tcPr>
            <w:tcW w:w="1980" w:type="dxa"/>
            <w:vAlign w:val="center"/>
          </w:tcPr>
          <w:p w14:paraId="439B080E" w14:textId="40396A9D" w:rsidR="00CB044E" w:rsidRDefault="00D66648" w:rsidP="003432A5">
            <w:pPr>
              <w:spacing w:before="80" w:after="80"/>
            </w:pPr>
            <w:r>
              <w:t>Louisiana Secretary of State</w:t>
            </w:r>
          </w:p>
        </w:tc>
        <w:tc>
          <w:tcPr>
            <w:tcW w:w="8838" w:type="dxa"/>
            <w:vAlign w:val="center"/>
          </w:tcPr>
          <w:p w14:paraId="267C86AE" w14:textId="1548FAD8" w:rsidR="00CB044E" w:rsidRDefault="00F95231" w:rsidP="00F95231">
            <w:pPr>
              <w:pStyle w:val="ListParagraph"/>
              <w:numPr>
                <w:ilvl w:val="0"/>
                <w:numId w:val="21"/>
              </w:numPr>
              <w:spacing w:before="60" w:after="60"/>
              <w:ind w:left="260" w:hanging="274"/>
              <w:contextualSpacing w:val="0"/>
              <w:jc w:val="both"/>
              <w:rPr>
                <w:rFonts w:asciiTheme="minorHAnsi" w:hAnsiTheme="minorHAnsi"/>
                <w:sz w:val="20"/>
                <w:szCs w:val="20"/>
              </w:rPr>
            </w:pPr>
            <w:r>
              <w:rPr>
                <w:rFonts w:asciiTheme="minorHAnsi" w:hAnsiTheme="minorHAnsi"/>
                <w:sz w:val="20"/>
                <w:szCs w:val="20"/>
              </w:rPr>
              <w:t>Help start</w:t>
            </w:r>
            <w:r w:rsidR="001114B1">
              <w:rPr>
                <w:rFonts w:asciiTheme="minorHAnsi" w:hAnsiTheme="minorHAnsi"/>
                <w:sz w:val="20"/>
                <w:szCs w:val="20"/>
              </w:rPr>
              <w:t xml:space="preserve"> </w:t>
            </w:r>
            <w:r>
              <w:rPr>
                <w:rFonts w:asciiTheme="minorHAnsi" w:hAnsiTheme="minorHAnsi"/>
                <w:sz w:val="20"/>
                <w:szCs w:val="20"/>
              </w:rPr>
              <w:t>new business</w:t>
            </w:r>
            <w:r w:rsidR="001114B1">
              <w:rPr>
                <w:rFonts w:asciiTheme="minorHAnsi" w:hAnsiTheme="minorHAnsi"/>
                <w:sz w:val="20"/>
                <w:szCs w:val="20"/>
              </w:rPr>
              <w:t>es</w:t>
            </w:r>
            <w:r>
              <w:rPr>
                <w:rFonts w:asciiTheme="minorHAnsi" w:hAnsiTheme="minorHAnsi"/>
                <w:sz w:val="20"/>
                <w:szCs w:val="20"/>
              </w:rPr>
              <w:t xml:space="preserve"> by determining the federal, state and local forms they must file</w:t>
            </w:r>
          </w:p>
          <w:p w14:paraId="21A866D5" w14:textId="0AAE2280" w:rsidR="00F95231" w:rsidRPr="00F95231" w:rsidRDefault="00F95231" w:rsidP="00F95231">
            <w:pPr>
              <w:pStyle w:val="ListParagraph"/>
              <w:numPr>
                <w:ilvl w:val="0"/>
                <w:numId w:val="21"/>
              </w:numPr>
              <w:spacing w:before="60" w:after="60"/>
              <w:ind w:left="260" w:hanging="274"/>
              <w:contextualSpacing w:val="0"/>
              <w:jc w:val="both"/>
              <w:rPr>
                <w:rFonts w:asciiTheme="minorHAnsi" w:hAnsiTheme="minorHAnsi"/>
                <w:sz w:val="20"/>
                <w:szCs w:val="20"/>
              </w:rPr>
            </w:pPr>
            <w:r>
              <w:rPr>
                <w:rFonts w:asciiTheme="minorHAnsi" w:hAnsiTheme="minorHAnsi"/>
                <w:sz w:val="20"/>
                <w:szCs w:val="20"/>
              </w:rPr>
              <w:t xml:space="preserve">Secure </w:t>
            </w:r>
            <w:r w:rsidR="001114B1">
              <w:rPr>
                <w:rFonts w:asciiTheme="minorHAnsi" w:hAnsiTheme="minorHAnsi"/>
                <w:sz w:val="20"/>
                <w:szCs w:val="20"/>
              </w:rPr>
              <w:t>a start-up’s</w:t>
            </w:r>
            <w:r>
              <w:rPr>
                <w:rFonts w:asciiTheme="minorHAnsi" w:hAnsiTheme="minorHAnsi"/>
                <w:sz w:val="20"/>
                <w:szCs w:val="20"/>
              </w:rPr>
              <w:t xml:space="preserve"> business name</w:t>
            </w:r>
          </w:p>
          <w:p w14:paraId="12478E17" w14:textId="6196DDC2" w:rsidR="00CB044E" w:rsidRPr="00F95231" w:rsidRDefault="00F95231" w:rsidP="00F95231">
            <w:pPr>
              <w:pStyle w:val="ListParagraph"/>
              <w:numPr>
                <w:ilvl w:val="0"/>
                <w:numId w:val="21"/>
              </w:numPr>
              <w:spacing w:before="60" w:after="60"/>
              <w:ind w:left="260" w:hanging="274"/>
              <w:contextualSpacing w:val="0"/>
              <w:jc w:val="both"/>
              <w:rPr>
                <w:rFonts w:asciiTheme="minorHAnsi" w:hAnsiTheme="minorHAnsi"/>
                <w:sz w:val="20"/>
                <w:szCs w:val="20"/>
              </w:rPr>
            </w:pPr>
            <w:r>
              <w:rPr>
                <w:rFonts w:asciiTheme="minorHAnsi" w:hAnsiTheme="minorHAnsi"/>
                <w:sz w:val="20"/>
                <w:szCs w:val="20"/>
              </w:rPr>
              <w:t>File the forms necessary to form a business entity (partnership, corporation, etc.)</w:t>
            </w:r>
          </w:p>
          <w:p w14:paraId="5E22C9C4" w14:textId="1AA37D6E" w:rsidR="00CB044E" w:rsidRPr="00F95231" w:rsidRDefault="00F95231" w:rsidP="00F95231">
            <w:pPr>
              <w:pStyle w:val="ListParagraph"/>
              <w:numPr>
                <w:ilvl w:val="0"/>
                <w:numId w:val="21"/>
              </w:numPr>
              <w:spacing w:before="60" w:after="60"/>
              <w:ind w:left="260" w:hanging="274"/>
              <w:contextualSpacing w:val="0"/>
              <w:jc w:val="both"/>
              <w:rPr>
                <w:rFonts w:asciiTheme="minorHAnsi" w:hAnsiTheme="minorHAnsi"/>
                <w:sz w:val="20"/>
                <w:szCs w:val="20"/>
              </w:rPr>
            </w:pPr>
            <w:r>
              <w:rPr>
                <w:rFonts w:asciiTheme="minorHAnsi" w:hAnsiTheme="minorHAnsi"/>
                <w:sz w:val="20"/>
                <w:szCs w:val="20"/>
              </w:rPr>
              <w:t xml:space="preserve">Maintain the forms necessary to operate a business in good standing (example:  annual report) </w:t>
            </w:r>
          </w:p>
        </w:tc>
      </w:tr>
      <w:tr w:rsidR="001114B1" w14:paraId="2F67B671" w14:textId="77777777" w:rsidTr="001114B1">
        <w:tc>
          <w:tcPr>
            <w:tcW w:w="1980" w:type="dxa"/>
            <w:vAlign w:val="center"/>
          </w:tcPr>
          <w:p w14:paraId="4FDA37C6" w14:textId="775F2F7B" w:rsidR="00CB044E" w:rsidRDefault="00D66648" w:rsidP="003432A5">
            <w:pPr>
              <w:spacing w:before="80" w:after="80"/>
            </w:pPr>
            <w:r>
              <w:t>Louisiana Workforce Commission</w:t>
            </w:r>
            <w:r w:rsidR="00F95231">
              <w:t xml:space="preserve"> (LWC)</w:t>
            </w:r>
          </w:p>
        </w:tc>
        <w:tc>
          <w:tcPr>
            <w:tcW w:w="8838" w:type="dxa"/>
            <w:vAlign w:val="center"/>
          </w:tcPr>
          <w:p w14:paraId="50AE4F11" w14:textId="02E2A1C5" w:rsidR="00D66648" w:rsidRPr="00F95231" w:rsidRDefault="00D66648" w:rsidP="00F95231">
            <w:pPr>
              <w:pStyle w:val="ListParagraph"/>
              <w:numPr>
                <w:ilvl w:val="0"/>
                <w:numId w:val="22"/>
              </w:numPr>
              <w:spacing w:before="60" w:after="60"/>
              <w:ind w:left="260" w:hanging="274"/>
              <w:contextualSpacing w:val="0"/>
              <w:jc w:val="both"/>
              <w:rPr>
                <w:rFonts w:asciiTheme="minorHAnsi" w:eastAsiaTheme="minorHAnsi" w:hAnsiTheme="minorHAnsi" w:cs="Tahoma"/>
                <w:color w:val="01152B"/>
                <w:sz w:val="20"/>
                <w:szCs w:val="20"/>
              </w:rPr>
            </w:pPr>
            <w:r w:rsidRPr="00F95231">
              <w:rPr>
                <w:rFonts w:asciiTheme="minorHAnsi" w:eastAsiaTheme="minorHAnsi" w:hAnsiTheme="minorHAnsi" w:cs="Tahoma"/>
                <w:color w:val="01152B"/>
                <w:sz w:val="20"/>
                <w:szCs w:val="20"/>
              </w:rPr>
              <w:t>File Wages and Pay Taxes</w:t>
            </w:r>
            <w:r w:rsidR="00F95231">
              <w:rPr>
                <w:rFonts w:asciiTheme="minorHAnsi" w:eastAsiaTheme="minorHAnsi" w:hAnsiTheme="minorHAnsi" w:cs="Tahoma"/>
                <w:color w:val="01152B"/>
                <w:sz w:val="20"/>
                <w:szCs w:val="20"/>
              </w:rPr>
              <w:t xml:space="preserve"> – help e</w:t>
            </w:r>
            <w:r w:rsidRPr="00F95231">
              <w:rPr>
                <w:rFonts w:asciiTheme="minorHAnsi" w:eastAsiaTheme="minorHAnsi" w:hAnsiTheme="minorHAnsi" w:cs="Arial"/>
                <w:sz w:val="20"/>
                <w:szCs w:val="20"/>
              </w:rPr>
              <w:t xml:space="preserve">mployers and representatives submit tax reports </w:t>
            </w:r>
            <w:r w:rsidR="001114B1">
              <w:rPr>
                <w:rFonts w:asciiTheme="minorHAnsi" w:eastAsiaTheme="minorHAnsi" w:hAnsiTheme="minorHAnsi" w:cs="Arial"/>
                <w:sz w:val="20"/>
                <w:szCs w:val="20"/>
              </w:rPr>
              <w:t>and pay their taxes.</w:t>
            </w:r>
          </w:p>
          <w:p w14:paraId="250BCCBC" w14:textId="7152598C" w:rsidR="00F95231" w:rsidRPr="001114B1" w:rsidRDefault="00D66648" w:rsidP="00F95231">
            <w:pPr>
              <w:pStyle w:val="ListParagraph"/>
              <w:numPr>
                <w:ilvl w:val="0"/>
                <w:numId w:val="22"/>
              </w:numPr>
              <w:spacing w:before="60" w:after="60"/>
              <w:ind w:left="260" w:hanging="274"/>
              <w:contextualSpacing w:val="0"/>
              <w:jc w:val="both"/>
              <w:rPr>
                <w:rFonts w:asciiTheme="minorHAnsi" w:eastAsiaTheme="minorHAnsi" w:hAnsiTheme="minorHAnsi" w:cs="Arial"/>
                <w:b/>
                <w:bCs/>
                <w:sz w:val="20"/>
                <w:szCs w:val="20"/>
              </w:rPr>
            </w:pPr>
            <w:r w:rsidRPr="001114B1">
              <w:rPr>
                <w:rFonts w:asciiTheme="minorHAnsi" w:eastAsiaTheme="minorHAnsi" w:hAnsiTheme="minorHAnsi" w:cs="Tahoma"/>
                <w:sz w:val="20"/>
                <w:szCs w:val="20"/>
              </w:rPr>
              <w:t>Unemployment Insurance</w:t>
            </w:r>
            <w:r w:rsidR="00F95231" w:rsidRPr="001114B1">
              <w:rPr>
                <w:rFonts w:asciiTheme="minorHAnsi" w:eastAsiaTheme="minorHAnsi" w:hAnsiTheme="minorHAnsi" w:cs="Tahoma"/>
                <w:sz w:val="20"/>
                <w:szCs w:val="20"/>
              </w:rPr>
              <w:t xml:space="preserve"> </w:t>
            </w:r>
            <w:r w:rsidR="001114B1" w:rsidRPr="001114B1">
              <w:rPr>
                <w:rFonts w:asciiTheme="minorHAnsi" w:eastAsiaTheme="minorHAnsi" w:hAnsiTheme="minorHAnsi" w:cs="Tahoma"/>
                <w:sz w:val="20"/>
                <w:szCs w:val="20"/>
              </w:rPr>
              <w:t xml:space="preserve">– </w:t>
            </w:r>
            <w:r w:rsidR="001114B1">
              <w:rPr>
                <w:rFonts w:asciiTheme="minorHAnsi" w:eastAsiaTheme="minorHAnsi" w:hAnsiTheme="minorHAnsi" w:cs="Tahoma"/>
                <w:sz w:val="20"/>
                <w:szCs w:val="20"/>
              </w:rPr>
              <w:t xml:space="preserve">maintain the program that provides </w:t>
            </w:r>
            <w:r w:rsidR="001114B1" w:rsidRPr="001114B1">
              <w:rPr>
                <w:rFonts w:asciiTheme="minorHAnsi" w:eastAsiaTheme="minorHAnsi" w:hAnsiTheme="minorHAnsi" w:cs="Arial"/>
                <w:sz w:val="20"/>
                <w:szCs w:val="20"/>
              </w:rPr>
              <w:t>temporary financial assistance to workers who are unemployed through no fault of their own</w:t>
            </w:r>
            <w:r w:rsidR="001114B1">
              <w:rPr>
                <w:rFonts w:asciiTheme="minorHAnsi" w:eastAsiaTheme="minorHAnsi" w:hAnsiTheme="minorHAnsi" w:cs="Arial"/>
                <w:sz w:val="20"/>
                <w:szCs w:val="20"/>
              </w:rPr>
              <w:t>.</w:t>
            </w:r>
          </w:p>
          <w:p w14:paraId="2C1FA457" w14:textId="7D4038A5" w:rsidR="00D66648" w:rsidRPr="00F95231" w:rsidRDefault="00F95231" w:rsidP="00F95231">
            <w:pPr>
              <w:pStyle w:val="ListParagraph"/>
              <w:numPr>
                <w:ilvl w:val="0"/>
                <w:numId w:val="22"/>
              </w:numPr>
              <w:spacing w:before="60" w:after="60"/>
              <w:ind w:left="260" w:hanging="274"/>
              <w:contextualSpacing w:val="0"/>
              <w:jc w:val="both"/>
              <w:rPr>
                <w:rFonts w:asciiTheme="minorHAnsi" w:eastAsiaTheme="minorHAnsi" w:hAnsiTheme="minorHAnsi" w:cs="Arial"/>
                <w:b/>
                <w:bCs/>
                <w:color w:val="032553"/>
                <w:sz w:val="20"/>
                <w:szCs w:val="20"/>
              </w:rPr>
            </w:pPr>
            <w:r>
              <w:rPr>
                <w:rFonts w:asciiTheme="minorHAnsi" w:eastAsiaTheme="minorHAnsi" w:hAnsiTheme="minorHAnsi" w:cs="Tahoma"/>
                <w:color w:val="01152B"/>
                <w:sz w:val="20"/>
                <w:szCs w:val="20"/>
              </w:rPr>
              <w:t>Workers’ Compen</w:t>
            </w:r>
            <w:r w:rsidRPr="00F95231">
              <w:rPr>
                <w:rFonts w:asciiTheme="minorHAnsi" w:eastAsiaTheme="minorHAnsi" w:hAnsiTheme="minorHAnsi" w:cs="Tahoma"/>
                <w:sz w:val="20"/>
                <w:szCs w:val="20"/>
              </w:rPr>
              <w:t>sation – help</w:t>
            </w:r>
            <w:r w:rsidR="00D66648" w:rsidRPr="00F95231">
              <w:rPr>
                <w:rFonts w:asciiTheme="minorHAnsi" w:eastAsiaTheme="minorHAnsi" w:hAnsiTheme="minorHAnsi" w:cs="Arial"/>
                <w:bCs/>
                <w:sz w:val="20"/>
                <w:szCs w:val="20"/>
              </w:rPr>
              <w:t xml:space="preserve"> employers obtain and maintain workers’ compensation insur</w:t>
            </w:r>
            <w:r w:rsidRPr="00F95231">
              <w:rPr>
                <w:rFonts w:asciiTheme="minorHAnsi" w:eastAsiaTheme="minorHAnsi" w:hAnsiTheme="minorHAnsi" w:cs="Arial"/>
                <w:bCs/>
                <w:sz w:val="20"/>
                <w:szCs w:val="20"/>
              </w:rPr>
              <w:t>ance for all of their employees</w:t>
            </w:r>
            <w:r w:rsidR="001114B1">
              <w:rPr>
                <w:rFonts w:asciiTheme="minorHAnsi" w:eastAsiaTheme="minorHAnsi" w:hAnsiTheme="minorHAnsi" w:cs="Arial"/>
                <w:bCs/>
                <w:sz w:val="20"/>
                <w:szCs w:val="20"/>
              </w:rPr>
              <w:t>.</w:t>
            </w:r>
            <w:r w:rsidRPr="00F95231">
              <w:rPr>
                <w:rFonts w:asciiTheme="minorHAnsi" w:eastAsiaTheme="minorHAnsi" w:hAnsiTheme="minorHAnsi" w:cs="Arial"/>
                <w:bCs/>
                <w:sz w:val="20"/>
                <w:szCs w:val="20"/>
              </w:rPr>
              <w:t xml:space="preserve"> (“</w:t>
            </w:r>
            <w:r w:rsidR="001114B1">
              <w:rPr>
                <w:rFonts w:asciiTheme="minorHAnsi" w:eastAsiaTheme="minorHAnsi" w:hAnsiTheme="minorHAnsi" w:cs="Arial"/>
                <w:bCs/>
                <w:sz w:val="20"/>
                <w:szCs w:val="20"/>
              </w:rPr>
              <w:t>W</w:t>
            </w:r>
            <w:r w:rsidRPr="00F95231">
              <w:rPr>
                <w:rFonts w:asciiTheme="minorHAnsi" w:eastAsiaTheme="minorHAnsi" w:hAnsiTheme="minorHAnsi" w:cs="Arial"/>
                <w:bCs/>
                <w:sz w:val="20"/>
                <w:szCs w:val="20"/>
              </w:rPr>
              <w:t xml:space="preserve">orkers’ </w:t>
            </w:r>
            <w:r w:rsidR="001114B1">
              <w:rPr>
                <w:rFonts w:asciiTheme="minorHAnsi" w:eastAsiaTheme="minorHAnsi" w:hAnsiTheme="minorHAnsi" w:cs="Arial"/>
                <w:bCs/>
                <w:sz w:val="20"/>
                <w:szCs w:val="20"/>
              </w:rPr>
              <w:t>C</w:t>
            </w:r>
            <w:r w:rsidRPr="00F95231">
              <w:rPr>
                <w:rFonts w:asciiTheme="minorHAnsi" w:eastAsiaTheme="minorHAnsi" w:hAnsiTheme="minorHAnsi" w:cs="Arial"/>
                <w:bCs/>
                <w:sz w:val="20"/>
                <w:szCs w:val="20"/>
              </w:rPr>
              <w:t>ompensation” pays benefits to workers injured on the job</w:t>
            </w:r>
            <w:r w:rsidR="001114B1">
              <w:rPr>
                <w:rFonts w:asciiTheme="minorHAnsi" w:eastAsiaTheme="minorHAnsi" w:hAnsiTheme="minorHAnsi" w:cs="Arial"/>
                <w:bCs/>
                <w:sz w:val="20"/>
                <w:szCs w:val="20"/>
              </w:rPr>
              <w:t>, including payment for medical care and vocational rehabilitation services.</w:t>
            </w:r>
            <w:r w:rsidRPr="00F95231">
              <w:rPr>
                <w:rFonts w:asciiTheme="minorHAnsi" w:eastAsiaTheme="minorHAnsi" w:hAnsiTheme="minorHAnsi" w:cs="Arial"/>
                <w:bCs/>
                <w:sz w:val="20"/>
                <w:szCs w:val="20"/>
              </w:rPr>
              <w:t>)</w:t>
            </w:r>
          </w:p>
          <w:p w14:paraId="08734DFB" w14:textId="2FED5DC0" w:rsidR="00D66648" w:rsidRPr="00F95231" w:rsidRDefault="0044378D" w:rsidP="00C00ACD">
            <w:pPr>
              <w:pStyle w:val="ListParagraph"/>
              <w:numPr>
                <w:ilvl w:val="0"/>
                <w:numId w:val="22"/>
              </w:numPr>
              <w:spacing w:before="40" w:after="40"/>
              <w:ind w:left="260" w:hanging="274"/>
              <w:contextualSpacing w:val="0"/>
              <w:jc w:val="both"/>
              <w:rPr>
                <w:rFonts w:asciiTheme="minorHAnsi" w:eastAsiaTheme="minorHAnsi" w:hAnsiTheme="minorHAnsi" w:cs="Arial"/>
                <w:sz w:val="20"/>
                <w:szCs w:val="20"/>
              </w:rPr>
            </w:pPr>
            <w:r>
              <w:rPr>
                <w:rFonts w:asciiTheme="minorHAnsi" w:eastAsiaTheme="minorHAnsi" w:hAnsiTheme="minorHAnsi" w:cs="Tahoma"/>
                <w:color w:val="01152B"/>
                <w:sz w:val="20"/>
                <w:szCs w:val="20"/>
              </w:rPr>
              <w:t xml:space="preserve">Find, Train and Retain </w:t>
            </w:r>
            <w:r w:rsidR="00D66648" w:rsidRPr="00F95231">
              <w:rPr>
                <w:rFonts w:asciiTheme="minorHAnsi" w:eastAsiaTheme="minorHAnsi" w:hAnsiTheme="minorHAnsi" w:cs="Tahoma"/>
                <w:color w:val="01152B"/>
                <w:sz w:val="20"/>
                <w:szCs w:val="20"/>
              </w:rPr>
              <w:t>Workers</w:t>
            </w:r>
            <w:r w:rsidR="001114B1">
              <w:rPr>
                <w:rFonts w:asciiTheme="minorHAnsi" w:eastAsiaTheme="minorHAnsi" w:hAnsiTheme="minorHAnsi" w:cs="Tahoma"/>
                <w:color w:val="01152B"/>
                <w:sz w:val="20"/>
                <w:szCs w:val="20"/>
              </w:rPr>
              <w:t xml:space="preserve"> – offer a variety of services that help Louisiana businesses find, train and retain effective employees.  These services include:</w:t>
            </w:r>
            <w:r w:rsidR="00D66648" w:rsidRPr="00F95231">
              <w:rPr>
                <w:rFonts w:asciiTheme="minorHAnsi" w:eastAsiaTheme="minorHAnsi" w:hAnsiTheme="minorHAnsi" w:cs="Tahoma"/>
                <w:color w:val="01152B"/>
                <w:sz w:val="20"/>
                <w:szCs w:val="20"/>
              </w:rPr>
              <w:t xml:space="preserve"> </w:t>
            </w:r>
          </w:p>
          <w:p w14:paraId="2A03E630" w14:textId="77777777" w:rsidR="00D66648" w:rsidRPr="00F95231" w:rsidRDefault="00D66648" w:rsidP="00C00ACD">
            <w:pPr>
              <w:widowControl w:val="0"/>
              <w:numPr>
                <w:ilvl w:val="0"/>
                <w:numId w:val="20"/>
              </w:numPr>
              <w:tabs>
                <w:tab w:val="left" w:pos="528"/>
                <w:tab w:val="left" w:pos="888"/>
              </w:tabs>
              <w:autoSpaceDE w:val="0"/>
              <w:autoSpaceDN w:val="0"/>
              <w:adjustRightInd w:val="0"/>
              <w:spacing w:before="40" w:after="40"/>
              <w:ind w:left="888" w:hanging="270"/>
              <w:rPr>
                <w:rFonts w:asciiTheme="minorHAnsi" w:eastAsiaTheme="minorHAnsi" w:hAnsiTheme="minorHAnsi" w:cs="Arial"/>
                <w:sz w:val="20"/>
                <w:szCs w:val="20"/>
              </w:rPr>
            </w:pPr>
            <w:r w:rsidRPr="00F95231">
              <w:rPr>
                <w:rFonts w:asciiTheme="minorHAnsi" w:eastAsiaTheme="minorHAnsi" w:hAnsiTheme="minorHAnsi" w:cs="Arial"/>
                <w:sz w:val="20"/>
                <w:szCs w:val="20"/>
              </w:rPr>
              <w:t>Online local, state and national job listings</w:t>
            </w:r>
          </w:p>
          <w:p w14:paraId="72A29048" w14:textId="77777777" w:rsidR="00D66648" w:rsidRPr="00F95231" w:rsidRDefault="00D66648" w:rsidP="00C00ACD">
            <w:pPr>
              <w:widowControl w:val="0"/>
              <w:numPr>
                <w:ilvl w:val="0"/>
                <w:numId w:val="20"/>
              </w:numPr>
              <w:tabs>
                <w:tab w:val="left" w:pos="528"/>
                <w:tab w:val="left" w:pos="888"/>
              </w:tabs>
              <w:autoSpaceDE w:val="0"/>
              <w:autoSpaceDN w:val="0"/>
              <w:adjustRightInd w:val="0"/>
              <w:spacing w:before="40" w:after="40"/>
              <w:ind w:left="888" w:hanging="270"/>
              <w:rPr>
                <w:rFonts w:asciiTheme="minorHAnsi" w:eastAsiaTheme="minorHAnsi" w:hAnsiTheme="minorHAnsi" w:cs="Arial"/>
                <w:sz w:val="20"/>
                <w:szCs w:val="20"/>
              </w:rPr>
            </w:pPr>
            <w:r w:rsidRPr="00F95231">
              <w:rPr>
                <w:rFonts w:asciiTheme="minorHAnsi" w:eastAsiaTheme="minorHAnsi" w:hAnsiTheme="minorHAnsi" w:cs="Arial"/>
                <w:sz w:val="20"/>
                <w:szCs w:val="20"/>
              </w:rPr>
              <w:t>Assessments of education, skills and interests</w:t>
            </w:r>
          </w:p>
          <w:p w14:paraId="618619FB" w14:textId="77777777" w:rsidR="00D66648" w:rsidRPr="00F95231" w:rsidRDefault="00D66648" w:rsidP="00C00ACD">
            <w:pPr>
              <w:widowControl w:val="0"/>
              <w:numPr>
                <w:ilvl w:val="0"/>
                <w:numId w:val="20"/>
              </w:numPr>
              <w:tabs>
                <w:tab w:val="left" w:pos="528"/>
                <w:tab w:val="left" w:pos="888"/>
              </w:tabs>
              <w:autoSpaceDE w:val="0"/>
              <w:autoSpaceDN w:val="0"/>
              <w:adjustRightInd w:val="0"/>
              <w:spacing w:before="40" w:after="40"/>
              <w:ind w:left="888" w:hanging="270"/>
              <w:rPr>
                <w:rFonts w:asciiTheme="minorHAnsi" w:eastAsiaTheme="minorHAnsi" w:hAnsiTheme="minorHAnsi" w:cs="Arial"/>
                <w:sz w:val="20"/>
                <w:szCs w:val="20"/>
              </w:rPr>
            </w:pPr>
            <w:r w:rsidRPr="00F95231">
              <w:rPr>
                <w:rFonts w:asciiTheme="minorHAnsi" w:eastAsiaTheme="minorHAnsi" w:hAnsiTheme="minorHAnsi" w:cs="Arial"/>
                <w:sz w:val="20"/>
                <w:szCs w:val="20"/>
              </w:rPr>
              <w:t>Job counseling, job placement assistance and referrals</w:t>
            </w:r>
          </w:p>
          <w:p w14:paraId="3265031C" w14:textId="77777777" w:rsidR="00D66648" w:rsidRPr="00F95231" w:rsidRDefault="00D66648" w:rsidP="00C00ACD">
            <w:pPr>
              <w:widowControl w:val="0"/>
              <w:numPr>
                <w:ilvl w:val="0"/>
                <w:numId w:val="20"/>
              </w:numPr>
              <w:tabs>
                <w:tab w:val="left" w:pos="528"/>
                <w:tab w:val="left" w:pos="888"/>
              </w:tabs>
              <w:autoSpaceDE w:val="0"/>
              <w:autoSpaceDN w:val="0"/>
              <w:adjustRightInd w:val="0"/>
              <w:spacing w:before="40" w:after="40"/>
              <w:ind w:left="888" w:hanging="270"/>
              <w:rPr>
                <w:rFonts w:asciiTheme="minorHAnsi" w:eastAsiaTheme="minorHAnsi" w:hAnsiTheme="minorHAnsi" w:cs="Arial"/>
                <w:sz w:val="20"/>
                <w:szCs w:val="20"/>
              </w:rPr>
            </w:pPr>
            <w:r w:rsidRPr="00F95231">
              <w:rPr>
                <w:rFonts w:asciiTheme="minorHAnsi" w:eastAsiaTheme="minorHAnsi" w:hAnsiTheme="minorHAnsi" w:cs="Arial"/>
                <w:sz w:val="20"/>
                <w:szCs w:val="20"/>
              </w:rPr>
              <w:t>Education and training information</w:t>
            </w:r>
          </w:p>
          <w:p w14:paraId="68352029" w14:textId="77777777" w:rsidR="00D66648" w:rsidRPr="00F95231" w:rsidRDefault="00D66648" w:rsidP="00C00ACD">
            <w:pPr>
              <w:widowControl w:val="0"/>
              <w:numPr>
                <w:ilvl w:val="0"/>
                <w:numId w:val="20"/>
              </w:numPr>
              <w:tabs>
                <w:tab w:val="left" w:pos="528"/>
                <w:tab w:val="left" w:pos="888"/>
              </w:tabs>
              <w:autoSpaceDE w:val="0"/>
              <w:autoSpaceDN w:val="0"/>
              <w:adjustRightInd w:val="0"/>
              <w:spacing w:before="40" w:after="40"/>
              <w:ind w:left="888" w:hanging="270"/>
              <w:rPr>
                <w:rFonts w:asciiTheme="minorHAnsi" w:eastAsiaTheme="minorHAnsi" w:hAnsiTheme="minorHAnsi" w:cs="Arial"/>
                <w:sz w:val="20"/>
                <w:szCs w:val="20"/>
              </w:rPr>
            </w:pPr>
            <w:r w:rsidRPr="00F95231">
              <w:rPr>
                <w:rFonts w:asciiTheme="minorHAnsi" w:eastAsiaTheme="minorHAnsi" w:hAnsiTheme="minorHAnsi" w:cs="Arial"/>
                <w:sz w:val="20"/>
                <w:szCs w:val="20"/>
              </w:rPr>
              <w:t>Labor market information</w:t>
            </w:r>
          </w:p>
          <w:p w14:paraId="591FC0AD" w14:textId="77777777" w:rsidR="00D66648" w:rsidRPr="00F95231" w:rsidRDefault="00D66648" w:rsidP="00C00ACD">
            <w:pPr>
              <w:widowControl w:val="0"/>
              <w:numPr>
                <w:ilvl w:val="0"/>
                <w:numId w:val="20"/>
              </w:numPr>
              <w:tabs>
                <w:tab w:val="left" w:pos="528"/>
                <w:tab w:val="left" w:pos="888"/>
              </w:tabs>
              <w:autoSpaceDE w:val="0"/>
              <w:autoSpaceDN w:val="0"/>
              <w:adjustRightInd w:val="0"/>
              <w:spacing w:before="40" w:after="40"/>
              <w:ind w:left="888" w:hanging="270"/>
              <w:rPr>
                <w:rFonts w:asciiTheme="minorHAnsi" w:eastAsiaTheme="minorHAnsi" w:hAnsiTheme="minorHAnsi" w:cs="Arial"/>
                <w:sz w:val="20"/>
                <w:szCs w:val="20"/>
              </w:rPr>
            </w:pPr>
            <w:r w:rsidRPr="00F95231">
              <w:rPr>
                <w:rFonts w:asciiTheme="minorHAnsi" w:eastAsiaTheme="minorHAnsi" w:hAnsiTheme="minorHAnsi" w:cs="Arial"/>
                <w:sz w:val="20"/>
                <w:szCs w:val="20"/>
              </w:rPr>
              <w:t>Access to computers, fax and copy machines</w:t>
            </w:r>
          </w:p>
          <w:p w14:paraId="2387E4F8" w14:textId="61589F66" w:rsidR="00CB044E" w:rsidRPr="001114B1" w:rsidRDefault="00D66648" w:rsidP="00C00ACD">
            <w:pPr>
              <w:widowControl w:val="0"/>
              <w:numPr>
                <w:ilvl w:val="0"/>
                <w:numId w:val="20"/>
              </w:numPr>
              <w:tabs>
                <w:tab w:val="left" w:pos="528"/>
                <w:tab w:val="left" w:pos="888"/>
              </w:tabs>
              <w:autoSpaceDE w:val="0"/>
              <w:autoSpaceDN w:val="0"/>
              <w:adjustRightInd w:val="0"/>
              <w:spacing w:before="40" w:after="40"/>
              <w:ind w:left="888" w:hanging="270"/>
              <w:rPr>
                <w:rFonts w:asciiTheme="minorHAnsi" w:eastAsiaTheme="minorHAnsi" w:hAnsiTheme="minorHAnsi" w:cs="Arial"/>
                <w:sz w:val="20"/>
                <w:szCs w:val="20"/>
              </w:rPr>
            </w:pPr>
            <w:r w:rsidRPr="00F95231">
              <w:rPr>
                <w:rFonts w:asciiTheme="minorHAnsi" w:eastAsiaTheme="minorHAnsi" w:hAnsiTheme="minorHAnsi" w:cs="Arial"/>
                <w:sz w:val="20"/>
                <w:szCs w:val="20"/>
              </w:rPr>
              <w:t>Veterans’ services</w:t>
            </w:r>
          </w:p>
        </w:tc>
      </w:tr>
      <w:tr w:rsidR="001114B1" w14:paraId="7695D4EC" w14:textId="77777777" w:rsidTr="001114B1">
        <w:tc>
          <w:tcPr>
            <w:tcW w:w="1980" w:type="dxa"/>
            <w:vAlign w:val="center"/>
          </w:tcPr>
          <w:p w14:paraId="6DB5E203" w14:textId="19AD73A7" w:rsidR="00D66648" w:rsidRDefault="00D66648" w:rsidP="003432A5">
            <w:pPr>
              <w:spacing w:before="80" w:after="80"/>
            </w:pPr>
            <w:r>
              <w:t>Louisiana Department of Revenue</w:t>
            </w:r>
            <w:r w:rsidR="00F95231">
              <w:t xml:space="preserve"> (LDR)</w:t>
            </w:r>
          </w:p>
        </w:tc>
        <w:tc>
          <w:tcPr>
            <w:tcW w:w="8838" w:type="dxa"/>
            <w:vAlign w:val="center"/>
          </w:tcPr>
          <w:p w14:paraId="75AC85CC" w14:textId="371E69EF" w:rsidR="00D66648" w:rsidRPr="001114B1" w:rsidRDefault="001114B1" w:rsidP="001114B1">
            <w:pPr>
              <w:spacing w:before="60" w:after="60"/>
              <w:jc w:val="both"/>
              <w:rPr>
                <w:rFonts w:asciiTheme="minorHAnsi" w:eastAsiaTheme="minorHAnsi" w:hAnsiTheme="minorHAnsi" w:cs="Tahoma"/>
                <w:sz w:val="20"/>
                <w:szCs w:val="20"/>
              </w:rPr>
            </w:pPr>
            <w:r w:rsidRPr="001114B1">
              <w:rPr>
                <w:rFonts w:asciiTheme="minorHAnsi" w:eastAsiaTheme="minorHAnsi" w:hAnsiTheme="minorHAnsi" w:cs="Tahoma"/>
                <w:sz w:val="20"/>
                <w:szCs w:val="20"/>
              </w:rPr>
              <w:t>The LDR</w:t>
            </w:r>
            <w:r w:rsidR="00D66648" w:rsidRPr="001114B1">
              <w:rPr>
                <w:rFonts w:asciiTheme="minorHAnsi" w:eastAsiaTheme="minorHAnsi" w:hAnsiTheme="minorHAnsi" w:cs="Helvetica"/>
                <w:sz w:val="20"/>
                <w:szCs w:val="20"/>
              </w:rPr>
              <w:t xml:space="preserve"> fairly and efficiently collect</w:t>
            </w:r>
            <w:r w:rsidRPr="001114B1">
              <w:rPr>
                <w:rFonts w:asciiTheme="minorHAnsi" w:eastAsiaTheme="minorHAnsi" w:hAnsiTheme="minorHAnsi" w:cs="Helvetica"/>
                <w:sz w:val="20"/>
                <w:szCs w:val="20"/>
              </w:rPr>
              <w:t>s</w:t>
            </w:r>
            <w:r w:rsidR="00D66648" w:rsidRPr="001114B1">
              <w:rPr>
                <w:rFonts w:asciiTheme="minorHAnsi" w:eastAsiaTheme="minorHAnsi" w:hAnsiTheme="minorHAnsi" w:cs="Helvetica"/>
                <w:sz w:val="20"/>
                <w:szCs w:val="20"/>
              </w:rPr>
              <w:t xml:space="preserve"> state tax revenue to fund public services</w:t>
            </w:r>
            <w:r>
              <w:rPr>
                <w:rFonts w:asciiTheme="minorHAnsi" w:eastAsiaTheme="minorHAnsi" w:hAnsiTheme="minorHAnsi" w:cs="Helvetica"/>
                <w:sz w:val="20"/>
                <w:szCs w:val="20"/>
              </w:rPr>
              <w:t>.</w:t>
            </w:r>
          </w:p>
        </w:tc>
      </w:tr>
      <w:tr w:rsidR="001114B1" w14:paraId="6684B3F3" w14:textId="77777777" w:rsidTr="001114B1">
        <w:tc>
          <w:tcPr>
            <w:tcW w:w="1980" w:type="dxa"/>
            <w:vAlign w:val="center"/>
          </w:tcPr>
          <w:p w14:paraId="38CED74E" w14:textId="2E3A8BC9" w:rsidR="00CB044E" w:rsidRDefault="00D66648" w:rsidP="003432A5">
            <w:pPr>
              <w:spacing w:before="80" w:after="80"/>
            </w:pPr>
            <w:r>
              <w:t>Louisiana Economic Development</w:t>
            </w:r>
            <w:r w:rsidR="00F95231">
              <w:t xml:space="preserve"> (LED)</w:t>
            </w:r>
          </w:p>
        </w:tc>
        <w:tc>
          <w:tcPr>
            <w:tcW w:w="8838" w:type="dxa"/>
            <w:vAlign w:val="center"/>
          </w:tcPr>
          <w:p w14:paraId="4FA420A2" w14:textId="0E535D8E" w:rsidR="001114B1" w:rsidRPr="001114B1" w:rsidRDefault="001114B1" w:rsidP="009B34E3">
            <w:pPr>
              <w:spacing w:before="60" w:after="60"/>
              <w:jc w:val="both"/>
              <w:rPr>
                <w:rFonts w:asciiTheme="minorHAnsi" w:eastAsiaTheme="minorHAnsi" w:hAnsiTheme="minorHAnsi" w:cs="Arial"/>
                <w:color w:val="474849"/>
                <w:sz w:val="20"/>
                <w:szCs w:val="20"/>
              </w:rPr>
            </w:pPr>
            <w:r w:rsidRPr="001114B1">
              <w:rPr>
                <w:rFonts w:asciiTheme="minorHAnsi" w:eastAsiaTheme="minorHAnsi" w:hAnsiTheme="minorHAnsi" w:cs="Arial"/>
                <w:bCs/>
                <w:sz w:val="20"/>
                <w:szCs w:val="20"/>
              </w:rPr>
              <w:t>LED</w:t>
            </w:r>
            <w:r w:rsidR="00D66648" w:rsidRPr="001114B1">
              <w:rPr>
                <w:rFonts w:asciiTheme="minorHAnsi" w:eastAsiaTheme="minorHAnsi" w:hAnsiTheme="minorHAnsi" w:cs="Arial"/>
                <w:bCs/>
                <w:sz w:val="20"/>
                <w:szCs w:val="20"/>
              </w:rPr>
              <w:t xml:space="preserve"> is responsible for strengthening the </w:t>
            </w:r>
            <w:r w:rsidR="009B34E3">
              <w:rPr>
                <w:rFonts w:asciiTheme="minorHAnsi" w:eastAsiaTheme="minorHAnsi" w:hAnsiTheme="minorHAnsi" w:cs="Arial"/>
                <w:bCs/>
                <w:sz w:val="20"/>
                <w:szCs w:val="20"/>
              </w:rPr>
              <w:t>state's business environment,</w:t>
            </w:r>
            <w:r w:rsidR="00D66648" w:rsidRPr="001114B1">
              <w:rPr>
                <w:rFonts w:asciiTheme="minorHAnsi" w:eastAsiaTheme="minorHAnsi" w:hAnsiTheme="minorHAnsi" w:cs="Arial"/>
                <w:bCs/>
                <w:sz w:val="20"/>
                <w:szCs w:val="20"/>
              </w:rPr>
              <w:t xml:space="preserve"> creating a more vibrant Louisiana economy.</w:t>
            </w:r>
            <w:r w:rsidR="00D66648" w:rsidRPr="001114B1">
              <w:rPr>
                <w:rFonts w:asciiTheme="minorHAnsi" w:eastAsiaTheme="minorHAnsi" w:hAnsiTheme="minorHAnsi" w:cs="Arial"/>
                <w:iCs/>
                <w:sz w:val="20"/>
                <w:szCs w:val="20"/>
              </w:rPr>
              <w:t xml:space="preserve"> </w:t>
            </w:r>
            <w:r w:rsidRPr="001114B1">
              <w:rPr>
                <w:rFonts w:asciiTheme="minorHAnsi" w:eastAsiaTheme="minorHAnsi" w:hAnsiTheme="minorHAnsi" w:cs="Arial"/>
                <w:iCs/>
                <w:sz w:val="20"/>
                <w:szCs w:val="20"/>
              </w:rPr>
              <w:t xml:space="preserve"> LED c</w:t>
            </w:r>
            <w:r w:rsidR="009B34E3">
              <w:rPr>
                <w:rFonts w:asciiTheme="minorHAnsi" w:eastAsiaTheme="minorHAnsi" w:hAnsiTheme="minorHAnsi" w:cs="Arial"/>
                <w:iCs/>
                <w:sz w:val="20"/>
                <w:szCs w:val="20"/>
              </w:rPr>
              <w:t>reat</w:t>
            </w:r>
            <w:r w:rsidR="00D66648" w:rsidRPr="001114B1">
              <w:rPr>
                <w:rFonts w:asciiTheme="minorHAnsi" w:eastAsiaTheme="minorHAnsi" w:hAnsiTheme="minorHAnsi" w:cs="Arial"/>
                <w:iCs/>
                <w:sz w:val="20"/>
                <w:szCs w:val="20"/>
              </w:rPr>
              <w:t>e</w:t>
            </w:r>
            <w:r w:rsidRPr="001114B1">
              <w:rPr>
                <w:rFonts w:asciiTheme="minorHAnsi" w:eastAsiaTheme="minorHAnsi" w:hAnsiTheme="minorHAnsi" w:cs="Arial"/>
                <w:iCs/>
                <w:sz w:val="20"/>
                <w:szCs w:val="20"/>
              </w:rPr>
              <w:t>s</w:t>
            </w:r>
            <w:r w:rsidR="00D66648" w:rsidRPr="001114B1">
              <w:rPr>
                <w:rFonts w:asciiTheme="minorHAnsi" w:eastAsiaTheme="minorHAnsi" w:hAnsiTheme="minorHAnsi" w:cs="Arial"/>
                <w:iCs/>
                <w:sz w:val="20"/>
                <w:szCs w:val="20"/>
              </w:rPr>
              <w:t xml:space="preserve"> jobs and economic opportunity for Louisiana</w:t>
            </w:r>
            <w:r w:rsidR="009B34E3">
              <w:rPr>
                <w:rFonts w:asciiTheme="minorHAnsi" w:eastAsiaTheme="minorHAnsi" w:hAnsiTheme="minorHAnsi" w:cs="Arial"/>
                <w:iCs/>
                <w:sz w:val="20"/>
                <w:szCs w:val="20"/>
              </w:rPr>
              <w:t xml:space="preserve"> citizens and businesses</w:t>
            </w:r>
            <w:r w:rsidRPr="001114B1">
              <w:rPr>
                <w:rFonts w:asciiTheme="minorHAnsi" w:eastAsiaTheme="minorHAnsi" w:hAnsiTheme="minorHAnsi" w:cs="Arial"/>
                <w:sz w:val="20"/>
                <w:szCs w:val="20"/>
              </w:rPr>
              <w:t>.</w:t>
            </w:r>
          </w:p>
        </w:tc>
      </w:tr>
    </w:tbl>
    <w:p w14:paraId="2727B67E" w14:textId="74A33C4B" w:rsidR="00EC3ABC" w:rsidRPr="00C00ACD" w:rsidRDefault="00EC3ABC" w:rsidP="001114B1">
      <w:pPr>
        <w:jc w:val="both"/>
        <w:rPr>
          <w:rFonts w:asciiTheme="minorHAnsi" w:eastAsiaTheme="minorHAnsi" w:hAnsiTheme="minorHAnsi" w:cs="Tahoma"/>
          <w:color w:val="01152B"/>
          <w:sz w:val="16"/>
          <w:szCs w:val="16"/>
        </w:rPr>
      </w:pPr>
    </w:p>
    <w:p w14:paraId="45F1AB01" w14:textId="5FC8692A" w:rsidR="001114B1" w:rsidRDefault="001114B1" w:rsidP="001114B1">
      <w:pPr>
        <w:jc w:val="both"/>
        <w:rPr>
          <w:rFonts w:asciiTheme="minorHAnsi" w:eastAsiaTheme="minorHAnsi" w:hAnsiTheme="minorHAnsi" w:cs="Tahoma"/>
          <w:color w:val="01152B"/>
          <w:szCs w:val="22"/>
        </w:rPr>
      </w:pPr>
      <w:r>
        <w:rPr>
          <w:rFonts w:asciiTheme="minorHAnsi" w:eastAsiaTheme="minorHAnsi" w:hAnsiTheme="minorHAnsi" w:cs="Tahoma"/>
          <w:color w:val="01152B"/>
          <w:szCs w:val="22"/>
        </w:rPr>
        <w:t>There are also a large number of state boards that regulate busin</w:t>
      </w:r>
      <w:r w:rsidR="00C00ACD">
        <w:rPr>
          <w:rFonts w:asciiTheme="minorHAnsi" w:eastAsiaTheme="minorHAnsi" w:hAnsiTheme="minorHAnsi" w:cs="Tahoma"/>
          <w:color w:val="01152B"/>
          <w:szCs w:val="22"/>
        </w:rPr>
        <w:t xml:space="preserve">esses in specific industries.  </w:t>
      </w:r>
      <w:r>
        <w:rPr>
          <w:rFonts w:asciiTheme="minorHAnsi" w:eastAsiaTheme="minorHAnsi" w:hAnsiTheme="minorHAnsi" w:cs="Tahoma"/>
          <w:color w:val="01152B"/>
          <w:szCs w:val="22"/>
        </w:rPr>
        <w:t>The table below offers examples of state boards that regulate many small businesses.</w:t>
      </w:r>
    </w:p>
    <w:p w14:paraId="477E430E" w14:textId="77777777" w:rsidR="001114B1" w:rsidRPr="00C00ACD" w:rsidRDefault="001114B1" w:rsidP="001114B1">
      <w:pPr>
        <w:jc w:val="both"/>
        <w:rPr>
          <w:rFonts w:asciiTheme="minorHAnsi" w:eastAsiaTheme="minorHAnsi" w:hAnsiTheme="minorHAnsi" w:cs="Tahoma"/>
          <w:color w:val="01152B"/>
          <w:sz w:val="10"/>
          <w:szCs w:val="10"/>
        </w:rPr>
      </w:pPr>
    </w:p>
    <w:tbl>
      <w:tblPr>
        <w:tblStyle w:val="TableGrid"/>
        <w:tblW w:w="10818" w:type="dxa"/>
        <w:tblInd w:w="108" w:type="dxa"/>
        <w:tblLook w:val="04A0" w:firstRow="1" w:lastRow="0" w:firstColumn="1" w:lastColumn="0" w:noHBand="0" w:noVBand="1"/>
      </w:tblPr>
      <w:tblGrid>
        <w:gridCol w:w="1710"/>
        <w:gridCol w:w="9108"/>
      </w:tblGrid>
      <w:tr w:rsidR="00F801BD" w14:paraId="6AE02BDF" w14:textId="77777777" w:rsidTr="00C00ACD">
        <w:tc>
          <w:tcPr>
            <w:tcW w:w="1710" w:type="dxa"/>
            <w:vAlign w:val="center"/>
          </w:tcPr>
          <w:p w14:paraId="4275DD85" w14:textId="1EF03D12" w:rsidR="00C00ACD" w:rsidRPr="00CF6F80" w:rsidRDefault="00C00ACD" w:rsidP="00C00ACD">
            <w:pPr>
              <w:spacing w:before="80" w:after="80"/>
              <w:jc w:val="center"/>
              <w:rPr>
                <w:b/>
              </w:rPr>
            </w:pPr>
            <w:r>
              <w:rPr>
                <w:b/>
              </w:rPr>
              <w:t>State Board</w:t>
            </w:r>
          </w:p>
        </w:tc>
        <w:tc>
          <w:tcPr>
            <w:tcW w:w="9108" w:type="dxa"/>
            <w:vAlign w:val="center"/>
          </w:tcPr>
          <w:p w14:paraId="3EC01B32" w14:textId="77777777" w:rsidR="00C00ACD" w:rsidRPr="00CF6F80" w:rsidRDefault="00C00ACD" w:rsidP="003432A5">
            <w:pPr>
              <w:spacing w:before="80" w:after="80"/>
              <w:jc w:val="center"/>
              <w:rPr>
                <w:b/>
              </w:rPr>
            </w:pPr>
            <w:r>
              <w:rPr>
                <w:b/>
              </w:rPr>
              <w:t>Purpose / Responsibilities</w:t>
            </w:r>
          </w:p>
        </w:tc>
      </w:tr>
      <w:tr w:rsidR="00F801BD" w14:paraId="11D248C1" w14:textId="77777777" w:rsidTr="00C00ACD">
        <w:tc>
          <w:tcPr>
            <w:tcW w:w="1710" w:type="dxa"/>
            <w:vAlign w:val="center"/>
          </w:tcPr>
          <w:p w14:paraId="34FFFAA1" w14:textId="6397BC71" w:rsidR="00C00ACD" w:rsidRDefault="00C00ACD" w:rsidP="00C00ACD">
            <w:pPr>
              <w:spacing w:before="80" w:after="80"/>
            </w:pPr>
            <w:r>
              <w:t>Louisiana State Board of Cosmetology</w:t>
            </w:r>
          </w:p>
        </w:tc>
        <w:tc>
          <w:tcPr>
            <w:tcW w:w="9108" w:type="dxa"/>
            <w:vAlign w:val="center"/>
          </w:tcPr>
          <w:p w14:paraId="14761A0E" w14:textId="0F939DCC" w:rsidR="00C00ACD" w:rsidRPr="00C00ACD" w:rsidRDefault="00C00ACD" w:rsidP="00C00ACD">
            <w:pPr>
              <w:spacing w:before="60" w:after="60"/>
              <w:jc w:val="both"/>
              <w:rPr>
                <w:rFonts w:asciiTheme="minorHAnsi" w:eastAsiaTheme="minorHAnsi" w:hAnsiTheme="minorHAnsi" w:cs="Geneva"/>
                <w:sz w:val="20"/>
                <w:szCs w:val="20"/>
              </w:rPr>
            </w:pPr>
            <w:r w:rsidRPr="00C00ACD">
              <w:rPr>
                <w:rFonts w:asciiTheme="minorHAnsi" w:eastAsiaTheme="minorHAnsi" w:hAnsiTheme="minorHAnsi" w:cs="Geneva"/>
                <w:sz w:val="20"/>
                <w:szCs w:val="20"/>
              </w:rPr>
              <w:t>The Louisiana State Board of Cosmetology regulates, controls and monitors members of the Cosmetology industry to maintain public health and welfare standards for the consumer public; insures that individuals receiving licenses meet the educational requirements established by the State of Louisiana; and that licensed professionals maintain the highest standards while providing services to the public.</w:t>
            </w:r>
            <w:r w:rsidRPr="00C00ACD">
              <w:rPr>
                <w:rFonts w:asciiTheme="minorHAnsi" w:hAnsiTheme="minorHAnsi"/>
                <w:sz w:val="20"/>
                <w:szCs w:val="20"/>
              </w:rPr>
              <w:t xml:space="preserve"> </w:t>
            </w:r>
          </w:p>
        </w:tc>
      </w:tr>
      <w:tr w:rsidR="00F801BD" w14:paraId="45432050" w14:textId="77777777" w:rsidTr="00C00ACD">
        <w:tc>
          <w:tcPr>
            <w:tcW w:w="1710" w:type="dxa"/>
            <w:vAlign w:val="center"/>
          </w:tcPr>
          <w:p w14:paraId="11E469C5" w14:textId="3B3B67B2" w:rsidR="00C00ACD" w:rsidRDefault="00C00ACD" w:rsidP="00C00ACD">
            <w:pPr>
              <w:spacing w:before="80" w:after="80"/>
            </w:pPr>
            <w:r>
              <w:t>Board of Barber Examiners</w:t>
            </w:r>
          </w:p>
        </w:tc>
        <w:tc>
          <w:tcPr>
            <w:tcW w:w="9108" w:type="dxa"/>
            <w:vAlign w:val="center"/>
          </w:tcPr>
          <w:p w14:paraId="02BA6F0E" w14:textId="249ADD0B" w:rsidR="00C00ACD" w:rsidRPr="00C00ACD" w:rsidRDefault="00C00ACD" w:rsidP="00C00ACD">
            <w:pPr>
              <w:spacing w:before="60" w:after="60"/>
              <w:jc w:val="both"/>
              <w:rPr>
                <w:rFonts w:asciiTheme="minorHAnsi" w:eastAsiaTheme="minorHAnsi" w:hAnsiTheme="minorHAnsi" w:cs="Geneva"/>
                <w:sz w:val="20"/>
                <w:szCs w:val="20"/>
              </w:rPr>
            </w:pPr>
            <w:r w:rsidRPr="00C00ACD">
              <w:rPr>
                <w:rFonts w:asciiTheme="minorHAnsi" w:eastAsiaTheme="minorHAnsi" w:hAnsiTheme="minorHAnsi" w:cs="Geneva"/>
                <w:sz w:val="20"/>
                <w:szCs w:val="20"/>
              </w:rPr>
              <w:t>The Board of Barber Examiners provide</w:t>
            </w:r>
            <w:r>
              <w:rPr>
                <w:rFonts w:asciiTheme="minorHAnsi" w:eastAsiaTheme="minorHAnsi" w:hAnsiTheme="minorHAnsi" w:cs="Geneva"/>
                <w:sz w:val="20"/>
                <w:szCs w:val="20"/>
              </w:rPr>
              <w:t>s</w:t>
            </w:r>
            <w:r w:rsidRPr="00C00ACD">
              <w:rPr>
                <w:rFonts w:asciiTheme="minorHAnsi" w:eastAsiaTheme="minorHAnsi" w:hAnsiTheme="minorHAnsi" w:cs="Geneva"/>
                <w:sz w:val="20"/>
                <w:szCs w:val="20"/>
              </w:rPr>
              <w:t xml:space="preserve"> for the issuance of certificates of registration</w:t>
            </w:r>
            <w:r>
              <w:rPr>
                <w:rFonts w:asciiTheme="minorHAnsi" w:eastAsiaTheme="minorHAnsi" w:hAnsiTheme="minorHAnsi" w:cs="Geneva"/>
                <w:sz w:val="20"/>
                <w:szCs w:val="20"/>
              </w:rPr>
              <w:t xml:space="preserve"> and</w:t>
            </w:r>
            <w:r w:rsidRPr="00C00ACD">
              <w:rPr>
                <w:rFonts w:asciiTheme="minorHAnsi" w:eastAsiaTheme="minorHAnsi" w:hAnsiTheme="minorHAnsi" w:cs="Geneva"/>
                <w:sz w:val="20"/>
                <w:szCs w:val="20"/>
              </w:rPr>
              <w:t xml:space="preserve"> protect</w:t>
            </w:r>
            <w:r>
              <w:rPr>
                <w:rFonts w:asciiTheme="minorHAnsi" w:eastAsiaTheme="minorHAnsi" w:hAnsiTheme="minorHAnsi" w:cs="Geneva"/>
                <w:sz w:val="20"/>
                <w:szCs w:val="20"/>
              </w:rPr>
              <w:t>s</w:t>
            </w:r>
            <w:r w:rsidRPr="00C00ACD">
              <w:rPr>
                <w:rFonts w:asciiTheme="minorHAnsi" w:eastAsiaTheme="minorHAnsi" w:hAnsiTheme="minorHAnsi" w:cs="Geneva"/>
                <w:sz w:val="20"/>
                <w:szCs w:val="20"/>
              </w:rPr>
              <w:t xml:space="preserve"> the health and welfare of the general public from communicable diseases.</w:t>
            </w:r>
          </w:p>
        </w:tc>
      </w:tr>
      <w:tr w:rsidR="00F801BD" w14:paraId="12699384" w14:textId="77777777" w:rsidTr="00F801BD">
        <w:trPr>
          <w:trHeight w:val="714"/>
        </w:trPr>
        <w:tc>
          <w:tcPr>
            <w:tcW w:w="1710" w:type="dxa"/>
            <w:vAlign w:val="center"/>
          </w:tcPr>
          <w:p w14:paraId="6F541F03" w14:textId="774CF455" w:rsidR="00C00ACD" w:rsidRDefault="00C00ACD" w:rsidP="00C00ACD">
            <w:pPr>
              <w:spacing w:before="80" w:after="80"/>
            </w:pPr>
            <w:r>
              <w:t>Real Estate Commission</w:t>
            </w:r>
          </w:p>
        </w:tc>
        <w:tc>
          <w:tcPr>
            <w:tcW w:w="9108" w:type="dxa"/>
            <w:vAlign w:val="center"/>
          </w:tcPr>
          <w:p w14:paraId="0936B279" w14:textId="6862E795" w:rsidR="00C00ACD" w:rsidRPr="00C00ACD" w:rsidRDefault="00C00ACD" w:rsidP="00C00ACD">
            <w:pPr>
              <w:spacing w:before="60" w:after="60"/>
              <w:jc w:val="both"/>
              <w:rPr>
                <w:rFonts w:asciiTheme="minorHAnsi" w:eastAsiaTheme="minorHAnsi" w:hAnsiTheme="minorHAnsi" w:cs="Geneva"/>
                <w:sz w:val="20"/>
                <w:szCs w:val="20"/>
              </w:rPr>
            </w:pPr>
            <w:r>
              <w:rPr>
                <w:rFonts w:asciiTheme="minorHAnsi" w:eastAsiaTheme="minorHAnsi" w:hAnsiTheme="minorHAnsi" w:cs="Geneva"/>
                <w:sz w:val="20"/>
                <w:szCs w:val="20"/>
              </w:rPr>
              <w:t>The Real Estate Commission administers and regulates the Louisiana real estate licensing program.</w:t>
            </w:r>
          </w:p>
        </w:tc>
      </w:tr>
      <w:tr w:rsidR="00C00ACD" w14:paraId="6597C6EE" w14:textId="77777777" w:rsidTr="00C00ACD">
        <w:tc>
          <w:tcPr>
            <w:tcW w:w="1710" w:type="dxa"/>
            <w:vAlign w:val="center"/>
          </w:tcPr>
          <w:p w14:paraId="0E2765F6" w14:textId="0AB79239" w:rsidR="00C00ACD" w:rsidRDefault="00C00ACD" w:rsidP="00C00ACD">
            <w:pPr>
              <w:spacing w:before="80" w:after="80"/>
            </w:pPr>
            <w:r>
              <w:t>State Plumbing Board of Louisiana</w:t>
            </w:r>
          </w:p>
        </w:tc>
        <w:tc>
          <w:tcPr>
            <w:tcW w:w="9108" w:type="dxa"/>
            <w:vAlign w:val="center"/>
          </w:tcPr>
          <w:p w14:paraId="187F4571" w14:textId="2C0EDE95" w:rsidR="00C00ACD" w:rsidRPr="00C00ACD" w:rsidRDefault="00C00ACD" w:rsidP="0083062C">
            <w:pPr>
              <w:spacing w:before="60" w:after="60"/>
              <w:jc w:val="both"/>
              <w:rPr>
                <w:rFonts w:asciiTheme="minorHAnsi" w:eastAsiaTheme="minorHAnsi" w:hAnsiTheme="minorHAnsi" w:cs="Geneva"/>
                <w:sz w:val="20"/>
                <w:szCs w:val="20"/>
              </w:rPr>
            </w:pPr>
            <w:r w:rsidRPr="00C00ACD">
              <w:rPr>
                <w:rFonts w:asciiTheme="minorHAnsi" w:eastAsiaTheme="minorHAnsi" w:hAnsiTheme="minorHAnsi" w:cs="Geneva"/>
                <w:sz w:val="20"/>
                <w:szCs w:val="20"/>
              </w:rPr>
              <w:t xml:space="preserve">The board </w:t>
            </w:r>
            <w:r w:rsidR="0083062C">
              <w:rPr>
                <w:rFonts w:asciiTheme="minorHAnsi" w:eastAsiaTheme="minorHAnsi" w:hAnsiTheme="minorHAnsi" w:cs="Geneva"/>
                <w:sz w:val="20"/>
                <w:szCs w:val="20"/>
              </w:rPr>
              <w:t>affords</w:t>
            </w:r>
            <w:r w:rsidRPr="00C00ACD">
              <w:rPr>
                <w:rFonts w:asciiTheme="minorHAnsi" w:eastAsiaTheme="minorHAnsi" w:hAnsiTheme="minorHAnsi" w:cs="Geneva"/>
                <w:sz w:val="20"/>
                <w:szCs w:val="20"/>
              </w:rPr>
              <w:t xml:space="preserve"> protection against incompetent, inexperienced, or unlawful acts by persons who perform work on plumbing and medical gas piping systems. The board qualifies and examines applicants for plumbers' licenses and serves, licenses, and enforces the law.</w:t>
            </w:r>
          </w:p>
        </w:tc>
      </w:tr>
    </w:tbl>
    <w:p w14:paraId="0912F967" w14:textId="5A2CA49C" w:rsidR="00244D9E" w:rsidRPr="0083062C" w:rsidRDefault="00244D9E" w:rsidP="00C00ACD">
      <w:pPr>
        <w:jc w:val="both"/>
        <w:rPr>
          <w:rFonts w:ascii="Tahoma" w:eastAsiaTheme="minorHAnsi" w:hAnsi="Tahoma" w:cs="Tahoma"/>
          <w:color w:val="01152B"/>
          <w:sz w:val="16"/>
          <w:szCs w:val="16"/>
        </w:rPr>
      </w:pPr>
      <w:r w:rsidRPr="0083062C">
        <w:rPr>
          <w:rFonts w:ascii="Geneva" w:eastAsiaTheme="minorHAnsi" w:hAnsi="Geneva" w:cs="Geneva"/>
          <w:sz w:val="16"/>
          <w:szCs w:val="16"/>
        </w:rPr>
        <w:t xml:space="preserve"> </w:t>
      </w:r>
    </w:p>
    <w:sectPr w:rsidR="00244D9E" w:rsidRPr="0083062C" w:rsidSect="00BA7CDD">
      <w:headerReference w:type="even" r:id="rId7"/>
      <w:headerReference w:type="default" r:id="rId8"/>
      <w:footerReference w:type="even" r:id="rId9"/>
      <w:footerReference w:type="default" r:id="rId10"/>
      <w:headerReference w:type="first" r:id="rId11"/>
      <w:footerReference w:type="first" r:id="rId12"/>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6CEF6" w14:textId="77777777" w:rsidR="00216635" w:rsidRDefault="00216635" w:rsidP="00DB0209">
      <w:r>
        <w:separator/>
      </w:r>
    </w:p>
  </w:endnote>
  <w:endnote w:type="continuationSeparator" w:id="0">
    <w:p w14:paraId="0F68E1E5" w14:textId="77777777" w:rsidR="00216635" w:rsidRDefault="00216635"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auto"/>
    <w:pitch w:val="variable"/>
    <w:sig w:usb0="E00002FF" w:usb1="5200205F" w:usb2="00A0C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6507CB6E" w:rsidR="008733CD" w:rsidRPr="007831F0" w:rsidRDefault="008733CD" w:rsidP="007831F0">
    <w:pPr>
      <w:pStyle w:val="Footer"/>
      <w:tabs>
        <w:tab w:val="clear" w:pos="4680"/>
        <w:tab w:val="clear" w:pos="9360"/>
        <w:tab w:val="center" w:pos="5400"/>
        <w:tab w:val="right" w:pos="10530"/>
      </w:tabs>
      <w:ind w:right="90"/>
      <w:rPr>
        <w:sz w:val="20"/>
        <w:szCs w:val="20"/>
      </w:rPr>
    </w:pPr>
    <w:r>
      <w:tab/>
    </w:r>
    <w:r w:rsidRPr="007831F0">
      <w:rPr>
        <w:sz w:val="20"/>
        <w:szCs w:val="20"/>
      </w:rPr>
      <w:t xml:space="preserve">Jump Start Micro-Enterprise </w:t>
    </w:r>
    <w:r>
      <w:rPr>
        <w:sz w:val="20"/>
        <w:szCs w:val="20"/>
      </w:rPr>
      <w:t>Credential</w:t>
    </w:r>
    <w:r w:rsidR="00AE578E">
      <w:rPr>
        <w:sz w:val="20"/>
        <w:szCs w:val="20"/>
      </w:rPr>
      <w:t xml:space="preserve">:  </w:t>
    </w:r>
    <w:r w:rsidR="00F801BD">
      <w:rPr>
        <w:sz w:val="20"/>
        <w:szCs w:val="20"/>
      </w:rPr>
      <w:t>Government Agencies Important to Small Businesses</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1566A4">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1566A4">
      <w:rPr>
        <w:noProof/>
        <w:sz w:val="20"/>
        <w:szCs w:val="20"/>
        <w:lang w:bidi="en-US"/>
      </w:rPr>
      <w:t>2</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08CD7A4F" w:rsidR="008733CD" w:rsidRPr="007831F0" w:rsidRDefault="008733CD" w:rsidP="003E49B7">
    <w:pPr>
      <w:pStyle w:val="Footer"/>
      <w:ind w:left="-270" w:right="-270"/>
      <w:jc w:val="center"/>
      <w:rPr>
        <w:sz w:val="20"/>
        <w:szCs w:val="20"/>
      </w:rPr>
    </w:pPr>
    <w:r w:rsidRPr="007831F0">
      <w:rPr>
        <w:sz w:val="20"/>
        <w:szCs w:val="20"/>
      </w:rPr>
      <w:t xml:space="preserve">Jump Start Micro-Enterprise </w:t>
    </w:r>
    <w:r>
      <w:rPr>
        <w:sz w:val="20"/>
        <w:szCs w:val="20"/>
      </w:rPr>
      <w:t>Credential</w:t>
    </w:r>
    <w:r w:rsidR="00501627">
      <w:rPr>
        <w:sz w:val="20"/>
        <w:szCs w:val="20"/>
      </w:rPr>
      <w:t xml:space="preserve">:  </w:t>
    </w:r>
    <w:r w:rsidR="00DE4D81">
      <w:rPr>
        <w:sz w:val="20"/>
        <w:szCs w:val="20"/>
      </w:rPr>
      <w:t>Government Agencies Important to Small Businesse</w:t>
    </w:r>
    <w:r w:rsidR="00DE4D81" w:rsidRPr="00424696">
      <w:rPr>
        <w:sz w:val="20"/>
        <w:szCs w:val="20"/>
      </w:rPr>
      <w:t>s</w:t>
    </w:r>
    <w:r w:rsidR="00424696" w:rsidRPr="00424696">
      <w:rPr>
        <w:sz w:val="20"/>
        <w:szCs w:val="20"/>
      </w:rPr>
      <w:t xml:space="preserve"> – page </w:t>
    </w:r>
    <w:r w:rsidR="00424696" w:rsidRPr="00424696">
      <w:rPr>
        <w:sz w:val="20"/>
        <w:szCs w:val="20"/>
      </w:rPr>
      <w:fldChar w:fldCharType="begin"/>
    </w:r>
    <w:r w:rsidR="00424696" w:rsidRPr="00424696">
      <w:rPr>
        <w:sz w:val="20"/>
        <w:szCs w:val="20"/>
      </w:rPr>
      <w:instrText xml:space="preserve"> PAGE </w:instrText>
    </w:r>
    <w:r w:rsidR="00424696" w:rsidRPr="00424696">
      <w:rPr>
        <w:sz w:val="20"/>
        <w:szCs w:val="20"/>
      </w:rPr>
      <w:fldChar w:fldCharType="separate"/>
    </w:r>
    <w:r w:rsidR="001566A4">
      <w:rPr>
        <w:noProof/>
        <w:sz w:val="20"/>
        <w:szCs w:val="20"/>
      </w:rPr>
      <w:t>1</w:t>
    </w:r>
    <w:r w:rsidR="00424696" w:rsidRPr="00424696">
      <w:rPr>
        <w:sz w:val="20"/>
        <w:szCs w:val="20"/>
      </w:rPr>
      <w:fldChar w:fldCharType="end"/>
    </w:r>
    <w:r w:rsidR="00424696" w:rsidRPr="00424696">
      <w:rPr>
        <w:sz w:val="20"/>
        <w:szCs w:val="20"/>
      </w:rPr>
      <w:t xml:space="preserve"> of </w:t>
    </w:r>
    <w:r w:rsidR="00424696" w:rsidRPr="00424696">
      <w:rPr>
        <w:sz w:val="20"/>
        <w:szCs w:val="20"/>
      </w:rPr>
      <w:fldChar w:fldCharType="begin"/>
    </w:r>
    <w:r w:rsidR="00424696" w:rsidRPr="00424696">
      <w:rPr>
        <w:sz w:val="20"/>
        <w:szCs w:val="20"/>
      </w:rPr>
      <w:instrText xml:space="preserve"> NUMPAGES </w:instrText>
    </w:r>
    <w:r w:rsidR="00424696" w:rsidRPr="00424696">
      <w:rPr>
        <w:sz w:val="20"/>
        <w:szCs w:val="20"/>
      </w:rPr>
      <w:fldChar w:fldCharType="separate"/>
    </w:r>
    <w:r w:rsidR="001566A4">
      <w:rPr>
        <w:noProof/>
        <w:sz w:val="20"/>
        <w:szCs w:val="20"/>
      </w:rPr>
      <w:t>2</w:t>
    </w:r>
    <w:r w:rsidR="00424696" w:rsidRPr="00424696">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4715E" w14:textId="77777777" w:rsidR="00216635" w:rsidRDefault="00216635" w:rsidP="00DB0209">
      <w:r>
        <w:separator/>
      </w:r>
    </w:p>
  </w:footnote>
  <w:footnote w:type="continuationSeparator" w:id="0">
    <w:p w14:paraId="0F8E381F" w14:textId="77777777" w:rsidR="00216635" w:rsidRDefault="00216635"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CCAE5" w14:textId="77777777" w:rsidR="00424696" w:rsidRDefault="0042469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6855BB67" w:rsidR="008733CD" w:rsidRPr="003F5B9A" w:rsidRDefault="008733CD" w:rsidP="0083062C">
    <w:pPr>
      <w:pStyle w:val="Header"/>
      <w:tabs>
        <w:tab w:val="clear" w:pos="4680"/>
        <w:tab w:val="center" w:pos="5130"/>
      </w:tabs>
      <w:ind w:left="360" w:right="-540"/>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Jump Start Micro-Enterprise Credential</w:t>
    </w:r>
  </w:p>
  <w:p w14:paraId="690ACF69" w14:textId="0DDC8F8D" w:rsidR="008733CD" w:rsidRPr="003F5B9A" w:rsidRDefault="00F801BD" w:rsidP="0083062C">
    <w:pPr>
      <w:pStyle w:val="Header"/>
      <w:tabs>
        <w:tab w:val="clear" w:pos="4680"/>
        <w:tab w:val="center" w:pos="5130"/>
      </w:tabs>
      <w:ind w:left="360" w:right="-540"/>
      <w:jc w:val="center"/>
      <w:rPr>
        <w:b/>
        <w:sz w:val="28"/>
        <w:szCs w:val="28"/>
      </w:rPr>
    </w:pPr>
    <w:r>
      <w:rPr>
        <w:b/>
        <w:sz w:val="28"/>
        <w:szCs w:val="28"/>
      </w:rPr>
      <w:t>Government Agencies Important to Small Businesses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2F4EC6B3" w:rsidR="008733CD" w:rsidRDefault="008733CD">
    <w:pPr>
      <w:pStyle w:val="Heade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5E4E72"/>
    <w:multiLevelType w:val="hybridMultilevel"/>
    <w:tmpl w:val="5EE04E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D0F2B2F"/>
    <w:multiLevelType w:val="hybridMultilevel"/>
    <w:tmpl w:val="429C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6">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BA4A90"/>
    <w:multiLevelType w:val="hybridMultilevel"/>
    <w:tmpl w:val="5C3C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DA58D5"/>
    <w:multiLevelType w:val="hybridMultilevel"/>
    <w:tmpl w:val="B4AE03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3"/>
  </w:num>
  <w:num w:numId="4">
    <w:abstractNumId w:val="9"/>
  </w:num>
  <w:num w:numId="5">
    <w:abstractNumId w:val="6"/>
  </w:num>
  <w:num w:numId="6">
    <w:abstractNumId w:val="11"/>
  </w:num>
  <w:num w:numId="7">
    <w:abstractNumId w:val="5"/>
  </w:num>
  <w:num w:numId="8">
    <w:abstractNumId w:val="19"/>
  </w:num>
  <w:num w:numId="9">
    <w:abstractNumId w:val="10"/>
  </w:num>
  <w:num w:numId="10">
    <w:abstractNumId w:val="8"/>
  </w:num>
  <w:num w:numId="11">
    <w:abstractNumId w:val="2"/>
  </w:num>
  <w:num w:numId="12">
    <w:abstractNumId w:val="18"/>
  </w:num>
  <w:num w:numId="13">
    <w:abstractNumId w:val="15"/>
  </w:num>
  <w:num w:numId="14">
    <w:abstractNumId w:val="14"/>
  </w:num>
  <w:num w:numId="15">
    <w:abstractNumId w:val="4"/>
  </w:num>
  <w:num w:numId="16">
    <w:abstractNumId w:val="16"/>
  </w:num>
  <w:num w:numId="17">
    <w:abstractNumId w:val="7"/>
  </w:num>
  <w:num w:numId="18">
    <w:abstractNumId w:val="1"/>
  </w:num>
  <w:num w:numId="19">
    <w:abstractNumId w:val="21"/>
  </w:num>
  <w:num w:numId="20">
    <w:abstractNumId w:val="0"/>
  </w:num>
  <w:num w:numId="21">
    <w:abstractNumId w:val="2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0788D"/>
    <w:rsid w:val="00013DD1"/>
    <w:rsid w:val="0001747F"/>
    <w:rsid w:val="00031F42"/>
    <w:rsid w:val="00053744"/>
    <w:rsid w:val="00064597"/>
    <w:rsid w:val="0006568A"/>
    <w:rsid w:val="0006754E"/>
    <w:rsid w:val="000A21B6"/>
    <w:rsid w:val="000B57DF"/>
    <w:rsid w:val="000B7620"/>
    <w:rsid w:val="000D5755"/>
    <w:rsid w:val="000F0BB7"/>
    <w:rsid w:val="000F2369"/>
    <w:rsid w:val="000F3851"/>
    <w:rsid w:val="00107399"/>
    <w:rsid w:val="001114B1"/>
    <w:rsid w:val="00146519"/>
    <w:rsid w:val="00152235"/>
    <w:rsid w:val="001566A4"/>
    <w:rsid w:val="00172D81"/>
    <w:rsid w:val="00176D6A"/>
    <w:rsid w:val="00180378"/>
    <w:rsid w:val="00185A38"/>
    <w:rsid w:val="00192764"/>
    <w:rsid w:val="001A2528"/>
    <w:rsid w:val="001A742D"/>
    <w:rsid w:val="001E7F4F"/>
    <w:rsid w:val="00216635"/>
    <w:rsid w:val="00220DA2"/>
    <w:rsid w:val="00233E53"/>
    <w:rsid w:val="00244D9E"/>
    <w:rsid w:val="0024767F"/>
    <w:rsid w:val="002650B2"/>
    <w:rsid w:val="00266179"/>
    <w:rsid w:val="00267665"/>
    <w:rsid w:val="00276AF0"/>
    <w:rsid w:val="00287824"/>
    <w:rsid w:val="002A77D7"/>
    <w:rsid w:val="002A7E30"/>
    <w:rsid w:val="002B2506"/>
    <w:rsid w:val="002D451B"/>
    <w:rsid w:val="002F0B75"/>
    <w:rsid w:val="00303555"/>
    <w:rsid w:val="00305A2C"/>
    <w:rsid w:val="0031188B"/>
    <w:rsid w:val="00315376"/>
    <w:rsid w:val="00320170"/>
    <w:rsid w:val="00341286"/>
    <w:rsid w:val="0037108A"/>
    <w:rsid w:val="00373E65"/>
    <w:rsid w:val="003942F4"/>
    <w:rsid w:val="003A38D7"/>
    <w:rsid w:val="003B02B2"/>
    <w:rsid w:val="003B3752"/>
    <w:rsid w:val="003B3AAB"/>
    <w:rsid w:val="003E0AC4"/>
    <w:rsid w:val="003E49B7"/>
    <w:rsid w:val="003E6021"/>
    <w:rsid w:val="003F29BF"/>
    <w:rsid w:val="003F5B9A"/>
    <w:rsid w:val="00401732"/>
    <w:rsid w:val="00422D7F"/>
    <w:rsid w:val="00424696"/>
    <w:rsid w:val="00435191"/>
    <w:rsid w:val="0044378D"/>
    <w:rsid w:val="00444D97"/>
    <w:rsid w:val="00450714"/>
    <w:rsid w:val="00453A7C"/>
    <w:rsid w:val="00463F52"/>
    <w:rsid w:val="00473B68"/>
    <w:rsid w:val="004759F9"/>
    <w:rsid w:val="00477B5C"/>
    <w:rsid w:val="004837FC"/>
    <w:rsid w:val="00493645"/>
    <w:rsid w:val="00495252"/>
    <w:rsid w:val="004A4633"/>
    <w:rsid w:val="004D4F1A"/>
    <w:rsid w:val="004D65EA"/>
    <w:rsid w:val="004D695A"/>
    <w:rsid w:val="004E45D1"/>
    <w:rsid w:val="004F2D77"/>
    <w:rsid w:val="004F393E"/>
    <w:rsid w:val="004F3DA2"/>
    <w:rsid w:val="00501627"/>
    <w:rsid w:val="005059EA"/>
    <w:rsid w:val="005263CC"/>
    <w:rsid w:val="00526624"/>
    <w:rsid w:val="00553878"/>
    <w:rsid w:val="0056092A"/>
    <w:rsid w:val="005677CC"/>
    <w:rsid w:val="00570414"/>
    <w:rsid w:val="00572DC6"/>
    <w:rsid w:val="00580AD8"/>
    <w:rsid w:val="00586528"/>
    <w:rsid w:val="00591855"/>
    <w:rsid w:val="00595638"/>
    <w:rsid w:val="005A0997"/>
    <w:rsid w:val="005B265E"/>
    <w:rsid w:val="0060133E"/>
    <w:rsid w:val="0061147D"/>
    <w:rsid w:val="00615A7A"/>
    <w:rsid w:val="00622037"/>
    <w:rsid w:val="006326FF"/>
    <w:rsid w:val="0063354A"/>
    <w:rsid w:val="00667D16"/>
    <w:rsid w:val="00672740"/>
    <w:rsid w:val="006742D6"/>
    <w:rsid w:val="00674C07"/>
    <w:rsid w:val="006829A2"/>
    <w:rsid w:val="006A1FC4"/>
    <w:rsid w:val="006A7D52"/>
    <w:rsid w:val="006B13CA"/>
    <w:rsid w:val="006B2C4D"/>
    <w:rsid w:val="006B3885"/>
    <w:rsid w:val="006B6618"/>
    <w:rsid w:val="006D1704"/>
    <w:rsid w:val="006D33A6"/>
    <w:rsid w:val="006D4C42"/>
    <w:rsid w:val="006D576D"/>
    <w:rsid w:val="006E61E8"/>
    <w:rsid w:val="006F2536"/>
    <w:rsid w:val="00714502"/>
    <w:rsid w:val="00717D2B"/>
    <w:rsid w:val="00721D28"/>
    <w:rsid w:val="007223F6"/>
    <w:rsid w:val="0072412B"/>
    <w:rsid w:val="00751391"/>
    <w:rsid w:val="00754ABF"/>
    <w:rsid w:val="00757825"/>
    <w:rsid w:val="00776BC3"/>
    <w:rsid w:val="00781CC8"/>
    <w:rsid w:val="007831F0"/>
    <w:rsid w:val="0078468A"/>
    <w:rsid w:val="00796D50"/>
    <w:rsid w:val="007A3FB6"/>
    <w:rsid w:val="007A55E0"/>
    <w:rsid w:val="007B3E04"/>
    <w:rsid w:val="007C2D81"/>
    <w:rsid w:val="007D1BE3"/>
    <w:rsid w:val="007D5973"/>
    <w:rsid w:val="007E25CE"/>
    <w:rsid w:val="007E6956"/>
    <w:rsid w:val="007F409A"/>
    <w:rsid w:val="00810B33"/>
    <w:rsid w:val="00817C95"/>
    <w:rsid w:val="0083062C"/>
    <w:rsid w:val="00833344"/>
    <w:rsid w:val="008401FE"/>
    <w:rsid w:val="008411B6"/>
    <w:rsid w:val="0085243B"/>
    <w:rsid w:val="00856278"/>
    <w:rsid w:val="008641D2"/>
    <w:rsid w:val="008733CD"/>
    <w:rsid w:val="008737FD"/>
    <w:rsid w:val="008831A8"/>
    <w:rsid w:val="00883206"/>
    <w:rsid w:val="00886AD1"/>
    <w:rsid w:val="00891500"/>
    <w:rsid w:val="008E0119"/>
    <w:rsid w:val="008F7A80"/>
    <w:rsid w:val="00903513"/>
    <w:rsid w:val="00943A87"/>
    <w:rsid w:val="009461A1"/>
    <w:rsid w:val="009511BC"/>
    <w:rsid w:val="0097037D"/>
    <w:rsid w:val="00973C11"/>
    <w:rsid w:val="00985322"/>
    <w:rsid w:val="009B34E3"/>
    <w:rsid w:val="009C26A1"/>
    <w:rsid w:val="009C6D21"/>
    <w:rsid w:val="009E0FBC"/>
    <w:rsid w:val="009E36C6"/>
    <w:rsid w:val="009E47FE"/>
    <w:rsid w:val="00A00194"/>
    <w:rsid w:val="00A104D5"/>
    <w:rsid w:val="00A22EF7"/>
    <w:rsid w:val="00A25190"/>
    <w:rsid w:val="00A3121C"/>
    <w:rsid w:val="00A3590C"/>
    <w:rsid w:val="00A37E57"/>
    <w:rsid w:val="00A86045"/>
    <w:rsid w:val="00A92631"/>
    <w:rsid w:val="00AA03CE"/>
    <w:rsid w:val="00AD34A3"/>
    <w:rsid w:val="00AE578E"/>
    <w:rsid w:val="00AE78BE"/>
    <w:rsid w:val="00AE7D54"/>
    <w:rsid w:val="00B1150E"/>
    <w:rsid w:val="00B27589"/>
    <w:rsid w:val="00B31C36"/>
    <w:rsid w:val="00B660D1"/>
    <w:rsid w:val="00B765CA"/>
    <w:rsid w:val="00BA0392"/>
    <w:rsid w:val="00BA7CDD"/>
    <w:rsid w:val="00BB4181"/>
    <w:rsid w:val="00BC4C66"/>
    <w:rsid w:val="00BE730B"/>
    <w:rsid w:val="00C00ACD"/>
    <w:rsid w:val="00C10993"/>
    <w:rsid w:val="00C1207A"/>
    <w:rsid w:val="00C210C9"/>
    <w:rsid w:val="00C214E8"/>
    <w:rsid w:val="00C41551"/>
    <w:rsid w:val="00C47AE5"/>
    <w:rsid w:val="00C55002"/>
    <w:rsid w:val="00C60645"/>
    <w:rsid w:val="00C77C14"/>
    <w:rsid w:val="00C85D79"/>
    <w:rsid w:val="00CA3E1E"/>
    <w:rsid w:val="00CB044E"/>
    <w:rsid w:val="00CB0599"/>
    <w:rsid w:val="00CD4EB0"/>
    <w:rsid w:val="00CE2F08"/>
    <w:rsid w:val="00CE3769"/>
    <w:rsid w:val="00CE649E"/>
    <w:rsid w:val="00CF2B63"/>
    <w:rsid w:val="00CF5F34"/>
    <w:rsid w:val="00CF6F80"/>
    <w:rsid w:val="00D01959"/>
    <w:rsid w:val="00D04B59"/>
    <w:rsid w:val="00D50B71"/>
    <w:rsid w:val="00D5383B"/>
    <w:rsid w:val="00D61844"/>
    <w:rsid w:val="00D66648"/>
    <w:rsid w:val="00D73903"/>
    <w:rsid w:val="00D80088"/>
    <w:rsid w:val="00D8214E"/>
    <w:rsid w:val="00D96ED6"/>
    <w:rsid w:val="00DB0209"/>
    <w:rsid w:val="00DB2A31"/>
    <w:rsid w:val="00DC2D74"/>
    <w:rsid w:val="00DD6784"/>
    <w:rsid w:val="00DE4D81"/>
    <w:rsid w:val="00DE5DEA"/>
    <w:rsid w:val="00DF00E6"/>
    <w:rsid w:val="00DF48CF"/>
    <w:rsid w:val="00E15313"/>
    <w:rsid w:val="00E30A96"/>
    <w:rsid w:val="00E3300C"/>
    <w:rsid w:val="00E57246"/>
    <w:rsid w:val="00E666D3"/>
    <w:rsid w:val="00E738DA"/>
    <w:rsid w:val="00E95B1C"/>
    <w:rsid w:val="00EB3677"/>
    <w:rsid w:val="00EB768F"/>
    <w:rsid w:val="00EC3ABC"/>
    <w:rsid w:val="00EC595B"/>
    <w:rsid w:val="00EE25B9"/>
    <w:rsid w:val="00EF5624"/>
    <w:rsid w:val="00F248C7"/>
    <w:rsid w:val="00F309A2"/>
    <w:rsid w:val="00F4016B"/>
    <w:rsid w:val="00F61DEE"/>
    <w:rsid w:val="00F7450B"/>
    <w:rsid w:val="00F801BD"/>
    <w:rsid w:val="00F81E07"/>
    <w:rsid w:val="00F8201F"/>
    <w:rsid w:val="00F95231"/>
    <w:rsid w:val="00FA07AA"/>
    <w:rsid w:val="00FA6740"/>
    <w:rsid w:val="00FA70DC"/>
    <w:rsid w:val="00FB71E9"/>
    <w:rsid w:val="00FC103F"/>
    <w:rsid w:val="00FC1E7C"/>
    <w:rsid w:val="00FC58F7"/>
    <w:rsid w:val="00FF1FB1"/>
    <w:rsid w:val="00FF4077"/>
    <w:rsid w:val="00FF5C25"/>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825</Words>
  <Characters>4703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11</cp:revision>
  <cp:lastPrinted>2016-06-22T14:52:00Z</cp:lastPrinted>
  <dcterms:created xsi:type="dcterms:W3CDTF">2016-05-30T11:19:00Z</dcterms:created>
  <dcterms:modified xsi:type="dcterms:W3CDTF">2016-06-22T14:52:00Z</dcterms:modified>
</cp:coreProperties>
</file>