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0B1D93E0" w:rsidR="002650B2" w:rsidRPr="00903513" w:rsidRDefault="00864DA8" w:rsidP="007E25CE">
      <w:pPr>
        <w:jc w:val="center"/>
        <w:rPr>
          <w:b/>
          <w:noProof/>
          <w:sz w:val="28"/>
          <w:szCs w:val="28"/>
        </w:rPr>
      </w:pPr>
      <w:r>
        <w:rPr>
          <w:b/>
          <w:noProof/>
          <w:sz w:val="28"/>
          <w:szCs w:val="28"/>
        </w:rPr>
        <w:t>Micro-Enterprise Credential</w:t>
      </w:r>
      <w:r w:rsidR="00AB0036">
        <w:rPr>
          <w:b/>
          <w:noProof/>
          <w:sz w:val="28"/>
          <w:szCs w:val="28"/>
        </w:rPr>
        <w:t>:  Relevant Policy and Procedure</w:t>
      </w:r>
    </w:p>
    <w:p w14:paraId="433F7BDC" w14:textId="14388E5D"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AB0036">
        <w:rPr>
          <w:noProof/>
          <w:sz w:val="20"/>
          <w:szCs w:val="20"/>
        </w:rPr>
        <w:t>May 7</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0BA0EAFC" w14:textId="264A2DBA" w:rsidR="003B3AAB" w:rsidRPr="00AB0036" w:rsidRDefault="00AB0036" w:rsidP="00315376">
      <w:pPr>
        <w:jc w:val="both"/>
        <w:rPr>
          <w:b/>
          <w:color w:val="0432FF"/>
          <w:sz w:val="28"/>
          <w:szCs w:val="28"/>
        </w:rPr>
      </w:pPr>
      <w:r w:rsidRPr="00D91835">
        <w:rPr>
          <w:b/>
          <w:color w:val="0432FF"/>
          <w:sz w:val="28"/>
          <w:szCs w:val="28"/>
          <w:highlight w:val="yellow"/>
        </w:rPr>
        <w:t>Online Teacher Registration</w:t>
      </w:r>
    </w:p>
    <w:p w14:paraId="5ED88EFB" w14:textId="098CBEA9" w:rsidR="00AB0036" w:rsidRDefault="00AB0036" w:rsidP="00315376">
      <w:pPr>
        <w:jc w:val="both"/>
      </w:pPr>
      <w:r>
        <w:rPr>
          <w:i/>
          <w:u w:val="single"/>
        </w:rPr>
        <w:t>All</w:t>
      </w:r>
      <w:r>
        <w:t xml:space="preserve"> teachers must register online as a Micro-Enterprise Credential teacher, </w:t>
      </w:r>
      <w:r w:rsidR="00F67260">
        <w:t xml:space="preserve">and complete </w:t>
      </w:r>
      <w:r>
        <w:t xml:space="preserve">tutorials that indicate </w:t>
      </w:r>
      <w:r w:rsidR="00F67260">
        <w:t xml:space="preserve">their mastery of the policies and procedures required for </w:t>
      </w:r>
      <w:r>
        <w:t xml:space="preserve">students </w:t>
      </w:r>
      <w:r w:rsidR="00F67260">
        <w:t xml:space="preserve">to </w:t>
      </w:r>
      <w:r>
        <w:t>earn their Micro-Enterprise Credentials</w:t>
      </w:r>
      <w:r w:rsidRPr="008B56C6">
        <w:t>.</w:t>
      </w:r>
    </w:p>
    <w:p w14:paraId="0FCB93BE" w14:textId="77777777" w:rsidR="008B56C6" w:rsidRDefault="008B56C6" w:rsidP="00315376">
      <w:pPr>
        <w:jc w:val="both"/>
      </w:pPr>
    </w:p>
    <w:p w14:paraId="0FEFAB1B" w14:textId="2AD8EDBB" w:rsidR="008B56C6" w:rsidRDefault="008B56C6" w:rsidP="00315376">
      <w:pPr>
        <w:jc w:val="both"/>
      </w:pPr>
      <w:r>
        <w:t>This online system will be user-friendly</w:t>
      </w:r>
      <w:r w:rsidR="008D6462">
        <w:t>, providing</w:t>
      </w:r>
      <w:r>
        <w:t xml:space="preserve"> clear explanations along with a Help feature that </w:t>
      </w:r>
      <w:r w:rsidR="008D6462">
        <w:t>teachers can access if they have questions or need assistance.</w:t>
      </w:r>
    </w:p>
    <w:p w14:paraId="44F03098" w14:textId="77777777" w:rsidR="00AB0036" w:rsidRDefault="00AB0036" w:rsidP="00315376">
      <w:pPr>
        <w:jc w:val="both"/>
      </w:pPr>
    </w:p>
    <w:p w14:paraId="37BAABC2" w14:textId="6D58075A" w:rsidR="00864DA8" w:rsidRDefault="00EA03A7" w:rsidP="00F86D94">
      <w:pPr>
        <w:spacing w:after="180"/>
        <w:jc w:val="both"/>
      </w:pPr>
      <w:r>
        <w:t xml:space="preserve">The Micro-Enterprise Credential Online Teacher Registration consists of </w:t>
      </w:r>
      <w:r w:rsidR="00270F7E">
        <w:t xml:space="preserve">three </w:t>
      </w:r>
      <w:r>
        <w:t>modules:</w:t>
      </w:r>
    </w:p>
    <w:p w14:paraId="3B7B015F" w14:textId="5312FDBD" w:rsidR="00EA03A7" w:rsidRDefault="00EA03A7" w:rsidP="00F86D94">
      <w:pPr>
        <w:pStyle w:val="ListParagraph"/>
        <w:numPr>
          <w:ilvl w:val="0"/>
          <w:numId w:val="21"/>
        </w:numPr>
        <w:spacing w:after="180"/>
        <w:ind w:left="630"/>
        <w:contextualSpacing w:val="0"/>
        <w:jc w:val="both"/>
      </w:pPr>
      <w:r>
        <w:rPr>
          <w:u w:val="single"/>
        </w:rPr>
        <w:t>Confirming Certification Requirements</w:t>
      </w:r>
      <w:r>
        <w:t xml:space="preserve"> - the online system will confirm that teachers understand the certification requirements for each Micro-Enterprise Credential (Statewide, Regional Core, Complementary).  This will include, for example, the requirement that students must make presentations to </w:t>
      </w:r>
      <w:r>
        <w:rPr>
          <w:i/>
          <w:u w:val="single"/>
        </w:rPr>
        <w:t>unfamiliar workplace adults</w:t>
      </w:r>
      <w:r>
        <w:t xml:space="preserve"> to attain each</w:t>
      </w:r>
      <w:r w:rsidR="008171EF">
        <w:t xml:space="preserve"> one of these</w:t>
      </w:r>
      <w:r>
        <w:t xml:space="preserve"> credential</w:t>
      </w:r>
      <w:r w:rsidR="008171EF">
        <w:t>s</w:t>
      </w:r>
      <w:r>
        <w:t>;</w:t>
      </w:r>
    </w:p>
    <w:p w14:paraId="784FECC8" w14:textId="179C8492" w:rsidR="00EA03A7" w:rsidRDefault="00EA03A7" w:rsidP="00F86D94">
      <w:pPr>
        <w:pStyle w:val="ListParagraph"/>
        <w:numPr>
          <w:ilvl w:val="0"/>
          <w:numId w:val="21"/>
        </w:numPr>
        <w:spacing w:after="180"/>
        <w:ind w:left="630"/>
        <w:contextualSpacing w:val="0"/>
        <w:jc w:val="both"/>
      </w:pPr>
      <w:r>
        <w:rPr>
          <w:u w:val="single"/>
        </w:rPr>
        <w:t>Confirming Module Tracking System Requirements</w:t>
      </w:r>
      <w:r>
        <w:t xml:space="preserve"> - the online system will confirm that teachers understand how to use the online Module Tracking System to </w:t>
      </w:r>
      <w:r w:rsidR="00270F7E">
        <w:t>indicate the credential modules their students have completed</w:t>
      </w:r>
      <w:r>
        <w:t>.</w:t>
      </w:r>
      <w:r w:rsidR="00270F7E">
        <w:t xml:space="preserve">  This system will also indicate the </w:t>
      </w:r>
      <w:r w:rsidR="008171EF">
        <w:t xml:space="preserve">agreement that their district / charter school must complete prior to uploading student information to the Module Tracking System, as well as the </w:t>
      </w:r>
      <w:r w:rsidR="00270F7E">
        <w:t>records the teachers will need to keep for one school year for quality control audits.</w:t>
      </w:r>
      <w:r>
        <w:t xml:space="preserve">  </w:t>
      </w:r>
      <w:r>
        <w:rPr>
          <w:i/>
        </w:rPr>
        <w:t>Teachers will only get the password to the new Module Tracking System</w:t>
      </w:r>
      <w:r w:rsidR="00326F8D">
        <w:rPr>
          <w:i/>
        </w:rPr>
        <w:t xml:space="preserve"> to set up their student accounts</w:t>
      </w:r>
      <w:r>
        <w:rPr>
          <w:i/>
        </w:rPr>
        <w:t xml:space="preserve"> after they complete this section of the Online Teacher Registration </w:t>
      </w:r>
      <w:proofErr w:type="gramStart"/>
      <w:r>
        <w:rPr>
          <w:i/>
        </w:rPr>
        <w:t>system;</w:t>
      </w:r>
      <w:r w:rsidR="00326F8D">
        <w:t xml:space="preserve">  and</w:t>
      </w:r>
      <w:proofErr w:type="gramEnd"/>
    </w:p>
    <w:p w14:paraId="00A2F71E" w14:textId="473FE5F1" w:rsidR="00EA03A7" w:rsidRDefault="008171EF" w:rsidP="00F86D94">
      <w:pPr>
        <w:pStyle w:val="ListParagraph"/>
        <w:numPr>
          <w:ilvl w:val="0"/>
          <w:numId w:val="21"/>
        </w:numPr>
        <w:spacing w:after="180"/>
        <w:ind w:left="630"/>
        <w:contextualSpacing w:val="0"/>
        <w:jc w:val="both"/>
      </w:pPr>
      <w:r>
        <w:rPr>
          <w:u w:val="single"/>
        </w:rPr>
        <w:t>Administrative Requirements</w:t>
      </w:r>
      <w:r w:rsidR="00EA03A7">
        <w:t xml:space="preserve"> - </w:t>
      </w:r>
      <w:r w:rsidR="00D91835">
        <w:t xml:space="preserve">starting in 2017-2018, all districts / charter schools must establish an account with </w:t>
      </w:r>
      <w:proofErr w:type="spellStart"/>
      <w:r w:rsidR="00D91835">
        <w:t>BRAC</w:t>
      </w:r>
      <w:proofErr w:type="spellEnd"/>
      <w:r w:rsidR="00D91835">
        <w:t xml:space="preserve"> (the entity issuing all Micro-Enterprise Credentials) and </w:t>
      </w:r>
      <w:proofErr w:type="spellStart"/>
      <w:r w:rsidR="00D91835">
        <w:t>Questionmark</w:t>
      </w:r>
      <w:proofErr w:type="spellEnd"/>
      <w:r w:rsidR="00D91835">
        <w:t xml:space="preserve"> (the entity providing the exam for the Regional Core Micro-Enterprise Credential) </w:t>
      </w:r>
      <w:r w:rsidR="00D91835">
        <w:rPr>
          <w:i/>
          <w:u w:val="single"/>
        </w:rPr>
        <w:t>prior</w:t>
      </w:r>
      <w:r w:rsidR="00D91835">
        <w:t xml:space="preserve"> to students earning their credentials.  The online system will walk teachers</w:t>
      </w:r>
      <w:r w:rsidR="008B56C6">
        <w:t xml:space="preserve"> and their administrators</w:t>
      </w:r>
      <w:r w:rsidR="00D91835">
        <w:t xml:space="preserve"> through the process of establishing these accounts.</w:t>
      </w:r>
      <w:r w:rsidR="00D91835">
        <w:rPr>
          <w:rStyle w:val="FootnoteReference"/>
        </w:rPr>
        <w:footnoteReference w:id="1"/>
      </w:r>
      <w:r w:rsidR="00D91835">
        <w:t xml:space="preserve">  </w:t>
      </w:r>
      <w:r w:rsidR="00D91835">
        <w:rPr>
          <w:i/>
        </w:rPr>
        <w:t xml:space="preserve">Both </w:t>
      </w:r>
      <w:proofErr w:type="spellStart"/>
      <w:r w:rsidR="00D91835">
        <w:rPr>
          <w:i/>
        </w:rPr>
        <w:t>BRAC</w:t>
      </w:r>
      <w:proofErr w:type="spellEnd"/>
      <w:r w:rsidR="00D91835">
        <w:rPr>
          <w:i/>
        </w:rPr>
        <w:t xml:space="preserve"> and </w:t>
      </w:r>
      <w:proofErr w:type="spellStart"/>
      <w:r w:rsidR="00D91835">
        <w:rPr>
          <w:i/>
        </w:rPr>
        <w:t>Questionmark</w:t>
      </w:r>
      <w:proofErr w:type="spellEnd"/>
      <w:r w:rsidR="00D91835">
        <w:rPr>
          <w:i/>
        </w:rPr>
        <w:t xml:space="preserve"> will require districts / charter schools to make electronic payments starting 2017-2018</w:t>
      </w:r>
      <w:r w:rsidR="008D6462">
        <w:rPr>
          <w:i/>
        </w:rPr>
        <w:t>.</w:t>
      </w:r>
    </w:p>
    <w:p w14:paraId="2D5237DE" w14:textId="0BDE1FF8" w:rsidR="00ED5AB4" w:rsidRPr="00ED5AB4" w:rsidRDefault="00ED5AB4" w:rsidP="00ED5AB4">
      <w:pPr>
        <w:ind w:left="630"/>
        <w:jc w:val="both"/>
      </w:pPr>
      <w:r w:rsidRPr="00ED5AB4">
        <w:rPr>
          <w:i/>
        </w:rPr>
        <w:t>Note</w:t>
      </w:r>
      <w:r>
        <w:t>:  the Entrepreneurship and Small Business (</w:t>
      </w:r>
      <w:proofErr w:type="spellStart"/>
      <w:r>
        <w:t>ESB</w:t>
      </w:r>
      <w:proofErr w:type="spellEnd"/>
      <w:r>
        <w:t xml:space="preserve">) exam is a </w:t>
      </w:r>
      <w:proofErr w:type="spellStart"/>
      <w:r>
        <w:t>Certiport</w:t>
      </w:r>
      <w:proofErr w:type="spellEnd"/>
      <w:r>
        <w:t xml:space="preserve"> exam.  Teachers and their schools should confirm that their students have </w:t>
      </w:r>
      <w:r>
        <w:t xml:space="preserve">established commercial relationships with </w:t>
      </w:r>
      <w:proofErr w:type="spellStart"/>
      <w:r>
        <w:t>Certiport</w:t>
      </w:r>
      <w:proofErr w:type="spellEnd"/>
      <w:r>
        <w:t xml:space="preserve"> to give their students access to the </w:t>
      </w:r>
      <w:proofErr w:type="spellStart"/>
      <w:r>
        <w:t>ESB</w:t>
      </w:r>
      <w:proofErr w:type="spellEnd"/>
      <w:r>
        <w:t xml:space="preserve"> exam.</w:t>
      </w:r>
    </w:p>
    <w:p w14:paraId="4F8D0F35" w14:textId="77777777" w:rsidR="00ED5AB4" w:rsidRPr="00ED5AB4" w:rsidRDefault="00ED5AB4" w:rsidP="001A742D">
      <w:pPr>
        <w:jc w:val="both"/>
        <w:rPr>
          <w:i/>
          <w:sz w:val="18"/>
          <w:szCs w:val="18"/>
        </w:rPr>
      </w:pPr>
      <w:bookmarkStart w:id="0" w:name="_GoBack"/>
    </w:p>
    <w:bookmarkEnd w:id="0"/>
    <w:p w14:paraId="173A2033" w14:textId="409CF339" w:rsidR="005C0203" w:rsidRPr="00ED5AB4" w:rsidRDefault="008171EF" w:rsidP="001A742D">
      <w:pPr>
        <w:jc w:val="both"/>
        <w:rPr>
          <w:b/>
          <w:color w:val="FF0000"/>
        </w:rPr>
      </w:pPr>
      <w:r w:rsidRPr="00ED5AB4">
        <w:rPr>
          <w:b/>
          <w:i/>
          <w:color w:val="FF0000"/>
        </w:rPr>
        <w:t xml:space="preserve">The Micro-Enterprise Credential Online Teacher Registration system will provide confirmation once a teacher has completed each of these modules. </w:t>
      </w:r>
      <w:r w:rsidRPr="00ED5AB4">
        <w:rPr>
          <w:b/>
          <w:i/>
          <w:color w:val="FF0000"/>
          <w:highlight w:val="yellow"/>
        </w:rPr>
        <w:t xml:space="preserve"> </w:t>
      </w:r>
      <w:r w:rsidR="00326F8D" w:rsidRPr="00ED5AB4">
        <w:rPr>
          <w:b/>
          <w:i/>
          <w:color w:val="FF0000"/>
          <w:highlight w:val="yellow"/>
        </w:rPr>
        <w:t xml:space="preserve">This confirmation will be </w:t>
      </w:r>
      <w:r w:rsidR="00326F8D" w:rsidRPr="00ED5AB4">
        <w:rPr>
          <w:b/>
          <w:i/>
          <w:color w:val="FF0000"/>
          <w:highlight w:val="yellow"/>
          <w:u w:val="single"/>
        </w:rPr>
        <w:t>required</w:t>
      </w:r>
      <w:r w:rsidR="00326F8D" w:rsidRPr="00ED5AB4">
        <w:rPr>
          <w:b/>
          <w:i/>
          <w:color w:val="FF0000"/>
          <w:highlight w:val="yellow"/>
        </w:rPr>
        <w:t xml:space="preserve"> for </w:t>
      </w:r>
      <w:r w:rsidR="00326F8D" w:rsidRPr="00ED5AB4">
        <w:rPr>
          <w:b/>
          <w:i/>
          <w:color w:val="FF0000"/>
          <w:highlight w:val="yellow"/>
          <w:u w:val="single"/>
        </w:rPr>
        <w:t>all</w:t>
      </w:r>
      <w:r w:rsidR="00326F8D" w:rsidRPr="00ED5AB4">
        <w:rPr>
          <w:b/>
          <w:i/>
          <w:color w:val="FF0000"/>
          <w:highlight w:val="yellow"/>
        </w:rPr>
        <w:t xml:space="preserve"> Micro-Enterprise Credential teachers.</w:t>
      </w:r>
    </w:p>
    <w:p w14:paraId="29B3F656" w14:textId="77777777" w:rsidR="00F86D94" w:rsidRPr="00F86D94" w:rsidRDefault="00F86D94" w:rsidP="00F86D94">
      <w:pPr>
        <w:jc w:val="both"/>
        <w:rPr>
          <w:sz w:val="18"/>
          <w:szCs w:val="18"/>
        </w:rPr>
      </w:pPr>
    </w:p>
    <w:p w14:paraId="77FDFBE8" w14:textId="77777777" w:rsidR="00F86D94" w:rsidRDefault="00F86D94" w:rsidP="00F86D94">
      <w:pPr>
        <w:jc w:val="both"/>
      </w:pPr>
      <w:r>
        <w:t>Adhering to these policies and procedures will also avoid last minute crises when teachers and schools realize they haven't completed the administrative requirements necessary for students to graduate.</w:t>
      </w:r>
    </w:p>
    <w:p w14:paraId="7A44BF73" w14:textId="77777777" w:rsidR="00F86D94" w:rsidRPr="00F86D94" w:rsidRDefault="00F86D94" w:rsidP="00F86D94">
      <w:pPr>
        <w:jc w:val="both"/>
        <w:rPr>
          <w:sz w:val="16"/>
          <w:szCs w:val="16"/>
        </w:rPr>
      </w:pPr>
    </w:p>
    <w:tbl>
      <w:tblPr>
        <w:tblStyle w:val="TableGrid"/>
        <w:tblW w:w="0" w:type="auto"/>
        <w:tblInd w:w="738" w:type="dxa"/>
        <w:tblLook w:val="04A0" w:firstRow="1" w:lastRow="0" w:firstColumn="1" w:lastColumn="0" w:noHBand="0" w:noVBand="1"/>
      </w:tblPr>
      <w:tblGrid>
        <w:gridCol w:w="9630"/>
      </w:tblGrid>
      <w:tr w:rsidR="00ED5AB4" w14:paraId="1ABB9AFF" w14:textId="77777777" w:rsidTr="00ED5AB4">
        <w:trPr>
          <w:trHeight w:val="1794"/>
        </w:trPr>
        <w:tc>
          <w:tcPr>
            <w:tcW w:w="9630" w:type="dxa"/>
            <w:shd w:val="clear" w:color="auto" w:fill="F4E6FF"/>
          </w:tcPr>
          <w:p w14:paraId="48015C1C" w14:textId="77777777" w:rsidR="00F86D94" w:rsidRPr="00ED5AB4" w:rsidRDefault="00F86D94" w:rsidP="00ED5AB4">
            <w:pPr>
              <w:spacing w:before="80" w:after="80"/>
              <w:ind w:left="-17" w:right="-12"/>
              <w:jc w:val="center"/>
              <w:rPr>
                <w:b/>
                <w:sz w:val="24"/>
              </w:rPr>
            </w:pPr>
            <w:r w:rsidRPr="00ED5AB4">
              <w:rPr>
                <w:b/>
                <w:sz w:val="24"/>
                <w:highlight w:val="yellow"/>
              </w:rPr>
              <w:t>Let's work together to avoid last minute crises that could prevent students from graduating.</w:t>
            </w:r>
          </w:p>
          <w:p w14:paraId="77377D8D" w14:textId="7838A763" w:rsidR="00F86D94" w:rsidRPr="00ED5AB4" w:rsidRDefault="00BE5E61" w:rsidP="00ED5AB4">
            <w:pPr>
              <w:spacing w:before="80" w:after="80"/>
              <w:ind w:left="-17" w:right="-12"/>
              <w:jc w:val="center"/>
              <w:rPr>
                <w:b/>
                <w:sz w:val="24"/>
              </w:rPr>
            </w:pPr>
            <w:r w:rsidRPr="00ED5AB4">
              <w:rPr>
                <w:b/>
                <w:sz w:val="24"/>
              </w:rPr>
              <w:t xml:space="preserve">Please </w:t>
            </w:r>
            <w:r w:rsidR="00F86D94" w:rsidRPr="00ED5AB4">
              <w:rPr>
                <w:b/>
                <w:sz w:val="24"/>
              </w:rPr>
              <w:t>register on the Micro-Enterprise Credential Online Teacher Registration System at:</w:t>
            </w:r>
          </w:p>
          <w:p w14:paraId="26D89332" w14:textId="77777777" w:rsidR="00F86D94" w:rsidRPr="00ED5AB4" w:rsidRDefault="00F86D94" w:rsidP="00ED5AB4">
            <w:pPr>
              <w:spacing w:before="80" w:after="80"/>
              <w:jc w:val="center"/>
              <w:rPr>
                <w:b/>
                <w:i/>
                <w:color w:val="FF0000"/>
                <w:sz w:val="24"/>
              </w:rPr>
            </w:pPr>
            <w:r w:rsidRPr="00ED5AB4">
              <w:rPr>
                <w:b/>
                <w:i/>
                <w:color w:val="FF0000"/>
                <w:sz w:val="24"/>
              </w:rPr>
              <w:t>link</w:t>
            </w:r>
          </w:p>
          <w:p w14:paraId="75A3748F" w14:textId="3A719ADD" w:rsidR="00F86D94" w:rsidRDefault="00F86D94" w:rsidP="00ED5AB4">
            <w:pPr>
              <w:spacing w:before="80" w:after="80"/>
              <w:jc w:val="center"/>
            </w:pPr>
            <w:r w:rsidRPr="00ED5AB4">
              <w:rPr>
                <w:b/>
                <w:sz w:val="24"/>
              </w:rPr>
              <w:t xml:space="preserve">You can also send questions about any Micro-Enterprise Credential policies and procedures to </w:t>
            </w:r>
            <w:hyperlink r:id="rId7" w:history="1">
              <w:r w:rsidRPr="00ED5AB4">
                <w:rPr>
                  <w:rStyle w:val="Hyperlink"/>
                  <w:b/>
                  <w:sz w:val="24"/>
                </w:rPr>
                <w:t>JumpStart@la.gov</w:t>
              </w:r>
            </w:hyperlink>
          </w:p>
        </w:tc>
      </w:tr>
    </w:tbl>
    <w:p w14:paraId="7A11788E" w14:textId="7C7D5FCF" w:rsidR="00F86D94" w:rsidRPr="00833344" w:rsidRDefault="00F86D94" w:rsidP="00F86D94">
      <w:pPr>
        <w:jc w:val="both"/>
        <w:rPr>
          <w:b/>
          <w:sz w:val="28"/>
          <w:szCs w:val="28"/>
        </w:rPr>
      </w:pPr>
      <w:r>
        <w:rPr>
          <w:b/>
          <w:sz w:val="28"/>
          <w:szCs w:val="28"/>
        </w:rPr>
        <w:lastRenderedPageBreak/>
        <w:t>Recruiting Mentors and "Unfamiliar Workplace Adults"</w:t>
      </w:r>
    </w:p>
    <w:p w14:paraId="02B237BB" w14:textId="77777777" w:rsidR="00157722" w:rsidRDefault="00157722" w:rsidP="00157722">
      <w:pPr>
        <w:jc w:val="both"/>
      </w:pPr>
      <w:r>
        <w:t xml:space="preserve">It should come as no surprise to anyone working with Louisiana high school students that there is the opportunity to better prepare them to communicate effectively with adults who may not look or sound like them.  </w:t>
      </w:r>
      <w:r>
        <w:rPr>
          <w:i/>
        </w:rPr>
        <w:t>Helping our students master verbal (and written) communication skills are critical elements of all three Micro-Enterprise Credentials.</w:t>
      </w:r>
    </w:p>
    <w:p w14:paraId="0A10AC9F" w14:textId="77777777" w:rsidR="00157722" w:rsidRDefault="00157722" w:rsidP="00157722">
      <w:pPr>
        <w:jc w:val="both"/>
      </w:pPr>
    </w:p>
    <w:p w14:paraId="3CBAFF45" w14:textId="6FD6507E" w:rsidR="00157722" w:rsidRDefault="00157722" w:rsidP="00157722">
      <w:pPr>
        <w:jc w:val="both"/>
      </w:pPr>
      <w:r>
        <w:t xml:space="preserve">The best way to help students master key verbal communication skills is practice.  And the best </w:t>
      </w:r>
      <w:r w:rsidR="000B1867">
        <w:t xml:space="preserve">type of </w:t>
      </w:r>
      <w:r>
        <w:t>practice that best prepares students for the work of work is interacting with unfamiliar adults.</w:t>
      </w:r>
    </w:p>
    <w:p w14:paraId="606F50D9" w14:textId="77777777" w:rsidR="00157722" w:rsidRDefault="00157722" w:rsidP="00157722">
      <w:pPr>
        <w:jc w:val="both"/>
      </w:pPr>
    </w:p>
    <w:p w14:paraId="10F112AF" w14:textId="311EDADC" w:rsidR="00365088" w:rsidRPr="00365088" w:rsidRDefault="00157722" w:rsidP="00F86D94">
      <w:pPr>
        <w:jc w:val="both"/>
      </w:pPr>
      <w:r>
        <w:t>That's why a</w:t>
      </w:r>
      <w:r w:rsidR="00F86D94">
        <w:t xml:space="preserve"> requirement of all Micro-Enterprise Credentials is that students engage </w:t>
      </w:r>
      <w:r w:rsidR="00365088">
        <w:t xml:space="preserve">with </w:t>
      </w:r>
      <w:r w:rsidR="00365088">
        <w:rPr>
          <w:i/>
          <w:u w:val="single"/>
        </w:rPr>
        <w:t>unfamiliar workplace adults</w:t>
      </w:r>
      <w:r w:rsidR="00365088">
        <w:rPr>
          <w:u w:val="single"/>
        </w:rPr>
        <w:t>.</w:t>
      </w:r>
      <w:r w:rsidR="00365088" w:rsidRPr="00157722">
        <w:t xml:space="preserve"> </w:t>
      </w:r>
      <w:r w:rsidR="000B1867">
        <w:t xml:space="preserve">  U</w:t>
      </w:r>
      <w:r>
        <w:t xml:space="preserve">nfamiliar </w:t>
      </w:r>
      <w:r w:rsidR="00365088">
        <w:t xml:space="preserve">workplace adults are required for many aspects of all three credentials, including but not limited to:  1) Self-Assessment </w:t>
      </w:r>
      <w:proofErr w:type="gramStart"/>
      <w:r w:rsidR="00365088">
        <w:t>Presentations;  2</w:t>
      </w:r>
      <w:proofErr w:type="gramEnd"/>
      <w:r w:rsidR="00365088">
        <w:t xml:space="preserve">) Performance Feedback Exercises;  and  3) </w:t>
      </w:r>
      <w:r w:rsidR="00365088">
        <w:rPr>
          <w:i/>
        </w:rPr>
        <w:t>Act Right / Dress Right</w:t>
      </w:r>
      <w:r w:rsidR="00365088">
        <w:t xml:space="preserve"> exercises.</w:t>
      </w:r>
    </w:p>
    <w:p w14:paraId="788B45F1" w14:textId="77777777" w:rsidR="00365088" w:rsidRDefault="00365088" w:rsidP="00F86D94">
      <w:pPr>
        <w:jc w:val="both"/>
      </w:pPr>
    </w:p>
    <w:p w14:paraId="0D1A1C5D" w14:textId="77777777" w:rsidR="000B1867" w:rsidRPr="00157722" w:rsidRDefault="000B1867" w:rsidP="000B1867">
      <w:pPr>
        <w:jc w:val="both"/>
      </w:pPr>
      <w:r w:rsidRPr="00157722">
        <w:rPr>
          <w:i/>
        </w:rPr>
        <w:t xml:space="preserve">With very limited exceptions, other teachers from the school will </w:t>
      </w:r>
      <w:r w:rsidRPr="00157722">
        <w:rPr>
          <w:i/>
          <w:u w:val="single"/>
        </w:rPr>
        <w:t>not</w:t>
      </w:r>
      <w:r w:rsidRPr="00157722">
        <w:rPr>
          <w:i/>
        </w:rPr>
        <w:t xml:space="preserve"> qualify</w:t>
      </w:r>
      <w:r w:rsidRPr="00157722">
        <w:t xml:space="preserve"> </w:t>
      </w:r>
      <w:r w:rsidRPr="00157722">
        <w:rPr>
          <w:i/>
        </w:rPr>
        <w:t>as "unfamiliar workplace adults.</w:t>
      </w:r>
      <w:r>
        <w:rPr>
          <w:rStyle w:val="FootnoteReference"/>
          <w:i/>
        </w:rPr>
        <w:footnoteReference w:id="2"/>
      </w:r>
    </w:p>
    <w:p w14:paraId="7C05FF25" w14:textId="77777777" w:rsidR="000B1867" w:rsidRDefault="000B1867" w:rsidP="00F86D94">
      <w:pPr>
        <w:jc w:val="both"/>
      </w:pPr>
    </w:p>
    <w:p w14:paraId="07B74555" w14:textId="75ADD938" w:rsidR="00365088" w:rsidRDefault="000B1867" w:rsidP="00F86D94">
      <w:pPr>
        <w:jc w:val="both"/>
      </w:pPr>
      <w:r>
        <w:t>We realize that this requirement will place a burden on teachers helping students earn their Micro-Enterprise Credentials.  M</w:t>
      </w:r>
      <w:r w:rsidR="00365088">
        <w:t xml:space="preserve">any teachers will find it easy to recruit lots of in-person speakers locally.  </w:t>
      </w:r>
      <w:r>
        <w:t>Unfortunately, o</w:t>
      </w:r>
      <w:r w:rsidR="00365088">
        <w:t xml:space="preserve">ther schools will find this </w:t>
      </w:r>
      <w:r>
        <w:t xml:space="preserve">a </w:t>
      </w:r>
      <w:r w:rsidR="00365088">
        <w:t>very difficult</w:t>
      </w:r>
      <w:r>
        <w:t xml:space="preserve"> task</w:t>
      </w:r>
      <w:r w:rsidR="00365088">
        <w:t>.</w:t>
      </w:r>
    </w:p>
    <w:p w14:paraId="504B6F83" w14:textId="77777777" w:rsidR="00365088" w:rsidRDefault="00365088" w:rsidP="00F86D94">
      <w:pPr>
        <w:jc w:val="both"/>
      </w:pPr>
    </w:p>
    <w:p w14:paraId="56112C92" w14:textId="77777777" w:rsidR="000B1867" w:rsidRDefault="000B1867" w:rsidP="00F86D94">
      <w:pPr>
        <w:jc w:val="both"/>
      </w:pPr>
      <w:r w:rsidRPr="000B1867">
        <w:rPr>
          <w:b/>
          <w:i/>
        </w:rPr>
        <w:t>T</w:t>
      </w:r>
      <w:r w:rsidR="00365088" w:rsidRPr="000B1867">
        <w:rPr>
          <w:b/>
          <w:i/>
        </w:rPr>
        <w:t xml:space="preserve">eachers without access to local in-person mentors will want to use </w:t>
      </w:r>
      <w:proofErr w:type="spellStart"/>
      <w:r w:rsidR="00365088" w:rsidRPr="000B1867">
        <w:rPr>
          <w:b/>
          <w:i/>
        </w:rPr>
        <w:t>Nepris</w:t>
      </w:r>
      <w:proofErr w:type="spellEnd"/>
      <w:r w:rsidR="00365088" w:rsidRPr="000B1867">
        <w:rPr>
          <w:b/>
          <w:i/>
        </w:rPr>
        <w:t xml:space="preserve"> or some other similar system to recruit and interact with online mentors. </w:t>
      </w:r>
      <w:r w:rsidR="00365088">
        <w:t xml:space="preserve"> </w:t>
      </w:r>
    </w:p>
    <w:p w14:paraId="3359E7AB" w14:textId="77777777" w:rsidR="000B1867" w:rsidRDefault="000B1867" w:rsidP="00F86D94">
      <w:pPr>
        <w:jc w:val="both"/>
      </w:pPr>
    </w:p>
    <w:p w14:paraId="06395778" w14:textId="4A4EF97E" w:rsidR="00365088" w:rsidRDefault="000B1867" w:rsidP="00F86D94">
      <w:pPr>
        <w:jc w:val="both"/>
      </w:pPr>
      <w:proofErr w:type="gramStart"/>
      <w:r>
        <w:t>Fortunately</w:t>
      </w:r>
      <w:proofErr w:type="gramEnd"/>
      <w:r>
        <w:t xml:space="preserve"> </w:t>
      </w:r>
      <w:proofErr w:type="spellStart"/>
      <w:r w:rsidR="00365088">
        <w:t>Nepris</w:t>
      </w:r>
      <w:proofErr w:type="spellEnd"/>
      <w:r w:rsidR="00365088">
        <w:t xml:space="preserve"> has establish</w:t>
      </w:r>
      <w:r>
        <w:t>ed</w:t>
      </w:r>
      <w:r w:rsidR="00365088">
        <w:t xml:space="preserve"> regional networks of mentors - with representatives from many different industries, as well as </w:t>
      </w:r>
      <w:r w:rsidR="00157722">
        <w:t>workplace experts</w:t>
      </w:r>
      <w:r w:rsidR="00365088">
        <w:t xml:space="preserve"> recruited specifically to </w:t>
      </w:r>
      <w:r w:rsidR="00157722">
        <w:t>mentor</w:t>
      </w:r>
      <w:r w:rsidR="00365088">
        <w:t xml:space="preserve"> students with disabilities - </w:t>
      </w:r>
      <w:r>
        <w:t>to make this task easier.</w:t>
      </w:r>
    </w:p>
    <w:p w14:paraId="352D50A0" w14:textId="77777777" w:rsidR="00365088" w:rsidRDefault="00365088" w:rsidP="00F86D94">
      <w:pPr>
        <w:jc w:val="both"/>
      </w:pPr>
    </w:p>
    <w:p w14:paraId="267AE17E" w14:textId="2F762E1C" w:rsidR="00365088" w:rsidRPr="009E4404" w:rsidRDefault="00365088" w:rsidP="00F86D94">
      <w:pPr>
        <w:jc w:val="both"/>
        <w:rPr>
          <w:b/>
          <w:i/>
          <w:color w:val="0432FF"/>
        </w:rPr>
      </w:pPr>
      <w:r w:rsidRPr="009E4404">
        <w:rPr>
          <w:b/>
          <w:i/>
          <w:color w:val="0432FF"/>
          <w:highlight w:val="yellow"/>
        </w:rPr>
        <w:t>Please contact Laura Smith at the Louisiana Co</w:t>
      </w:r>
      <w:r w:rsidR="000B1867" w:rsidRPr="009E4404">
        <w:rPr>
          <w:b/>
          <w:i/>
          <w:color w:val="0432FF"/>
          <w:highlight w:val="yellow"/>
        </w:rPr>
        <w:t>uncil for Economic Education (</w:t>
      </w:r>
      <w:r w:rsidRPr="009E4404">
        <w:rPr>
          <w:b/>
          <w:i/>
          <w:color w:val="0432FF"/>
          <w:highlight w:val="yellow"/>
        </w:rPr>
        <w:t>laura@lcee.org</w:t>
      </w:r>
      <w:r w:rsidR="000B1867" w:rsidRPr="009E4404">
        <w:rPr>
          <w:b/>
          <w:i/>
          <w:color w:val="0432FF"/>
          <w:highlight w:val="yellow"/>
        </w:rPr>
        <w:t>)</w:t>
      </w:r>
      <w:r w:rsidRPr="009E4404">
        <w:rPr>
          <w:b/>
          <w:i/>
          <w:color w:val="0432FF"/>
          <w:highlight w:val="yellow"/>
        </w:rPr>
        <w:t xml:space="preserve"> for help in using </w:t>
      </w:r>
      <w:proofErr w:type="spellStart"/>
      <w:r w:rsidRPr="009E4404">
        <w:rPr>
          <w:b/>
          <w:i/>
          <w:color w:val="0432FF"/>
          <w:highlight w:val="yellow"/>
        </w:rPr>
        <w:t>Nepris</w:t>
      </w:r>
      <w:proofErr w:type="spellEnd"/>
      <w:r w:rsidRPr="009E4404">
        <w:rPr>
          <w:b/>
          <w:i/>
          <w:color w:val="0432FF"/>
          <w:highlight w:val="yellow"/>
        </w:rPr>
        <w:t xml:space="preserve"> and their regional mentor networks.</w:t>
      </w:r>
    </w:p>
    <w:p w14:paraId="0E807297" w14:textId="77777777" w:rsidR="00F86D94" w:rsidRDefault="00F86D94" w:rsidP="003649B1">
      <w:pPr>
        <w:jc w:val="both"/>
        <w:rPr>
          <w:b/>
          <w:sz w:val="24"/>
        </w:rPr>
      </w:pPr>
    </w:p>
    <w:p w14:paraId="307A8032" w14:textId="73E815CC" w:rsidR="00BE5E61" w:rsidRPr="009E4404" w:rsidRDefault="00BE5E61" w:rsidP="003649B1">
      <w:pPr>
        <w:jc w:val="both"/>
        <w:rPr>
          <w:szCs w:val="22"/>
        </w:rPr>
      </w:pPr>
      <w:r w:rsidRPr="009E4404">
        <w:rPr>
          <w:b/>
          <w:color w:val="0432FF"/>
          <w:szCs w:val="22"/>
        </w:rPr>
        <w:t xml:space="preserve">Don't wait until the last minute. </w:t>
      </w:r>
      <w:r w:rsidRPr="009E4404">
        <w:rPr>
          <w:b/>
          <w:szCs w:val="22"/>
        </w:rPr>
        <w:t xml:space="preserve"> </w:t>
      </w:r>
      <w:r w:rsidRPr="009E4404">
        <w:rPr>
          <w:szCs w:val="22"/>
        </w:rPr>
        <w:t>Start recruiting your unfamiliar workplace adult mentors early in the school year.</w:t>
      </w:r>
    </w:p>
    <w:p w14:paraId="70B8BC01" w14:textId="77777777" w:rsidR="00F86D94" w:rsidRPr="000B1867" w:rsidRDefault="00F86D94" w:rsidP="003649B1">
      <w:pPr>
        <w:jc w:val="both"/>
        <w:rPr>
          <w:b/>
          <w:sz w:val="24"/>
        </w:rPr>
      </w:pPr>
    </w:p>
    <w:p w14:paraId="0F71621E" w14:textId="77777777" w:rsidR="009E4404" w:rsidRDefault="009E4404" w:rsidP="003649B1">
      <w:pPr>
        <w:jc w:val="both"/>
        <w:rPr>
          <w:b/>
          <w:sz w:val="28"/>
          <w:szCs w:val="28"/>
        </w:rPr>
      </w:pPr>
    </w:p>
    <w:p w14:paraId="04C5DCC1" w14:textId="65B5FC19" w:rsidR="003649B1" w:rsidRPr="00833344" w:rsidRDefault="00326F8D" w:rsidP="003649B1">
      <w:pPr>
        <w:jc w:val="both"/>
        <w:rPr>
          <w:b/>
          <w:sz w:val="28"/>
          <w:szCs w:val="28"/>
        </w:rPr>
      </w:pPr>
      <w:r>
        <w:rPr>
          <w:b/>
          <w:sz w:val="28"/>
          <w:szCs w:val="28"/>
        </w:rPr>
        <w:t>Record Retention Requirements for the Statewide Micro-Enterprise Credential</w:t>
      </w:r>
    </w:p>
    <w:p w14:paraId="162DB667" w14:textId="6B42E6C2" w:rsidR="003649B1" w:rsidRDefault="00326F8D" w:rsidP="00326F8D">
      <w:pPr>
        <w:spacing w:after="120"/>
        <w:jc w:val="both"/>
      </w:pPr>
      <w:r>
        <w:t>For the Statewide Micro-Enterprise Credential, the required documentation for each student is:</w:t>
      </w:r>
    </w:p>
    <w:p w14:paraId="320BC939" w14:textId="2C1536F0" w:rsidR="00C765FE" w:rsidRDefault="00326F8D" w:rsidP="00326F8D">
      <w:pPr>
        <w:pStyle w:val="ListParagraph"/>
        <w:numPr>
          <w:ilvl w:val="0"/>
          <w:numId w:val="22"/>
        </w:numPr>
        <w:spacing w:after="120"/>
        <w:contextualSpacing w:val="0"/>
        <w:jc w:val="both"/>
      </w:pPr>
      <w:r>
        <w:t>Business Concept:  no documentation is required;</w:t>
      </w:r>
    </w:p>
    <w:p w14:paraId="6AEBC47A" w14:textId="198A204C" w:rsidR="00C765FE" w:rsidRDefault="00326F8D" w:rsidP="00326F8D">
      <w:pPr>
        <w:pStyle w:val="ListParagraph"/>
        <w:numPr>
          <w:ilvl w:val="0"/>
          <w:numId w:val="22"/>
        </w:numPr>
        <w:spacing w:after="120"/>
        <w:contextualSpacing w:val="0"/>
        <w:jc w:val="both"/>
      </w:pPr>
      <w:r>
        <w:t>Company Leadership Suite:  retain the student's Personal Job Description;</w:t>
      </w:r>
    </w:p>
    <w:p w14:paraId="2D091593" w14:textId="6792CE7D" w:rsidR="00C765FE" w:rsidRDefault="00326F8D" w:rsidP="00326F8D">
      <w:pPr>
        <w:pStyle w:val="ListParagraph"/>
        <w:numPr>
          <w:ilvl w:val="0"/>
          <w:numId w:val="22"/>
        </w:numPr>
        <w:spacing w:after="120"/>
        <w:contextualSpacing w:val="0"/>
        <w:jc w:val="both"/>
      </w:pPr>
      <w:r>
        <w:t>Networking:  no documentation is required;</w:t>
      </w:r>
    </w:p>
    <w:p w14:paraId="166270E8" w14:textId="6DBDB39E" w:rsidR="00326F8D" w:rsidRDefault="00326F8D" w:rsidP="00326F8D">
      <w:pPr>
        <w:pStyle w:val="ListParagraph"/>
        <w:numPr>
          <w:ilvl w:val="0"/>
          <w:numId w:val="22"/>
        </w:numPr>
        <w:spacing w:after="120"/>
        <w:contextualSpacing w:val="0"/>
        <w:jc w:val="both"/>
      </w:pPr>
      <w:r>
        <w:t>Business and Marketing Plan:  retain the student's / team business plan;</w:t>
      </w:r>
    </w:p>
    <w:p w14:paraId="26CF747B" w14:textId="4AA2CDB9" w:rsidR="00326F8D" w:rsidRDefault="00326F8D" w:rsidP="00326F8D">
      <w:pPr>
        <w:pStyle w:val="ListParagraph"/>
        <w:numPr>
          <w:ilvl w:val="0"/>
          <w:numId w:val="22"/>
        </w:numPr>
        <w:spacing w:after="120"/>
        <w:contextualSpacing w:val="0"/>
        <w:jc w:val="both"/>
      </w:pPr>
      <w:r>
        <w:t xml:space="preserve">Business Pitch:  no documentation is </w:t>
      </w:r>
      <w:proofErr w:type="gramStart"/>
      <w:r>
        <w:t>required</w:t>
      </w:r>
      <w:r w:rsidR="004B00FD">
        <w:t>;  and</w:t>
      </w:r>
      <w:proofErr w:type="gramEnd"/>
    </w:p>
    <w:p w14:paraId="5063F170" w14:textId="3D4B5436" w:rsidR="00C765FE" w:rsidRDefault="00326F8D" w:rsidP="00326F8D">
      <w:pPr>
        <w:pStyle w:val="ListParagraph"/>
        <w:numPr>
          <w:ilvl w:val="0"/>
          <w:numId w:val="22"/>
        </w:numPr>
        <w:jc w:val="both"/>
      </w:pPr>
      <w:r>
        <w:t xml:space="preserve">Pass the </w:t>
      </w:r>
      <w:proofErr w:type="spellStart"/>
      <w:r>
        <w:t>ESB</w:t>
      </w:r>
      <w:proofErr w:type="spellEnd"/>
      <w:r>
        <w:t xml:space="preserve"> Exam:  </w:t>
      </w:r>
      <w:proofErr w:type="spellStart"/>
      <w:r>
        <w:t>Certiport</w:t>
      </w:r>
      <w:proofErr w:type="spellEnd"/>
      <w:r>
        <w:t xml:space="preserve"> will provide the required documentation.</w:t>
      </w:r>
    </w:p>
    <w:p w14:paraId="72BB3CEB" w14:textId="77777777" w:rsidR="003649B1" w:rsidRDefault="003649B1" w:rsidP="003649B1">
      <w:pPr>
        <w:jc w:val="both"/>
      </w:pPr>
    </w:p>
    <w:p w14:paraId="686E14BF" w14:textId="71B6A2EE" w:rsidR="00B27589" w:rsidRDefault="009E4404" w:rsidP="007B0C6D">
      <w:pPr>
        <w:jc w:val="both"/>
      </w:pPr>
      <w:r>
        <w:t xml:space="preserve">Teachers should keep documentation for </w:t>
      </w:r>
      <w:r>
        <w:rPr>
          <w:u w:val="single"/>
        </w:rPr>
        <w:t>one year</w:t>
      </w:r>
      <w:r>
        <w:t xml:space="preserve"> after a student completes his / her Micro-Enterprise Credential.  (To be on the safe side, some teachers will keep student documentation until one year after the student graduates.)</w:t>
      </w:r>
    </w:p>
    <w:sectPr w:rsidR="00B27589" w:rsidSect="00BA7CDD">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553C9" w14:textId="77777777" w:rsidR="00CC0E2A" w:rsidRDefault="00CC0E2A" w:rsidP="00DB0209">
      <w:r>
        <w:separator/>
      </w:r>
    </w:p>
  </w:endnote>
  <w:endnote w:type="continuationSeparator" w:id="0">
    <w:p w14:paraId="00802677" w14:textId="77777777" w:rsidR="00CC0E2A" w:rsidRDefault="00CC0E2A"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5880412"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AB0036">
      <w:rPr>
        <w:sz w:val="20"/>
        <w:szCs w:val="20"/>
      </w:rPr>
      <w:t xml:space="preserve">  Resource 21-04</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ED5AB4">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ED5AB4">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7CE0F8E6"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21-0</w:t>
    </w:r>
    <w:r w:rsidR="00AB0036">
      <w:rPr>
        <w:sz w:val="20"/>
        <w:szCs w:val="20"/>
      </w:rPr>
      <w:t>4</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ED5AB4">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ED5AB4">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3C58E" w14:textId="77777777" w:rsidR="00CC0E2A" w:rsidRDefault="00CC0E2A" w:rsidP="00DB0209">
      <w:r>
        <w:separator/>
      </w:r>
    </w:p>
  </w:footnote>
  <w:footnote w:type="continuationSeparator" w:id="0">
    <w:p w14:paraId="5A7FD76B" w14:textId="77777777" w:rsidR="00CC0E2A" w:rsidRDefault="00CC0E2A" w:rsidP="00DB0209">
      <w:r>
        <w:continuationSeparator/>
      </w:r>
    </w:p>
  </w:footnote>
  <w:footnote w:id="1">
    <w:p w14:paraId="51129636" w14:textId="4E065F96" w:rsidR="00D91835" w:rsidRPr="00D91835" w:rsidRDefault="00D91835">
      <w:pPr>
        <w:pStyle w:val="FootnoteText"/>
        <w:rPr>
          <w:sz w:val="17"/>
          <w:szCs w:val="17"/>
        </w:rPr>
      </w:pPr>
      <w:r w:rsidRPr="00D91835">
        <w:rPr>
          <w:rStyle w:val="FootnoteReference"/>
          <w:sz w:val="17"/>
          <w:szCs w:val="17"/>
        </w:rPr>
        <w:footnoteRef/>
      </w:r>
      <w:r w:rsidRPr="00D91835">
        <w:rPr>
          <w:sz w:val="17"/>
          <w:szCs w:val="17"/>
        </w:rPr>
        <w:t xml:space="preserve"> - the online system will confirm if your district / charter school already has an account with </w:t>
      </w:r>
      <w:proofErr w:type="spellStart"/>
      <w:r w:rsidRPr="00D91835">
        <w:rPr>
          <w:sz w:val="17"/>
          <w:szCs w:val="17"/>
        </w:rPr>
        <w:t>BRAC</w:t>
      </w:r>
      <w:proofErr w:type="spellEnd"/>
      <w:r w:rsidRPr="00D91835">
        <w:rPr>
          <w:sz w:val="17"/>
          <w:szCs w:val="17"/>
        </w:rPr>
        <w:t xml:space="preserve"> and/or </w:t>
      </w:r>
      <w:proofErr w:type="spellStart"/>
      <w:r w:rsidRPr="00D91835">
        <w:rPr>
          <w:sz w:val="17"/>
          <w:szCs w:val="17"/>
        </w:rPr>
        <w:t>Questionmark</w:t>
      </w:r>
      <w:proofErr w:type="spellEnd"/>
      <w:r w:rsidRPr="00D91835">
        <w:rPr>
          <w:sz w:val="17"/>
          <w:szCs w:val="17"/>
        </w:rPr>
        <w:t xml:space="preserve"> to avoid duplicative paperwork</w:t>
      </w:r>
    </w:p>
  </w:footnote>
  <w:footnote w:id="2">
    <w:p w14:paraId="5ED3EFF9" w14:textId="77777777" w:rsidR="000B1867" w:rsidRPr="00157722" w:rsidRDefault="000B1867" w:rsidP="000B1867">
      <w:pPr>
        <w:pStyle w:val="FootnoteText"/>
        <w:rPr>
          <w:sz w:val="17"/>
          <w:szCs w:val="17"/>
        </w:rPr>
      </w:pPr>
      <w:r w:rsidRPr="00157722">
        <w:rPr>
          <w:rStyle w:val="FootnoteReference"/>
          <w:sz w:val="17"/>
          <w:szCs w:val="17"/>
        </w:rPr>
        <w:footnoteRef/>
      </w:r>
      <w:r w:rsidRPr="00157722">
        <w:rPr>
          <w:sz w:val="17"/>
          <w:szCs w:val="17"/>
        </w:rPr>
        <w:t xml:space="preserve"> - only teachers from a different school who have business backgrounds may serve as "unfamiliar workplace adults"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6661B8EA" w:rsidR="008733CD"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sidRPr="003F5B9A">
      <w:rPr>
        <w:b/>
        <w:sz w:val="28"/>
        <w:szCs w:val="28"/>
      </w:rPr>
      <w:t>Micro-Enterprise Credential</w:t>
    </w:r>
  </w:p>
  <w:p w14:paraId="4DFFC3AC" w14:textId="68026F14" w:rsidR="00AB0036" w:rsidRPr="003F5B9A" w:rsidRDefault="00AB0036" w:rsidP="00864DA8">
    <w:pPr>
      <w:pStyle w:val="Header"/>
      <w:jc w:val="center"/>
      <w:rPr>
        <w:b/>
        <w:sz w:val="28"/>
        <w:szCs w:val="28"/>
      </w:rPr>
    </w:pPr>
    <w:r>
      <w:rPr>
        <w:b/>
        <w:sz w:val="28"/>
        <w:szCs w:val="28"/>
      </w:rPr>
      <w:t>Relevant Policy and Procedure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693A3B2D" w:rsidR="00864DA8" w:rsidRDefault="00864DA8" w:rsidP="00864DA8">
    <w:pPr>
      <w:pStyle w:val="Header"/>
      <w:jc w:val="center"/>
    </w:pPr>
    <w:r>
      <w:rPr>
        <w:b/>
        <w:color w:val="7030A0"/>
      </w:rPr>
      <w:t>Resource 21-0</w:t>
    </w:r>
    <w:r w:rsidR="00AB0036">
      <w:rPr>
        <w:b/>
        <w:color w:val="7030A0"/>
      </w:rPr>
      <w:t>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C8E"/>
    <w:multiLevelType w:val="hybridMultilevel"/>
    <w:tmpl w:val="C80A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F3A94"/>
    <w:multiLevelType w:val="hybridMultilevel"/>
    <w:tmpl w:val="E5A48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8"/>
  </w:num>
  <w:num w:numId="5">
    <w:abstractNumId w:val="5"/>
  </w:num>
  <w:num w:numId="6">
    <w:abstractNumId w:val="10"/>
  </w:num>
  <w:num w:numId="7">
    <w:abstractNumId w:val="4"/>
  </w:num>
  <w:num w:numId="8">
    <w:abstractNumId w:val="19"/>
  </w:num>
  <w:num w:numId="9">
    <w:abstractNumId w:val="9"/>
  </w:num>
  <w:num w:numId="10">
    <w:abstractNumId w:val="7"/>
  </w:num>
  <w:num w:numId="11">
    <w:abstractNumId w:val="2"/>
  </w:num>
  <w:num w:numId="12">
    <w:abstractNumId w:val="18"/>
  </w:num>
  <w:num w:numId="13">
    <w:abstractNumId w:val="15"/>
  </w:num>
  <w:num w:numId="14">
    <w:abstractNumId w:val="14"/>
  </w:num>
  <w:num w:numId="15">
    <w:abstractNumId w:val="3"/>
  </w:num>
  <w:num w:numId="16">
    <w:abstractNumId w:val="16"/>
  </w:num>
  <w:num w:numId="17">
    <w:abstractNumId w:val="6"/>
  </w:num>
  <w:num w:numId="18">
    <w:abstractNumId w:val="1"/>
  </w:num>
  <w:num w:numId="19">
    <w:abstractNumId w:val="11"/>
  </w:num>
  <w:num w:numId="20">
    <w:abstractNumId w:val="21"/>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4597"/>
    <w:rsid w:val="0006568A"/>
    <w:rsid w:val="00075DD1"/>
    <w:rsid w:val="000B1867"/>
    <w:rsid w:val="000B57DF"/>
    <w:rsid w:val="000B6A8F"/>
    <w:rsid w:val="000B7620"/>
    <w:rsid w:val="000D5755"/>
    <w:rsid w:val="000F0BB7"/>
    <w:rsid w:val="000F2369"/>
    <w:rsid w:val="000F3851"/>
    <w:rsid w:val="00107399"/>
    <w:rsid w:val="0011731E"/>
    <w:rsid w:val="00146519"/>
    <w:rsid w:val="00152235"/>
    <w:rsid w:val="00157722"/>
    <w:rsid w:val="00172D81"/>
    <w:rsid w:val="00180378"/>
    <w:rsid w:val="001A2528"/>
    <w:rsid w:val="001A742D"/>
    <w:rsid w:val="001E7F4F"/>
    <w:rsid w:val="00233E53"/>
    <w:rsid w:val="002650B2"/>
    <w:rsid w:val="00266179"/>
    <w:rsid w:val="00270F7E"/>
    <w:rsid w:val="00276AF0"/>
    <w:rsid w:val="00287824"/>
    <w:rsid w:val="00293A70"/>
    <w:rsid w:val="002A77D7"/>
    <w:rsid w:val="002A7E30"/>
    <w:rsid w:val="002D451B"/>
    <w:rsid w:val="002F0B75"/>
    <w:rsid w:val="00303555"/>
    <w:rsid w:val="00305A2C"/>
    <w:rsid w:val="0031188B"/>
    <w:rsid w:val="00315376"/>
    <w:rsid w:val="00320170"/>
    <w:rsid w:val="00326F8D"/>
    <w:rsid w:val="00341286"/>
    <w:rsid w:val="003649B1"/>
    <w:rsid w:val="00365088"/>
    <w:rsid w:val="0037108A"/>
    <w:rsid w:val="00373E65"/>
    <w:rsid w:val="003942F4"/>
    <w:rsid w:val="003A38D7"/>
    <w:rsid w:val="003B02B2"/>
    <w:rsid w:val="003B3752"/>
    <w:rsid w:val="003B3AAB"/>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B265E"/>
    <w:rsid w:val="005C0203"/>
    <w:rsid w:val="0060133E"/>
    <w:rsid w:val="00610312"/>
    <w:rsid w:val="0061147D"/>
    <w:rsid w:val="00615A7A"/>
    <w:rsid w:val="00622037"/>
    <w:rsid w:val="006326FF"/>
    <w:rsid w:val="0065697D"/>
    <w:rsid w:val="00667D16"/>
    <w:rsid w:val="00672740"/>
    <w:rsid w:val="00673996"/>
    <w:rsid w:val="006742D6"/>
    <w:rsid w:val="00674C07"/>
    <w:rsid w:val="006829A2"/>
    <w:rsid w:val="00684CF7"/>
    <w:rsid w:val="006A1FC4"/>
    <w:rsid w:val="006B13CA"/>
    <w:rsid w:val="006B2315"/>
    <w:rsid w:val="006B2C4D"/>
    <w:rsid w:val="006B3885"/>
    <w:rsid w:val="006B6618"/>
    <w:rsid w:val="006D1704"/>
    <w:rsid w:val="006D33A6"/>
    <w:rsid w:val="006D576D"/>
    <w:rsid w:val="006D712F"/>
    <w:rsid w:val="006E61E8"/>
    <w:rsid w:val="00717D2B"/>
    <w:rsid w:val="00721D28"/>
    <w:rsid w:val="007223F6"/>
    <w:rsid w:val="0072412B"/>
    <w:rsid w:val="007244F9"/>
    <w:rsid w:val="0074242B"/>
    <w:rsid w:val="00751391"/>
    <w:rsid w:val="00754ABF"/>
    <w:rsid w:val="00757825"/>
    <w:rsid w:val="00776BC3"/>
    <w:rsid w:val="007831F0"/>
    <w:rsid w:val="0078468A"/>
    <w:rsid w:val="00796D50"/>
    <w:rsid w:val="007A3FB6"/>
    <w:rsid w:val="007B0C6D"/>
    <w:rsid w:val="007B3E04"/>
    <w:rsid w:val="007C2D81"/>
    <w:rsid w:val="007D1BE3"/>
    <w:rsid w:val="007D5973"/>
    <w:rsid w:val="007E25CE"/>
    <w:rsid w:val="007E6956"/>
    <w:rsid w:val="007F409A"/>
    <w:rsid w:val="00810B33"/>
    <w:rsid w:val="008171EF"/>
    <w:rsid w:val="00817C95"/>
    <w:rsid w:val="00833344"/>
    <w:rsid w:val="008401FE"/>
    <w:rsid w:val="008411B6"/>
    <w:rsid w:val="0085243B"/>
    <w:rsid w:val="00861497"/>
    <w:rsid w:val="008641D2"/>
    <w:rsid w:val="00864DA8"/>
    <w:rsid w:val="008733CD"/>
    <w:rsid w:val="008737FD"/>
    <w:rsid w:val="008831A8"/>
    <w:rsid w:val="00883206"/>
    <w:rsid w:val="00886AD1"/>
    <w:rsid w:val="00891500"/>
    <w:rsid w:val="008B56C6"/>
    <w:rsid w:val="008D6462"/>
    <w:rsid w:val="008E0119"/>
    <w:rsid w:val="008F7A80"/>
    <w:rsid w:val="00903513"/>
    <w:rsid w:val="00916FA6"/>
    <w:rsid w:val="00943A87"/>
    <w:rsid w:val="009461A1"/>
    <w:rsid w:val="009511BC"/>
    <w:rsid w:val="0097037D"/>
    <w:rsid w:val="009C6D21"/>
    <w:rsid w:val="009D4EA5"/>
    <w:rsid w:val="009E0FBC"/>
    <w:rsid w:val="009E36C6"/>
    <w:rsid w:val="009E4404"/>
    <w:rsid w:val="00A00194"/>
    <w:rsid w:val="00A104D5"/>
    <w:rsid w:val="00A22EF7"/>
    <w:rsid w:val="00A25190"/>
    <w:rsid w:val="00A3121C"/>
    <w:rsid w:val="00A3590C"/>
    <w:rsid w:val="00A37E57"/>
    <w:rsid w:val="00A44629"/>
    <w:rsid w:val="00A86045"/>
    <w:rsid w:val="00A92631"/>
    <w:rsid w:val="00AA03CE"/>
    <w:rsid w:val="00AB0036"/>
    <w:rsid w:val="00AD34A3"/>
    <w:rsid w:val="00AE7D54"/>
    <w:rsid w:val="00B1150E"/>
    <w:rsid w:val="00B27589"/>
    <w:rsid w:val="00B31C36"/>
    <w:rsid w:val="00B660D1"/>
    <w:rsid w:val="00B764A8"/>
    <w:rsid w:val="00B765CA"/>
    <w:rsid w:val="00BA0392"/>
    <w:rsid w:val="00BA7CDD"/>
    <w:rsid w:val="00BB4181"/>
    <w:rsid w:val="00BC4C66"/>
    <w:rsid w:val="00BE5E61"/>
    <w:rsid w:val="00BE730B"/>
    <w:rsid w:val="00C10993"/>
    <w:rsid w:val="00C1207A"/>
    <w:rsid w:val="00C210C9"/>
    <w:rsid w:val="00C214E8"/>
    <w:rsid w:val="00C41551"/>
    <w:rsid w:val="00C47AE5"/>
    <w:rsid w:val="00C55002"/>
    <w:rsid w:val="00C60645"/>
    <w:rsid w:val="00C71645"/>
    <w:rsid w:val="00C765FE"/>
    <w:rsid w:val="00C77C14"/>
    <w:rsid w:val="00C85D79"/>
    <w:rsid w:val="00CA3E1E"/>
    <w:rsid w:val="00CB0599"/>
    <w:rsid w:val="00CC0E2A"/>
    <w:rsid w:val="00CD4EB0"/>
    <w:rsid w:val="00CD6C2E"/>
    <w:rsid w:val="00CE2F08"/>
    <w:rsid w:val="00CE3769"/>
    <w:rsid w:val="00CE649E"/>
    <w:rsid w:val="00CF2B63"/>
    <w:rsid w:val="00D01959"/>
    <w:rsid w:val="00D04B59"/>
    <w:rsid w:val="00D50B71"/>
    <w:rsid w:val="00D5383B"/>
    <w:rsid w:val="00D61844"/>
    <w:rsid w:val="00D80088"/>
    <w:rsid w:val="00D8214E"/>
    <w:rsid w:val="00D91835"/>
    <w:rsid w:val="00D96ED6"/>
    <w:rsid w:val="00DB0209"/>
    <w:rsid w:val="00DB2A31"/>
    <w:rsid w:val="00DC2D74"/>
    <w:rsid w:val="00DD6784"/>
    <w:rsid w:val="00DE5DEA"/>
    <w:rsid w:val="00DF00E6"/>
    <w:rsid w:val="00E15313"/>
    <w:rsid w:val="00E30A96"/>
    <w:rsid w:val="00E3300C"/>
    <w:rsid w:val="00E57246"/>
    <w:rsid w:val="00E666D3"/>
    <w:rsid w:val="00E738DA"/>
    <w:rsid w:val="00E95B1C"/>
    <w:rsid w:val="00E97A3F"/>
    <w:rsid w:val="00EA03A7"/>
    <w:rsid w:val="00EB3677"/>
    <w:rsid w:val="00EB768F"/>
    <w:rsid w:val="00EC595B"/>
    <w:rsid w:val="00ED5AB4"/>
    <w:rsid w:val="00EE25B9"/>
    <w:rsid w:val="00EE669D"/>
    <w:rsid w:val="00EF5624"/>
    <w:rsid w:val="00F248C7"/>
    <w:rsid w:val="00F309A2"/>
    <w:rsid w:val="00F4016B"/>
    <w:rsid w:val="00F61DEE"/>
    <w:rsid w:val="00F67260"/>
    <w:rsid w:val="00F7450B"/>
    <w:rsid w:val="00F81E07"/>
    <w:rsid w:val="00F8201F"/>
    <w:rsid w:val="00F86D94"/>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 w:type="paragraph" w:styleId="FootnoteText">
    <w:name w:val="footnote text"/>
    <w:basedOn w:val="Normal"/>
    <w:link w:val="FootnoteTextChar"/>
    <w:uiPriority w:val="99"/>
    <w:unhideWhenUsed/>
    <w:rsid w:val="00D91835"/>
    <w:rPr>
      <w:sz w:val="24"/>
    </w:rPr>
  </w:style>
  <w:style w:type="character" w:customStyle="1" w:styleId="FootnoteTextChar">
    <w:name w:val="Footnote Text Char"/>
    <w:basedOn w:val="DefaultParagraphFont"/>
    <w:link w:val="FootnoteText"/>
    <w:uiPriority w:val="99"/>
    <w:rsid w:val="00D91835"/>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D918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umpStart@la.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890</Words>
  <Characters>5074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9</cp:revision>
  <cp:lastPrinted>2015-12-21T12:56:00Z</cp:lastPrinted>
  <dcterms:created xsi:type="dcterms:W3CDTF">2017-05-07T16:06:00Z</dcterms:created>
  <dcterms:modified xsi:type="dcterms:W3CDTF">2017-05-21T19:48:00Z</dcterms:modified>
</cp:coreProperties>
</file>