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sz w:val="42"/>
          <w:szCs w:val="42"/>
        </w:rPr>
      </w:pPr>
      <w:bookmarkStart w:colFirst="0" w:colLast="0" w:name="_7eke042h1yyy" w:id="0"/>
      <w:bookmarkEnd w:id="0"/>
      <w:r w:rsidDel="00000000" w:rsidR="00000000" w:rsidRPr="00000000">
        <w:rPr>
          <w:sz w:val="42"/>
          <w:szCs w:val="42"/>
          <w:rtl w:val="0"/>
        </w:rPr>
        <w:t xml:space="preserve">Post-Conference Template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Released June 2024</w:t>
      </w:r>
      <w:r w:rsidDel="00000000" w:rsidR="00000000" w:rsidRPr="00000000">
        <w:rPr>
          <w:sz w:val="42"/>
          <w:szCs w:val="42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303.0" w:type="dxa"/>
        <w:jc w:val="left"/>
        <w:tblLayout w:type="fixed"/>
        <w:tblLook w:val="0400"/>
      </w:tblPr>
      <w:tblGrid>
        <w:gridCol w:w="4042"/>
        <w:gridCol w:w="6261"/>
        <w:tblGridChange w:id="0">
          <w:tblGrid>
            <w:gridCol w:w="4042"/>
            <w:gridCol w:w="6261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-20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Name:</w:t>
              <w:tab/>
              <w:t xml:space="preserve">                                                         Subject:                                               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-2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CONFERENCE INTRODUCTION/GREETING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Public Sans" w:cs="Public Sans" w:eastAsia="Public Sans" w:hAnsi="Public Sans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Greeting</w:t>
            </w:r>
            <w:r w:rsidDel="00000000" w:rsidR="00000000" w:rsidRPr="00000000">
              <w:rPr>
                <w:color w:val="666666"/>
                <w:rtl w:val="0"/>
              </w:rPr>
              <w:t xml:space="preserve">/set the tone.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Public Sans" w:cs="Public Sans" w:eastAsia="Public Sans" w:hAnsi="Public Sans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Establish the length of the conference.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Public Sans" w:cs="Public Sans" w:eastAsia="Public Sans" w:hAnsi="Public Sans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Review the process.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Public Sans" w:cs="Public Sans" w:eastAsia="Public Sans" w:hAnsi="Public Sans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Purpose is to reflect on the lesson observed and to focus on instructional best practices and student learning. We will reflect on </w:t>
            </w:r>
            <w:r w:rsidDel="00000000" w:rsidR="00000000" w:rsidRPr="00000000">
              <w:rPr>
                <w:color w:val="666666"/>
                <w:rtl w:val="0"/>
              </w:rPr>
              <w:t xml:space="preserve">a strength</w:t>
            </w:r>
            <w:r w:rsidDel="00000000" w:rsidR="00000000" w:rsidRPr="00000000">
              <w:rPr>
                <w:color w:val="666666"/>
                <w:rtl w:val="0"/>
              </w:rPr>
              <w:t xml:space="preserve"> of the lesson observed (area of reinforcement). We will then identify an area of refinement to strengthen, an area that has the potential to significantly impact student learning.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Public Sans" w:cs="Public Sans" w:eastAsia="Public Sans" w:hAnsi="Public Sans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Ask a general question. (e.g., “Based on your student work analysis, how do you think the lesson went?”)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Public Sans" w:cs="Public Sans" w:eastAsia="Public Sans" w:hAnsi="Public Sans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Analyze student work samples with the teacher to identify strengths.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-14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REINFORCEMENT PLAN: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-14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Objective: </w:t>
            </w: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(TALL: Timeline, Action, Label the Indicator, Language from the Descriptor of focus)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By the end of the conference, the teacher will &lt;insert “reflect on” or “explain” action verb&gt; &lt;insert indicator label and specific language from the descriptor of focus&gt;.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6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14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Questions for Teacher Reflection: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(Broad to Narrow: Why? How in this lesson?; Use language from the descriptor and indicator)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431" w:hanging="36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Why is it important to…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431" w:hanging="36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How, in this lesson,…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14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Evidence from Lesson that indicates support of student learning 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(at least 3 examples; can refer to specific work samples as well):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200" w:line="240" w:lineRule="auto"/>
              <w:ind w:left="-20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Student Evidence: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200" w:line="240" w:lineRule="auto"/>
              <w:ind w:left="-20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Teacher Evidence: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-20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Transition to Refinement Question: </w:t>
            </w:r>
            <w:r w:rsidDel="00000000" w:rsidR="00000000" w:rsidRPr="00000000">
              <w:rPr>
                <w:color w:val="666666"/>
                <w:rtl w:val="0"/>
              </w:rPr>
              <w:t xml:space="preserve">(e.g.,</w:t>
            </w:r>
            <w:r w:rsidDel="00000000" w:rsidR="00000000" w:rsidRPr="00000000">
              <w:rPr>
                <w:b w:val="1"/>
                <w:color w:val="66666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“Based on your analysis of student work, if you could change one aspect of this lesson, what would it be and why?”)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20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REFINEMENT PLAN: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-20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Objective: </w:t>
            </w: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(TALL: Timeline, Action, Label the Indicator, Language from the Descriptor of focus)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By the next observation, the teacher will &lt;insert action verb such as “develop and implement a plan” or “communicate”&gt; &lt;insert indicator label and specific language from the descriptor of focus&gt;.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6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20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Questions for Teacher Reflection: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(Broad to Narrow: Why? How in this lesson?; Use language from the descriptor and indicator)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0" w:line="240" w:lineRule="auto"/>
              <w:ind w:left="431" w:hanging="36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Why is it important…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40" w:lineRule="auto"/>
              <w:ind w:left="431" w:hanging="36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How, in this lesson,…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20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Evidence from lesson that indicates support of student learning</w:t>
            </w:r>
            <w:r w:rsidDel="00000000" w:rsidR="00000000" w:rsidRPr="00000000">
              <w:rPr>
                <w:b w:val="1"/>
                <w:color w:val="66666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(at least 3 examples; can refer to specific work samples as well):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-20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Student Evidence: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-20" w:firstLine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Teacher Evidence: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ind w:left="-19" w:hanging="19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Recommended Action</w:t>
            </w:r>
            <w:r w:rsidDel="00000000" w:rsidR="00000000" w:rsidRPr="00000000">
              <w:rPr>
                <w:color w:val="666666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(Suggest a clear and relevant way to improve in the refinement area that can be applied to essentially any lesson.): </w:t>
            </w:r>
            <w:r w:rsidDel="00000000" w:rsidR="00000000" w:rsidRPr="00000000">
              <w:rPr>
                <w:color w:val="666666"/>
                <w:rtl w:val="0"/>
              </w:rPr>
              <w:t xml:space="preserve">In the next lesson, consider…….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Guided Practice</w:t>
            </w:r>
            <w:r w:rsidDel="00000000" w:rsidR="00000000" w:rsidRPr="00000000">
              <w:rPr>
                <w:color w:val="666666"/>
                <w:rtl w:val="0"/>
              </w:rPr>
              <w:t xml:space="preserve">: Think about an upcoming lesson. Describe how this recommended action might apply?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7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2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CLOSING</w:t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line="240" w:lineRule="auto"/>
              <w:ind w:left="432" w:hanging="360"/>
              <w:rPr>
                <w:rFonts w:ascii="Public Sans" w:cs="Public Sans" w:eastAsia="Public Sans" w:hAnsi="Public Sans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Restate area of refinement and reinforcement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line="240" w:lineRule="auto"/>
              <w:ind w:left="432" w:hanging="360"/>
              <w:rPr>
                <w:rFonts w:ascii="Public Sans" w:cs="Public Sans" w:eastAsia="Public Sans" w:hAnsi="Public Sans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What’s one positive you’ll walk away with today?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line="240" w:lineRule="auto"/>
              <w:ind w:left="432" w:hanging="360"/>
              <w:rPr>
                <w:rFonts w:ascii="Public Sans" w:cs="Public Sans" w:eastAsia="Public Sans" w:hAnsi="Public Sans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Share ratings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line="240" w:lineRule="auto"/>
              <w:ind w:left="432" w:hanging="360"/>
              <w:rPr>
                <w:rFonts w:ascii="Public Sans" w:cs="Public Sans" w:eastAsia="Public Sans" w:hAnsi="Public Sans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Sign documentation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line="240" w:lineRule="auto"/>
              <w:ind w:left="432" w:hanging="360"/>
              <w:rPr>
                <w:rFonts w:ascii="Public Sans" w:cs="Public Sans" w:eastAsia="Public Sans" w:hAnsi="Public Sans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Closing statement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ind w:left="730" w:right="889" w:hanging="820"/>
        <w:jc w:val="center"/>
        <w:rPr/>
      </w:pPr>
      <w:bookmarkStart w:colFirst="0" w:colLast="0" w:name="_17dp8vu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720" w:right="720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Public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ublic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35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3A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spacing w:after="0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0</wp:posOffset>
          </wp:positionV>
          <wp:extent cx="8020050" cy="300038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40310" r="40310" t="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after="0" w:lineRule="auto"/>
      <w:rPr>
        <w:rFonts w:ascii="Public Sans" w:cs="Public Sans" w:eastAsia="Public Sans" w:hAnsi="Public Sans"/>
        <w:b w:val="1"/>
        <w:color w:val="4d4d4f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791450" cy="1200012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7" l="0" r="0" t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rPr>
        <w:rFonts w:ascii="Public Sans" w:cs="Public Sans" w:eastAsia="Public Sans" w:hAnsi="Public Sans"/>
        <w:b w:val="1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ublic Sans" w:cs="Public Sans" w:eastAsia="Public Sans" w:hAnsi="Public Sans"/>
        <w:color w:val="4e4e51"/>
        <w:sz w:val="22"/>
        <w:szCs w:val="22"/>
        <w:lang w:val="en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ind w:left="-20" w:firstLine="0"/>
    </w:pPr>
    <w:rPr>
      <w:rFonts w:ascii="Public Sans" w:cs="Public Sans" w:eastAsia="Public Sans" w:hAnsi="Public Sans"/>
      <w:b w:val="1"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40" w:lineRule="auto"/>
    </w:pPr>
    <w:rPr>
      <w:b w:val="1"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0" w:before="200" w:line="240" w:lineRule="auto"/>
    </w:pPr>
    <w:rPr>
      <w:rFonts w:ascii="Public Sans" w:cs="Public Sans" w:eastAsia="Public Sans" w:hAnsi="Public Sans"/>
      <w:b w:val="1"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Public Sans Medium" w:cs="Public Sans Medium" w:eastAsia="Public Sans Medium" w:hAnsi="Public Sans Medium"/>
      <w:color w:val="3c105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Medium-regular.ttf"/><Relationship Id="rId2" Type="http://schemas.openxmlformats.org/officeDocument/2006/relationships/font" Target="fonts/PublicSansMedium-bold.ttf"/><Relationship Id="rId3" Type="http://schemas.openxmlformats.org/officeDocument/2006/relationships/font" Target="fonts/PublicSansMedium-italic.ttf"/><Relationship Id="rId4" Type="http://schemas.openxmlformats.org/officeDocument/2006/relationships/font" Target="fonts/PublicSansMedium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PublicSans-regular.ttf"/><Relationship Id="rId6" Type="http://schemas.openxmlformats.org/officeDocument/2006/relationships/font" Target="fonts/PublicSans-bold.ttf"/><Relationship Id="rId7" Type="http://schemas.openxmlformats.org/officeDocument/2006/relationships/font" Target="fonts/PublicSans-italic.ttf"/><Relationship Id="rId8" Type="http://schemas.openxmlformats.org/officeDocument/2006/relationships/font" Target="fonts/Public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