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692B" w:rsidRDefault="00FD692B">
      <w:pPr>
        <w:spacing w:line="216" w:lineRule="auto"/>
        <w:jc w:val="center"/>
        <w:rPr>
          <w:rFonts w:ascii="Calibri" w:eastAsia="Calibri" w:hAnsi="Calibri" w:cs="Calibri"/>
          <w:b/>
          <w:color w:val="7E87BE"/>
          <w:sz w:val="28"/>
          <w:szCs w:val="28"/>
        </w:rPr>
      </w:pPr>
      <w:bookmarkStart w:id="0" w:name="_GoBack"/>
      <w:bookmarkEnd w:id="0"/>
    </w:p>
    <w:p w:rsidR="00FD692B" w:rsidRDefault="005B73DF">
      <w:pPr>
        <w:spacing w:line="216" w:lineRule="auto"/>
        <w:jc w:val="center"/>
        <w:rPr>
          <w:rFonts w:ascii="Calibri" w:eastAsia="Calibri" w:hAnsi="Calibri" w:cs="Calibri"/>
          <w:b/>
          <w:color w:val="7E87BE"/>
          <w:sz w:val="28"/>
          <w:szCs w:val="28"/>
        </w:rPr>
      </w:pPr>
      <w:r>
        <w:rPr>
          <w:rFonts w:ascii="Calibri" w:eastAsia="Calibri" w:hAnsi="Calibri" w:cs="Calibri"/>
          <w:b/>
          <w:color w:val="7E87BE"/>
          <w:sz w:val="28"/>
          <w:szCs w:val="28"/>
        </w:rPr>
        <w:t>General Criteria</w:t>
      </w:r>
    </w:p>
    <w:p w:rsidR="00FD692B" w:rsidRDefault="005B73DF">
      <w:pPr>
        <w:rPr>
          <w:rFonts w:ascii="Calibri" w:eastAsia="Calibri" w:hAnsi="Calibri" w:cs="Calibri"/>
          <w:color w:val="59595C"/>
          <w:sz w:val="24"/>
          <w:szCs w:val="24"/>
        </w:rPr>
      </w:pPr>
      <w:r>
        <w:rPr>
          <w:rFonts w:ascii="Calibri" w:eastAsia="Calibri" w:hAnsi="Calibri" w:cs="Calibri"/>
          <w:b/>
          <w:color w:val="59595C"/>
        </w:rPr>
        <w:t xml:space="preserve">Directions: </w:t>
      </w:r>
      <w:r>
        <w:rPr>
          <w:rFonts w:ascii="Calibri" w:eastAsia="Calibri" w:hAnsi="Calibri" w:cs="Calibri"/>
          <w:color w:val="59595C"/>
        </w:rPr>
        <w:t xml:space="preserve">Please draft a brief response in the </w:t>
      </w:r>
      <w:r>
        <w:rPr>
          <w:rFonts w:ascii="Calibri" w:eastAsia="Calibri" w:hAnsi="Calibri" w:cs="Calibri"/>
          <w:i/>
          <w:color w:val="59595C"/>
        </w:rPr>
        <w:t>Vendor Response</w:t>
      </w:r>
      <w:r>
        <w:rPr>
          <w:rFonts w:ascii="Calibri" w:eastAsia="Calibri" w:hAnsi="Calibri" w:cs="Calibri"/>
          <w:color w:val="59595C"/>
        </w:rPr>
        <w:t xml:space="preserve"> column for each criteria. This will expedite the review and ensure reviewers have a deeper understanding of your professional development offerings. Reviewers will provide feedback on submissions in these areas. </w:t>
      </w:r>
    </w:p>
    <w:tbl>
      <w:tblPr>
        <w:tblStyle w:val="a"/>
        <w:tblW w:w="13680" w:type="dxa"/>
        <w:tblBorders>
          <w:top w:val="nil"/>
          <w:left w:val="nil"/>
          <w:bottom w:val="nil"/>
          <w:right w:val="nil"/>
          <w:insideH w:val="nil"/>
          <w:insideV w:val="nil"/>
        </w:tblBorders>
        <w:tblLayout w:type="fixed"/>
        <w:tblLook w:val="0600" w:firstRow="0" w:lastRow="0" w:firstColumn="0" w:lastColumn="0" w:noHBand="1" w:noVBand="1"/>
      </w:tblPr>
      <w:tblGrid>
        <w:gridCol w:w="6840"/>
        <w:gridCol w:w="6840"/>
      </w:tblGrid>
      <w:tr w:rsidR="00FD692B">
        <w:trPr>
          <w:trHeight w:val="315"/>
        </w:trPr>
        <w:tc>
          <w:tcPr>
            <w:tcW w:w="13680" w:type="dxa"/>
            <w:gridSpan w:val="2"/>
            <w:tcBorders>
              <w:top w:val="single" w:sz="6" w:space="0" w:color="000000"/>
              <w:left w:val="single" w:sz="6" w:space="0" w:color="000000"/>
              <w:bottom w:val="single" w:sz="6" w:space="0" w:color="000000"/>
              <w:right w:val="single" w:sz="6" w:space="0" w:color="000000"/>
            </w:tcBorders>
            <w:shd w:val="clear" w:color="auto" w:fill="646C98"/>
            <w:tcMar>
              <w:top w:w="40" w:type="dxa"/>
              <w:left w:w="40" w:type="dxa"/>
              <w:bottom w:w="40" w:type="dxa"/>
              <w:right w:w="40" w:type="dxa"/>
            </w:tcMar>
            <w:vAlign w:val="bottom"/>
          </w:tcPr>
          <w:p w:rsidR="00FD692B" w:rsidRDefault="005B73DF">
            <w:pPr>
              <w:widowControl w:val="0"/>
              <w:jc w:val="center"/>
              <w:rPr>
                <w:rFonts w:ascii="Calibri" w:eastAsia="Calibri" w:hAnsi="Calibri" w:cs="Calibri"/>
                <w:color w:val="FFFFFF"/>
                <w:sz w:val="20"/>
                <w:szCs w:val="20"/>
              </w:rPr>
            </w:pPr>
            <w:r>
              <w:rPr>
                <w:rFonts w:ascii="Calibri" w:eastAsia="Calibri" w:hAnsi="Calibri" w:cs="Calibri"/>
                <w:b/>
                <w:color w:val="FFFFFF"/>
                <w:sz w:val="20"/>
                <w:szCs w:val="20"/>
              </w:rPr>
              <w:t>High Quality Instructional Materials Conne</w:t>
            </w:r>
            <w:r>
              <w:rPr>
                <w:rFonts w:ascii="Calibri" w:eastAsia="Calibri" w:hAnsi="Calibri" w:cs="Calibri"/>
                <w:b/>
                <w:color w:val="FFFFFF"/>
                <w:sz w:val="20"/>
                <w:szCs w:val="20"/>
              </w:rPr>
              <w:t>ction</w:t>
            </w:r>
          </w:p>
        </w:tc>
      </w:tr>
      <w:tr w:rsidR="00FD692B">
        <w:trPr>
          <w:trHeight w:val="240"/>
        </w:trPr>
        <w:tc>
          <w:tcPr>
            <w:tcW w:w="6840" w:type="dxa"/>
            <w:tcBorders>
              <w:top w:val="single" w:sz="6" w:space="0" w:color="000000"/>
              <w:left w:val="single" w:sz="6" w:space="0" w:color="000000"/>
              <w:bottom w:val="single" w:sz="6" w:space="0" w:color="000000"/>
              <w:right w:val="single" w:sz="6" w:space="0" w:color="000000"/>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Core Instruction Topic/Criteria</w:t>
            </w:r>
          </w:p>
        </w:tc>
        <w:tc>
          <w:tcPr>
            <w:tcW w:w="6840" w:type="dxa"/>
            <w:tcBorders>
              <w:top w:val="single" w:sz="6" w:space="0" w:color="000000"/>
              <w:left w:val="single" w:sz="6" w:space="0" w:color="000000"/>
              <w:bottom w:val="single" w:sz="6" w:space="0" w:color="000000"/>
              <w:right w:val="single" w:sz="6" w:space="0" w:color="000000"/>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Vendor Response</w:t>
            </w:r>
          </w:p>
        </w:tc>
      </w:tr>
      <w:tr w:rsidR="00FD692B">
        <w:trPr>
          <w:trHeight w:val="135"/>
        </w:trPr>
        <w:tc>
          <w:tcPr>
            <w:tcW w:w="6840" w:type="dxa"/>
            <w:tcBorders>
              <w:top w:val="single" w:sz="6" w:space="0" w:color="000000"/>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focuses EXCLUSIVELY on the use of high quality instructional materials (HQIM) and does not reference other non-HQIM.</w:t>
            </w:r>
          </w:p>
        </w:tc>
        <w:tc>
          <w:tcPr>
            <w:tcW w:w="684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60"/>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vendor demonstrates an understanding of the academic standards, instructional shifts, and the HQIM that align with them.</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79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for initial implementation option adequately supports teachers in HQIM adoption and the professional learning for long-term implementation provides ongoing support.</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55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vendor demonstrates an understanding of the HQIM’s approach, design principles, and structure/components.</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315"/>
        </w:trPr>
        <w:tc>
          <w:tcPr>
            <w:tcW w:w="13680" w:type="dxa"/>
            <w:gridSpan w:val="2"/>
            <w:tcBorders>
              <w:top w:val="single" w:sz="6" w:space="0" w:color="CCCCCC"/>
              <w:left w:val="single" w:sz="6" w:space="0" w:color="000000"/>
              <w:bottom w:val="single" w:sz="6" w:space="0" w:color="000000"/>
              <w:right w:val="single" w:sz="6" w:space="0" w:color="000000"/>
            </w:tcBorders>
            <w:shd w:val="clear" w:color="auto" w:fill="646C98"/>
            <w:tcMar>
              <w:top w:w="40" w:type="dxa"/>
              <w:left w:w="40" w:type="dxa"/>
              <w:bottom w:w="40" w:type="dxa"/>
              <w:right w:w="40" w:type="dxa"/>
            </w:tcMar>
            <w:vAlign w:val="bottom"/>
          </w:tcPr>
          <w:p w:rsidR="00FD692B" w:rsidRDefault="005B73DF">
            <w:pPr>
              <w:widowControl w:val="0"/>
              <w:jc w:val="center"/>
              <w:rPr>
                <w:rFonts w:ascii="Calibri" w:eastAsia="Calibri" w:hAnsi="Calibri" w:cs="Calibri"/>
                <w:color w:val="FFFFFF"/>
                <w:sz w:val="20"/>
                <w:szCs w:val="20"/>
              </w:rPr>
            </w:pPr>
            <w:r>
              <w:rPr>
                <w:rFonts w:ascii="Calibri" w:eastAsia="Calibri" w:hAnsi="Calibri" w:cs="Calibri"/>
                <w:b/>
                <w:color w:val="FFFFFF"/>
                <w:sz w:val="20"/>
                <w:szCs w:val="20"/>
              </w:rPr>
              <w:t>LDOE Alignment</w:t>
            </w:r>
          </w:p>
        </w:tc>
      </w:tr>
      <w:tr w:rsidR="00FD692B">
        <w:trPr>
          <w:trHeight w:val="315"/>
        </w:trPr>
        <w:tc>
          <w:tcPr>
            <w:tcW w:w="6840" w:type="dxa"/>
            <w:tcBorders>
              <w:top w:val="single" w:sz="6" w:space="0" w:color="000000"/>
              <w:left w:val="single" w:sz="6" w:space="0" w:color="000000"/>
              <w:bottom w:val="single" w:sz="6" w:space="0" w:color="000000"/>
              <w:right w:val="single" w:sz="6" w:space="0" w:color="000000"/>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Core Instruction Topic/Criteria</w:t>
            </w:r>
          </w:p>
        </w:tc>
        <w:tc>
          <w:tcPr>
            <w:tcW w:w="6840" w:type="dxa"/>
            <w:tcBorders>
              <w:top w:val="single" w:sz="6" w:space="0" w:color="000000"/>
              <w:left w:val="single" w:sz="6" w:space="0" w:color="000000"/>
              <w:bottom w:val="single" w:sz="6" w:space="0" w:color="000000"/>
              <w:right w:val="single" w:sz="6" w:space="0" w:color="000000"/>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Vendor Response</w:t>
            </w:r>
          </w:p>
        </w:tc>
      </w:tr>
      <w:tr w:rsidR="00FD692B">
        <w:trPr>
          <w:trHeight w:val="52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sz w:val="20"/>
                <w:szCs w:val="20"/>
              </w:rPr>
            </w:pPr>
            <w:r>
              <w:rPr>
                <w:rFonts w:ascii="Calibri" w:eastAsia="Calibri" w:hAnsi="Calibri" w:cs="Calibri"/>
                <w:color w:val="59595C"/>
                <w:sz w:val="20"/>
                <w:szCs w:val="20"/>
              </w:rPr>
              <w:t>The vendor's approach aligns with</w:t>
            </w:r>
            <w:hyperlink r:id="rId6">
              <w:r>
                <w:rPr>
                  <w:rFonts w:ascii="Calibri" w:eastAsia="Calibri" w:hAnsi="Calibri" w:cs="Calibri"/>
                  <w:sz w:val="20"/>
                  <w:szCs w:val="20"/>
                </w:rPr>
                <w:t xml:space="preserve"> </w:t>
              </w:r>
            </w:hyperlink>
            <w:hyperlink r:id="rId7">
              <w:r>
                <w:rPr>
                  <w:rFonts w:ascii="Calibri" w:eastAsia="Calibri" w:hAnsi="Calibri" w:cs="Calibri"/>
                  <w:color w:val="00AAB0"/>
                  <w:sz w:val="20"/>
                  <w:szCs w:val="20"/>
                  <w:u w:val="single"/>
                </w:rPr>
                <w:t xml:space="preserve">Louisiana’s Key Initiatives of Curriculum </w:t>
              </w:r>
            </w:hyperlink>
            <w:hyperlink r:id="rId8">
              <w:r>
                <w:rPr>
                  <w:rFonts w:ascii="Calibri" w:eastAsia="Calibri" w:hAnsi="Calibri" w:cs="Calibri"/>
                  <w:color w:val="00AAB0"/>
                  <w:sz w:val="20"/>
                  <w:szCs w:val="20"/>
                  <w:u w:val="single"/>
                </w:rPr>
                <w:t>Support</w:t>
              </w:r>
            </w:hyperlink>
            <w:r>
              <w:rPr>
                <w:rFonts w:ascii="Calibri" w:eastAsia="Calibri" w:hAnsi="Calibri" w:cs="Calibri"/>
                <w:sz w:val="20"/>
                <w:szCs w:val="20"/>
              </w:rPr>
              <w:t>.</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55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w:t>
            </w:r>
            <w:r>
              <w:rPr>
                <w:rFonts w:ascii="Calibri" w:eastAsia="Calibri" w:hAnsi="Calibri" w:cs="Calibri"/>
                <w:color w:val="59595C"/>
                <w:sz w:val="20"/>
                <w:szCs w:val="20"/>
              </w:rPr>
              <w:t xml:space="preserve"> learning builds educators' beliefs that all students can be successful with grade-level work.</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315"/>
        </w:trPr>
        <w:tc>
          <w:tcPr>
            <w:tcW w:w="13680" w:type="dxa"/>
            <w:gridSpan w:val="2"/>
            <w:tcBorders>
              <w:top w:val="single" w:sz="6" w:space="0" w:color="CCCCCC"/>
              <w:left w:val="single" w:sz="6" w:space="0" w:color="000000"/>
              <w:bottom w:val="single" w:sz="6" w:space="0" w:color="000000"/>
              <w:right w:val="single" w:sz="6" w:space="0" w:color="000000"/>
            </w:tcBorders>
            <w:shd w:val="clear" w:color="auto" w:fill="646C98"/>
            <w:tcMar>
              <w:top w:w="40" w:type="dxa"/>
              <w:left w:w="40" w:type="dxa"/>
              <w:bottom w:w="40" w:type="dxa"/>
              <w:right w:w="40" w:type="dxa"/>
            </w:tcMar>
            <w:vAlign w:val="bottom"/>
          </w:tcPr>
          <w:p w:rsidR="00FD692B" w:rsidRDefault="005B73DF">
            <w:pPr>
              <w:widowControl w:val="0"/>
              <w:jc w:val="center"/>
              <w:rPr>
                <w:rFonts w:ascii="Calibri" w:eastAsia="Calibri" w:hAnsi="Calibri" w:cs="Calibri"/>
                <w:color w:val="FFFFFF"/>
                <w:sz w:val="20"/>
                <w:szCs w:val="20"/>
              </w:rPr>
            </w:pPr>
            <w:r>
              <w:rPr>
                <w:rFonts w:ascii="Calibri" w:eastAsia="Calibri" w:hAnsi="Calibri" w:cs="Calibri"/>
                <w:b/>
                <w:color w:val="FFFFFF"/>
                <w:sz w:val="20"/>
                <w:szCs w:val="20"/>
              </w:rPr>
              <w:t>Quality of Materials Submitted</w:t>
            </w:r>
          </w:p>
        </w:tc>
      </w:tr>
      <w:tr w:rsidR="00FD692B">
        <w:trPr>
          <w:trHeight w:val="315"/>
        </w:trPr>
        <w:tc>
          <w:tcPr>
            <w:tcW w:w="6840" w:type="dxa"/>
            <w:tcBorders>
              <w:top w:val="single" w:sz="6" w:space="0" w:color="000000"/>
              <w:left w:val="single" w:sz="6" w:space="0" w:color="000000"/>
              <w:bottom w:val="single" w:sz="6" w:space="0" w:color="000000"/>
              <w:right w:val="single" w:sz="6" w:space="0" w:color="000000"/>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Core Instruction Topic/Criteria</w:t>
            </w:r>
          </w:p>
        </w:tc>
        <w:tc>
          <w:tcPr>
            <w:tcW w:w="6840" w:type="dxa"/>
            <w:tcBorders>
              <w:top w:val="single" w:sz="6" w:space="0" w:color="000000"/>
              <w:left w:val="single" w:sz="6" w:space="0" w:color="000000"/>
              <w:bottom w:val="single" w:sz="6" w:space="0" w:color="000000"/>
              <w:right w:val="single" w:sz="6" w:space="0" w:color="000000"/>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Vendor Response</w:t>
            </w:r>
          </w:p>
        </w:tc>
      </w:tr>
      <w:tr w:rsidR="00FD692B">
        <w:trPr>
          <w:trHeight w:val="55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syllabus of course and support offerings include initial and ongoing training such as wrap-around supports, walk-throughs, coaching, leadership support, etc.</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31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Training objectives are clearly noted AND met by the end of training.</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55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lastRenderedPageBreak/>
              <w:t>Activities balance time among theory, experience, application, and reflection to ensure quality professional learning.</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55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incorporates opportunities for active engagement and collaboration and includes adult learning strategies in a variety of formats.</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55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 xml:space="preserve">The professional learning includes best practices for preparing teachers to plan effectively and </w:t>
            </w:r>
            <w:r>
              <w:rPr>
                <w:rFonts w:ascii="Calibri" w:eastAsia="Calibri" w:hAnsi="Calibri" w:cs="Calibri"/>
                <w:color w:val="59595C"/>
                <w:sz w:val="20"/>
                <w:szCs w:val="20"/>
              </w:rPr>
              <w:t>teach lessons and units.</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79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includes navigation guidance specific to the HQIM, such as technological considerations, components of the materials, how the materials are organized, and how teachers/students access the materials.</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79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provides guidance and support to assist educators in evaluating evidence of student learning, including work samples, and using student data to inform instruction.</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127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sample training materials (training decks with facilitator n</w:t>
            </w:r>
            <w:r>
              <w:rPr>
                <w:rFonts w:ascii="Calibri" w:eastAsia="Calibri" w:hAnsi="Calibri" w:cs="Calibri"/>
                <w:color w:val="59595C"/>
                <w:sz w:val="20"/>
                <w:szCs w:val="20"/>
              </w:rPr>
              <w:t>otes, participant handouts, webinars, resources, examples from the HQIM, etc.) demonstrate the vendor’s ability to provide sufficient support of each type of professional learning offered, such as, initial curriculum training, school-based curriculum train</w:t>
            </w:r>
            <w:r>
              <w:rPr>
                <w:rFonts w:ascii="Calibri" w:eastAsia="Calibri" w:hAnsi="Calibri" w:cs="Calibri"/>
                <w:color w:val="59595C"/>
                <w:sz w:val="20"/>
                <w:szCs w:val="20"/>
              </w:rPr>
              <w:t>ing, ongoing instructional coaching support.</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315"/>
        </w:trPr>
        <w:tc>
          <w:tcPr>
            <w:tcW w:w="13680" w:type="dxa"/>
            <w:gridSpan w:val="2"/>
            <w:tcBorders>
              <w:top w:val="single" w:sz="6" w:space="0" w:color="CCCCCC"/>
              <w:left w:val="single" w:sz="6" w:space="0" w:color="000000"/>
              <w:bottom w:val="single" w:sz="6" w:space="0" w:color="000000"/>
              <w:right w:val="single" w:sz="6" w:space="0" w:color="000000"/>
            </w:tcBorders>
            <w:shd w:val="clear" w:color="auto" w:fill="646C98"/>
            <w:tcMar>
              <w:top w:w="40" w:type="dxa"/>
              <w:left w:w="40" w:type="dxa"/>
              <w:bottom w:w="40" w:type="dxa"/>
              <w:right w:w="40" w:type="dxa"/>
            </w:tcMar>
            <w:vAlign w:val="bottom"/>
          </w:tcPr>
          <w:p w:rsidR="00FD692B" w:rsidRDefault="005B73DF">
            <w:pPr>
              <w:widowControl w:val="0"/>
              <w:jc w:val="center"/>
              <w:rPr>
                <w:rFonts w:ascii="Calibri" w:eastAsia="Calibri" w:hAnsi="Calibri" w:cs="Calibri"/>
                <w:color w:val="FFFFFF"/>
                <w:sz w:val="20"/>
                <w:szCs w:val="20"/>
              </w:rPr>
            </w:pPr>
            <w:r>
              <w:rPr>
                <w:rFonts w:ascii="Calibri" w:eastAsia="Calibri" w:hAnsi="Calibri" w:cs="Calibri"/>
                <w:b/>
                <w:color w:val="FFFFFF"/>
                <w:sz w:val="20"/>
                <w:szCs w:val="20"/>
              </w:rPr>
              <w:t>Coaching and Design</w:t>
            </w:r>
          </w:p>
        </w:tc>
      </w:tr>
      <w:tr w:rsidR="00FD692B">
        <w:trPr>
          <w:trHeight w:val="315"/>
        </w:trPr>
        <w:tc>
          <w:tcPr>
            <w:tcW w:w="6840" w:type="dxa"/>
            <w:tcBorders>
              <w:top w:val="single" w:sz="6" w:space="0" w:color="000000"/>
              <w:left w:val="single" w:sz="6" w:space="0" w:color="000000"/>
              <w:bottom w:val="single" w:sz="6" w:space="0" w:color="000000"/>
              <w:right w:val="single" w:sz="6" w:space="0" w:color="000000"/>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Core Instruction Topic/Criteria</w:t>
            </w:r>
          </w:p>
        </w:tc>
        <w:tc>
          <w:tcPr>
            <w:tcW w:w="6840" w:type="dxa"/>
            <w:tcBorders>
              <w:top w:val="single" w:sz="6" w:space="0" w:color="000000"/>
              <w:left w:val="single" w:sz="6" w:space="0" w:color="000000"/>
              <w:bottom w:val="single" w:sz="6" w:space="0" w:color="000000"/>
              <w:right w:val="single" w:sz="6" w:space="0" w:color="000000"/>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Vendor Response</w:t>
            </w:r>
          </w:p>
        </w:tc>
      </w:tr>
      <w:tr w:rsidR="00FD692B">
        <w:trPr>
          <w:trHeight w:val="55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vendor offers professional learning for instructional leaders on topics such as program design, scheduling decisions, and observation “look fors”.</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55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supports instructional leaders in developing and executing an adoption plan a</w:t>
            </w:r>
            <w:r>
              <w:rPr>
                <w:rFonts w:ascii="Calibri" w:eastAsia="Calibri" w:hAnsi="Calibri" w:cs="Calibri"/>
                <w:color w:val="59595C"/>
                <w:sz w:val="20"/>
                <w:szCs w:val="20"/>
              </w:rPr>
              <w:t>s well as defining and refining a vision for strong implementation.</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79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adequately prepares leaders to support teachers in implementing HQIM and supports leaders in developing system-level procedures and processes to monitor and support implementation.</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97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b/>
                <w:color w:val="59595C"/>
                <w:sz w:val="20"/>
                <w:szCs w:val="20"/>
              </w:rPr>
              <w:lastRenderedPageBreak/>
              <w:t>OPTIONAL:</w:t>
            </w:r>
            <w:r>
              <w:rPr>
                <w:rFonts w:ascii="Calibri" w:eastAsia="Calibri" w:hAnsi="Calibri" w:cs="Calibri"/>
                <w:color w:val="59595C"/>
                <w:sz w:val="20"/>
                <w:szCs w:val="20"/>
              </w:rPr>
              <w:t xml:space="preserve"> If provided, multiple/adequate coaching options are available to districts that are goal-oriented and focus on growth and development for teachers and leaders (coaching not required; WILL NOT AFFECT OVERALL SCORE).</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bl>
    <w:p w:rsidR="00FD692B" w:rsidRDefault="00FD692B">
      <w:pPr>
        <w:spacing w:line="216" w:lineRule="auto"/>
        <w:rPr>
          <w:rFonts w:ascii="Calibri" w:eastAsia="Calibri" w:hAnsi="Calibri" w:cs="Calibri"/>
        </w:rPr>
      </w:pPr>
    </w:p>
    <w:p w:rsidR="00FD692B" w:rsidRDefault="00FD692B">
      <w:pPr>
        <w:spacing w:line="216" w:lineRule="auto"/>
        <w:jc w:val="center"/>
        <w:rPr>
          <w:rFonts w:ascii="Calibri" w:eastAsia="Calibri" w:hAnsi="Calibri" w:cs="Calibri"/>
          <w:b/>
          <w:color w:val="7E87BE"/>
          <w:sz w:val="28"/>
          <w:szCs w:val="28"/>
        </w:rPr>
      </w:pPr>
    </w:p>
    <w:p w:rsidR="00FD692B" w:rsidRDefault="005B73DF">
      <w:pPr>
        <w:jc w:val="center"/>
        <w:rPr>
          <w:rFonts w:ascii="Calibri" w:eastAsia="Calibri" w:hAnsi="Calibri" w:cs="Calibri"/>
          <w:b/>
          <w:color w:val="7E87BE"/>
          <w:sz w:val="28"/>
          <w:szCs w:val="28"/>
        </w:rPr>
      </w:pPr>
      <w:r>
        <w:rPr>
          <w:rFonts w:ascii="Calibri" w:eastAsia="Calibri" w:hAnsi="Calibri" w:cs="Calibri"/>
          <w:b/>
          <w:color w:val="7E87BE"/>
          <w:sz w:val="28"/>
          <w:szCs w:val="28"/>
        </w:rPr>
        <w:t>Content Specific Criteria</w:t>
      </w:r>
    </w:p>
    <w:p w:rsidR="00FD692B" w:rsidRDefault="005B73DF">
      <w:pPr>
        <w:rPr>
          <w:rFonts w:ascii="Calibri" w:eastAsia="Calibri" w:hAnsi="Calibri" w:cs="Calibri"/>
          <w:color w:val="59595C"/>
        </w:rPr>
      </w:pPr>
      <w:r>
        <w:rPr>
          <w:rFonts w:ascii="Calibri" w:eastAsia="Calibri" w:hAnsi="Calibri" w:cs="Calibri"/>
          <w:b/>
          <w:color w:val="59595C"/>
        </w:rPr>
        <w:t xml:space="preserve">Directions: </w:t>
      </w:r>
      <w:r>
        <w:rPr>
          <w:rFonts w:ascii="Calibri" w:eastAsia="Calibri" w:hAnsi="Calibri" w:cs="Calibri"/>
          <w:color w:val="59595C"/>
        </w:rPr>
        <w:t xml:space="preserve">Please draft a brief response in the </w:t>
      </w:r>
      <w:r>
        <w:rPr>
          <w:rFonts w:ascii="Calibri" w:eastAsia="Calibri" w:hAnsi="Calibri" w:cs="Calibri"/>
          <w:i/>
          <w:color w:val="59595C"/>
        </w:rPr>
        <w:t>Vendor Response</w:t>
      </w:r>
      <w:r>
        <w:rPr>
          <w:rFonts w:ascii="Calibri" w:eastAsia="Calibri" w:hAnsi="Calibri" w:cs="Calibri"/>
          <w:color w:val="59595C"/>
        </w:rPr>
        <w:t xml:space="preserve"> column for each criteria of the content area of your submission (delete or omit all other content areas). This will expedite the review and ensure reviewers have a deeper understanding of you</w:t>
      </w:r>
      <w:r>
        <w:rPr>
          <w:rFonts w:ascii="Calibri" w:eastAsia="Calibri" w:hAnsi="Calibri" w:cs="Calibri"/>
          <w:color w:val="59595C"/>
        </w:rPr>
        <w:t xml:space="preserve">r professional development offerings. Reviewers will provide feedback on submissions in these areas. </w:t>
      </w:r>
    </w:p>
    <w:tbl>
      <w:tblPr>
        <w:tblStyle w:val="a0"/>
        <w:tblW w:w="13680" w:type="dxa"/>
        <w:tblBorders>
          <w:top w:val="nil"/>
          <w:left w:val="nil"/>
          <w:bottom w:val="nil"/>
          <w:right w:val="nil"/>
          <w:insideH w:val="nil"/>
          <w:insideV w:val="nil"/>
        </w:tblBorders>
        <w:tblLayout w:type="fixed"/>
        <w:tblLook w:val="0600" w:firstRow="0" w:lastRow="0" w:firstColumn="0" w:lastColumn="0" w:noHBand="1" w:noVBand="1"/>
      </w:tblPr>
      <w:tblGrid>
        <w:gridCol w:w="6840"/>
        <w:gridCol w:w="6840"/>
      </w:tblGrid>
      <w:tr w:rsidR="00FD692B">
        <w:trPr>
          <w:trHeight w:val="315"/>
        </w:trPr>
        <w:tc>
          <w:tcPr>
            <w:tcW w:w="13680" w:type="dxa"/>
            <w:gridSpan w:val="2"/>
            <w:tcBorders>
              <w:top w:val="single" w:sz="6" w:space="0" w:color="000000"/>
              <w:left w:val="single" w:sz="6" w:space="0" w:color="000000"/>
              <w:bottom w:val="single" w:sz="6" w:space="0" w:color="000000"/>
              <w:right w:val="single" w:sz="6" w:space="0" w:color="000000"/>
            </w:tcBorders>
            <w:shd w:val="clear" w:color="auto" w:fill="646C98"/>
            <w:tcMar>
              <w:top w:w="40" w:type="dxa"/>
              <w:left w:w="40" w:type="dxa"/>
              <w:bottom w:w="40" w:type="dxa"/>
              <w:right w:w="40" w:type="dxa"/>
            </w:tcMar>
            <w:vAlign w:val="bottom"/>
          </w:tcPr>
          <w:p w:rsidR="00FD692B" w:rsidRDefault="005B73DF">
            <w:pPr>
              <w:widowControl w:val="0"/>
              <w:jc w:val="center"/>
              <w:rPr>
                <w:rFonts w:ascii="Calibri" w:eastAsia="Calibri" w:hAnsi="Calibri" w:cs="Calibri"/>
                <w:color w:val="FFFFFF"/>
                <w:sz w:val="20"/>
                <w:szCs w:val="20"/>
              </w:rPr>
            </w:pPr>
            <w:r>
              <w:rPr>
                <w:rFonts w:ascii="Calibri" w:eastAsia="Calibri" w:hAnsi="Calibri" w:cs="Calibri"/>
                <w:b/>
                <w:color w:val="FFFFFF"/>
                <w:sz w:val="20"/>
                <w:szCs w:val="20"/>
              </w:rPr>
              <w:t>ELA Criteria</w:t>
            </w:r>
          </w:p>
        </w:tc>
      </w:tr>
      <w:tr w:rsidR="00FD692B">
        <w:trPr>
          <w:trHeight w:val="315"/>
        </w:trPr>
        <w:tc>
          <w:tcPr>
            <w:tcW w:w="6840" w:type="dxa"/>
            <w:tcBorders>
              <w:top w:val="single" w:sz="6" w:space="0" w:color="000000"/>
              <w:left w:val="single" w:sz="6" w:space="0" w:color="000000"/>
              <w:bottom w:val="single" w:sz="6" w:space="0" w:color="000000"/>
              <w:right w:val="single" w:sz="6" w:space="0" w:color="000000"/>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Core Instruction Topic/Criteria</w:t>
            </w:r>
          </w:p>
        </w:tc>
        <w:tc>
          <w:tcPr>
            <w:tcW w:w="6840" w:type="dxa"/>
            <w:tcBorders>
              <w:top w:val="single" w:sz="6" w:space="0" w:color="000000"/>
              <w:left w:val="single" w:sz="6" w:space="0" w:color="000000"/>
              <w:bottom w:val="single" w:sz="6" w:space="0" w:color="000000"/>
              <w:right w:val="single" w:sz="6" w:space="0" w:color="000000"/>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Vendor Response</w:t>
            </w:r>
          </w:p>
        </w:tc>
      </w:tr>
      <w:tr w:rsidR="00FD692B">
        <w:trPr>
          <w:trHeight w:val="750"/>
        </w:trPr>
        <w:tc>
          <w:tcPr>
            <w:tcW w:w="6840" w:type="dxa"/>
            <w:tcBorders>
              <w:top w:val="single" w:sz="6" w:space="0" w:color="000000"/>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model builds</w:t>
            </w:r>
            <w:hyperlink r:id="rId9">
              <w:r>
                <w:rPr>
                  <w:rFonts w:ascii="Calibri" w:eastAsia="Calibri" w:hAnsi="Calibri" w:cs="Calibri"/>
                  <w:color w:val="59595C"/>
                  <w:sz w:val="20"/>
                  <w:szCs w:val="20"/>
                </w:rPr>
                <w:t xml:space="preserve"> </w:t>
              </w:r>
            </w:hyperlink>
            <w:hyperlink r:id="rId10">
              <w:r>
                <w:rPr>
                  <w:rFonts w:ascii="Calibri" w:eastAsia="Calibri" w:hAnsi="Calibri" w:cs="Calibri"/>
                  <w:color w:val="00AAB0"/>
                  <w:sz w:val="20"/>
                  <w:szCs w:val="20"/>
                  <w:u w:val="single"/>
                </w:rPr>
                <w:t>teacher understanding</w:t>
              </w:r>
            </w:hyperlink>
            <w:r>
              <w:rPr>
                <w:rFonts w:ascii="Calibri" w:eastAsia="Calibri" w:hAnsi="Calibri" w:cs="Calibri"/>
                <w:color w:val="59595C"/>
                <w:sz w:val="20"/>
                <w:szCs w:val="20"/>
              </w:rPr>
              <w:t xml:space="preserve"> that reading, writing, speaking, listening, and language are to be connected in instruction and not taught in isolation.</w:t>
            </w:r>
          </w:p>
        </w:tc>
        <w:tc>
          <w:tcPr>
            <w:tcW w:w="684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750"/>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model is aligned to the science of reading and supports Louisiana’s ELA goal for all students to be able read, understand, and express understanding of</w:t>
            </w:r>
            <w:hyperlink r:id="rId11">
              <w:r>
                <w:rPr>
                  <w:rFonts w:ascii="Calibri" w:eastAsia="Calibri" w:hAnsi="Calibri" w:cs="Calibri"/>
                  <w:color w:val="59595C"/>
                  <w:sz w:val="20"/>
                  <w:szCs w:val="20"/>
                </w:rPr>
                <w:t xml:space="preserve"> </w:t>
              </w:r>
            </w:hyperlink>
            <w:hyperlink r:id="rId12">
              <w:r>
                <w:rPr>
                  <w:rFonts w:ascii="Calibri" w:eastAsia="Calibri" w:hAnsi="Calibri" w:cs="Calibri"/>
                  <w:color w:val="00AAB0"/>
                  <w:sz w:val="20"/>
                  <w:szCs w:val="20"/>
                  <w:u w:val="single"/>
                </w:rPr>
                <w:t>complex grade-level texts</w:t>
              </w:r>
            </w:hyperlink>
            <w:r>
              <w:rPr>
                <w:rFonts w:ascii="Calibri" w:eastAsia="Calibri" w:hAnsi="Calibri" w:cs="Calibri"/>
                <w:color w:val="59595C"/>
                <w:sz w:val="20"/>
                <w:szCs w:val="20"/>
              </w:rPr>
              <w:t>.</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750"/>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model builds teacher understanding of how student knowledge is built, as demonstrated in the Reader’s Circles (</w:t>
            </w:r>
            <w:hyperlink r:id="rId13">
              <w:r>
                <w:rPr>
                  <w:rFonts w:ascii="Calibri" w:eastAsia="Calibri" w:hAnsi="Calibri" w:cs="Calibri"/>
                  <w:color w:val="00AAB0"/>
                  <w:sz w:val="20"/>
                  <w:szCs w:val="20"/>
                  <w:u w:val="single"/>
                </w:rPr>
                <w:t>informational</w:t>
              </w:r>
            </w:hyperlink>
            <w:r>
              <w:rPr>
                <w:rFonts w:ascii="Calibri" w:eastAsia="Calibri" w:hAnsi="Calibri" w:cs="Calibri"/>
                <w:color w:val="59595C"/>
                <w:sz w:val="20"/>
                <w:szCs w:val="20"/>
              </w:rPr>
              <w:t>,</w:t>
            </w:r>
            <w:hyperlink r:id="rId14">
              <w:r>
                <w:rPr>
                  <w:rFonts w:ascii="Calibri" w:eastAsia="Calibri" w:hAnsi="Calibri" w:cs="Calibri"/>
                  <w:color w:val="59595C"/>
                  <w:sz w:val="20"/>
                  <w:szCs w:val="20"/>
                </w:rPr>
                <w:t xml:space="preserve"> </w:t>
              </w:r>
            </w:hyperlink>
            <w:hyperlink r:id="rId15">
              <w:r>
                <w:rPr>
                  <w:rFonts w:ascii="Calibri" w:eastAsia="Calibri" w:hAnsi="Calibri" w:cs="Calibri"/>
                  <w:color w:val="00AAB0"/>
                  <w:sz w:val="20"/>
                  <w:szCs w:val="20"/>
                  <w:u w:val="single"/>
                </w:rPr>
                <w:t>literar</w:t>
              </w:r>
              <w:r>
                <w:rPr>
                  <w:rFonts w:ascii="Calibri" w:eastAsia="Calibri" w:hAnsi="Calibri" w:cs="Calibri"/>
                  <w:color w:val="00AAB0"/>
                  <w:sz w:val="20"/>
                  <w:szCs w:val="20"/>
                  <w:u w:val="single"/>
                </w:rPr>
                <w:t>y non-fiction</w:t>
              </w:r>
            </w:hyperlink>
            <w:r>
              <w:rPr>
                <w:rFonts w:ascii="Calibri" w:eastAsia="Calibri" w:hAnsi="Calibri" w:cs="Calibri"/>
                <w:color w:val="59595C"/>
                <w:sz w:val="20"/>
                <w:szCs w:val="20"/>
              </w:rPr>
              <w:t>,</w:t>
            </w:r>
            <w:hyperlink r:id="rId16">
              <w:r>
                <w:rPr>
                  <w:rFonts w:ascii="Calibri" w:eastAsia="Calibri" w:hAnsi="Calibri" w:cs="Calibri"/>
                  <w:color w:val="59595C"/>
                  <w:sz w:val="20"/>
                  <w:szCs w:val="20"/>
                </w:rPr>
                <w:t xml:space="preserve"> </w:t>
              </w:r>
            </w:hyperlink>
            <w:hyperlink r:id="rId17">
              <w:r>
                <w:rPr>
                  <w:rFonts w:ascii="Calibri" w:eastAsia="Calibri" w:hAnsi="Calibri" w:cs="Calibri"/>
                  <w:color w:val="00AAB0"/>
                  <w:sz w:val="20"/>
                  <w:szCs w:val="20"/>
                  <w:u w:val="single"/>
                </w:rPr>
                <w:t>literary</w:t>
              </w:r>
            </w:hyperlink>
            <w:r>
              <w:rPr>
                <w:rFonts w:ascii="Calibri" w:eastAsia="Calibri" w:hAnsi="Calibri" w:cs="Calibri"/>
                <w:color w:val="59595C"/>
                <w:sz w:val="20"/>
                <w:szCs w:val="20"/>
              </w:rPr>
              <w:t>).</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750"/>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model embeds an</w:t>
            </w:r>
            <w:hyperlink r:id="rId18">
              <w:r>
                <w:rPr>
                  <w:rFonts w:ascii="Calibri" w:eastAsia="Calibri" w:hAnsi="Calibri" w:cs="Calibri"/>
                  <w:color w:val="59595C"/>
                  <w:sz w:val="20"/>
                  <w:szCs w:val="20"/>
                </w:rPr>
                <w:t xml:space="preserve"> </w:t>
              </w:r>
            </w:hyperlink>
            <w:hyperlink r:id="rId19">
              <w:r>
                <w:rPr>
                  <w:rFonts w:ascii="Calibri" w:eastAsia="Calibri" w:hAnsi="Calibri" w:cs="Calibri"/>
                  <w:color w:val="00AAB0"/>
                  <w:sz w:val="20"/>
                  <w:szCs w:val="20"/>
                  <w:u w:val="single"/>
                </w:rPr>
                <w:t>accelerating learning approach</w:t>
              </w:r>
            </w:hyperlink>
            <w:r>
              <w:rPr>
                <w:rFonts w:ascii="Calibri" w:eastAsia="Calibri" w:hAnsi="Calibri" w:cs="Calibri"/>
                <w:color w:val="59595C"/>
                <w:sz w:val="20"/>
                <w:szCs w:val="20"/>
              </w:rPr>
              <w:t xml:space="preserve"> (page 6) to address unfinished learning</w:t>
            </w:r>
            <w:r>
              <w:rPr>
                <w:rFonts w:ascii="Calibri" w:eastAsia="Calibri" w:hAnsi="Calibri" w:cs="Calibri"/>
                <w:color w:val="59595C"/>
                <w:sz w:val="20"/>
                <w:szCs w:val="20"/>
              </w:rPr>
              <w:t xml:space="preserve"> so that students can access the features of complex, current grade-level texts.</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bl>
    <w:p w:rsidR="00FD692B" w:rsidRDefault="00FD692B">
      <w:pPr>
        <w:rPr>
          <w:rFonts w:ascii="Calibri" w:eastAsia="Calibri" w:hAnsi="Calibri" w:cs="Calibri"/>
        </w:rPr>
      </w:pPr>
    </w:p>
    <w:tbl>
      <w:tblPr>
        <w:tblStyle w:val="a1"/>
        <w:tblW w:w="13680" w:type="dxa"/>
        <w:tblBorders>
          <w:top w:val="nil"/>
          <w:left w:val="nil"/>
          <w:bottom w:val="nil"/>
          <w:right w:val="nil"/>
          <w:insideH w:val="nil"/>
          <w:insideV w:val="nil"/>
        </w:tblBorders>
        <w:tblLayout w:type="fixed"/>
        <w:tblLook w:val="0600" w:firstRow="0" w:lastRow="0" w:firstColumn="0" w:lastColumn="0" w:noHBand="1" w:noVBand="1"/>
      </w:tblPr>
      <w:tblGrid>
        <w:gridCol w:w="6840"/>
        <w:gridCol w:w="6840"/>
      </w:tblGrid>
      <w:tr w:rsidR="00FD692B">
        <w:trPr>
          <w:trHeight w:val="315"/>
        </w:trPr>
        <w:tc>
          <w:tcPr>
            <w:tcW w:w="13680" w:type="dxa"/>
            <w:gridSpan w:val="2"/>
            <w:tcBorders>
              <w:top w:val="single" w:sz="6" w:space="0" w:color="000000"/>
              <w:left w:val="single" w:sz="6" w:space="0" w:color="CCCCCC"/>
              <w:bottom w:val="single" w:sz="6" w:space="0" w:color="000000"/>
              <w:right w:val="single" w:sz="6" w:space="0" w:color="CCCCCC"/>
            </w:tcBorders>
            <w:shd w:val="clear" w:color="auto" w:fill="646C98"/>
            <w:tcMar>
              <w:top w:w="40" w:type="dxa"/>
              <w:left w:w="40" w:type="dxa"/>
              <w:bottom w:w="40" w:type="dxa"/>
              <w:right w:w="40" w:type="dxa"/>
            </w:tcMar>
            <w:vAlign w:val="bottom"/>
          </w:tcPr>
          <w:p w:rsidR="00FD692B" w:rsidRDefault="005B73DF">
            <w:pPr>
              <w:widowControl w:val="0"/>
              <w:jc w:val="center"/>
              <w:rPr>
                <w:rFonts w:ascii="Calibri" w:eastAsia="Calibri" w:hAnsi="Calibri" w:cs="Calibri"/>
                <w:color w:val="FFFFFF"/>
                <w:sz w:val="20"/>
                <w:szCs w:val="20"/>
              </w:rPr>
            </w:pPr>
            <w:r>
              <w:rPr>
                <w:rFonts w:ascii="Calibri" w:eastAsia="Calibri" w:hAnsi="Calibri" w:cs="Calibri"/>
                <w:b/>
                <w:color w:val="FFFFFF"/>
                <w:sz w:val="20"/>
                <w:szCs w:val="20"/>
              </w:rPr>
              <w:t>Math Criteria</w:t>
            </w:r>
          </w:p>
        </w:tc>
      </w:tr>
      <w:tr w:rsidR="00FD692B">
        <w:trPr>
          <w:trHeight w:val="315"/>
        </w:trPr>
        <w:tc>
          <w:tcPr>
            <w:tcW w:w="6840" w:type="dxa"/>
            <w:tcBorders>
              <w:top w:val="single" w:sz="6" w:space="0" w:color="000000"/>
              <w:left w:val="single" w:sz="6" w:space="0" w:color="000000"/>
              <w:bottom w:val="single" w:sz="6" w:space="0" w:color="000000"/>
              <w:right w:val="single" w:sz="6" w:space="0" w:color="000000"/>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Core Instruction Topic/Criteria</w:t>
            </w:r>
          </w:p>
        </w:tc>
        <w:tc>
          <w:tcPr>
            <w:tcW w:w="6840" w:type="dxa"/>
            <w:tcBorders>
              <w:top w:val="single" w:sz="6" w:space="0" w:color="000000"/>
              <w:left w:val="single" w:sz="6" w:space="0" w:color="000000"/>
              <w:bottom w:val="single" w:sz="6" w:space="0" w:color="000000"/>
              <w:right w:val="single" w:sz="6" w:space="0" w:color="000000"/>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Vendor Response</w:t>
            </w:r>
          </w:p>
        </w:tc>
      </w:tr>
      <w:tr w:rsidR="00FD692B">
        <w:trPr>
          <w:trHeight w:val="750"/>
        </w:trPr>
        <w:tc>
          <w:tcPr>
            <w:tcW w:w="6840" w:type="dxa"/>
            <w:tcBorders>
              <w:top w:val="single" w:sz="6" w:space="0" w:color="000000"/>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lastRenderedPageBreak/>
              <w:t>The professional learning model provided is designed to build teacher understanding of the</w:t>
            </w:r>
            <w:hyperlink r:id="rId20">
              <w:r>
                <w:rPr>
                  <w:rFonts w:ascii="Calibri" w:eastAsia="Calibri" w:hAnsi="Calibri" w:cs="Calibri"/>
                  <w:color w:val="59595C"/>
                  <w:sz w:val="20"/>
                  <w:szCs w:val="20"/>
                </w:rPr>
                <w:t xml:space="preserve"> </w:t>
              </w:r>
            </w:hyperlink>
            <w:hyperlink r:id="rId21">
              <w:r>
                <w:rPr>
                  <w:rFonts w:ascii="Calibri" w:eastAsia="Calibri" w:hAnsi="Calibri" w:cs="Calibri"/>
                  <w:color w:val="00AAB0"/>
                  <w:sz w:val="20"/>
                  <w:szCs w:val="20"/>
                  <w:u w:val="single"/>
                </w:rPr>
                <w:t>focus</w:t>
              </w:r>
            </w:hyperlink>
            <w:r>
              <w:rPr>
                <w:rFonts w:ascii="Calibri" w:eastAsia="Calibri" w:hAnsi="Calibri" w:cs="Calibri"/>
                <w:color w:val="59595C"/>
                <w:sz w:val="20"/>
                <w:szCs w:val="20"/>
              </w:rPr>
              <w:t xml:space="preserve"> and</w:t>
            </w:r>
            <w:hyperlink r:id="rId22">
              <w:r>
                <w:rPr>
                  <w:rFonts w:ascii="Calibri" w:eastAsia="Calibri" w:hAnsi="Calibri" w:cs="Calibri"/>
                  <w:color w:val="59595C"/>
                  <w:sz w:val="20"/>
                  <w:szCs w:val="20"/>
                </w:rPr>
                <w:t xml:space="preserve"> </w:t>
              </w:r>
            </w:hyperlink>
            <w:hyperlink r:id="rId23">
              <w:r>
                <w:rPr>
                  <w:rFonts w:ascii="Calibri" w:eastAsia="Calibri" w:hAnsi="Calibri" w:cs="Calibri"/>
                  <w:color w:val="00AAB0"/>
                  <w:sz w:val="20"/>
                  <w:szCs w:val="20"/>
                  <w:u w:val="single"/>
                </w:rPr>
                <w:t>coherence</w:t>
              </w:r>
            </w:hyperlink>
            <w:r>
              <w:rPr>
                <w:rFonts w:ascii="Calibri" w:eastAsia="Calibri" w:hAnsi="Calibri" w:cs="Calibri"/>
                <w:color w:val="59595C"/>
                <w:sz w:val="20"/>
                <w:szCs w:val="20"/>
              </w:rPr>
              <w:t xml:space="preserve"> of mathematics within the standards through study of the lesson, unit, course, and series.</w:t>
            </w:r>
          </w:p>
        </w:tc>
        <w:tc>
          <w:tcPr>
            <w:tcW w:w="684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97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model provided is designed to support teachers in the instructional process of equipping students to become fluent and proficient with mathematical concepts by attending to</w:t>
            </w:r>
            <w:hyperlink r:id="rId24">
              <w:r>
                <w:rPr>
                  <w:rFonts w:ascii="Calibri" w:eastAsia="Calibri" w:hAnsi="Calibri" w:cs="Calibri"/>
                  <w:color w:val="59595C"/>
                  <w:sz w:val="20"/>
                  <w:szCs w:val="20"/>
                </w:rPr>
                <w:t xml:space="preserve"> </w:t>
              </w:r>
            </w:hyperlink>
            <w:hyperlink r:id="rId25">
              <w:r>
                <w:rPr>
                  <w:rFonts w:ascii="Calibri" w:eastAsia="Calibri" w:hAnsi="Calibri" w:cs="Calibri"/>
                  <w:color w:val="00AAB0"/>
                  <w:sz w:val="20"/>
                  <w:szCs w:val="20"/>
                  <w:u w:val="single"/>
                </w:rPr>
                <w:t>rigor</w:t>
              </w:r>
            </w:hyperlink>
            <w:r>
              <w:rPr>
                <w:rFonts w:ascii="Calibri" w:eastAsia="Calibri" w:hAnsi="Calibri" w:cs="Calibri"/>
                <w:color w:val="59595C"/>
                <w:sz w:val="20"/>
                <w:szCs w:val="20"/>
              </w:rPr>
              <w:t xml:space="preserve"> as required by the standards and </w:t>
            </w:r>
            <w:r>
              <w:rPr>
                <w:rFonts w:ascii="Calibri" w:eastAsia="Calibri" w:hAnsi="Calibri" w:cs="Calibri"/>
                <w:color w:val="59595C"/>
                <w:sz w:val="20"/>
                <w:szCs w:val="20"/>
              </w:rPr>
              <w:t>evident within HQIM.</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375"/>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model provided is designed to support teachers in use of the</w:t>
            </w:r>
            <w:hyperlink r:id="rId26">
              <w:r>
                <w:rPr>
                  <w:rFonts w:ascii="Calibri" w:eastAsia="Calibri" w:hAnsi="Calibri" w:cs="Calibri"/>
                  <w:color w:val="59595C"/>
                  <w:sz w:val="20"/>
                  <w:szCs w:val="20"/>
                </w:rPr>
                <w:t xml:space="preserve"> </w:t>
              </w:r>
            </w:hyperlink>
            <w:hyperlink r:id="rId27">
              <w:r>
                <w:rPr>
                  <w:rFonts w:ascii="Calibri" w:eastAsia="Calibri" w:hAnsi="Calibri" w:cs="Calibri"/>
                  <w:color w:val="00AAB0"/>
                  <w:sz w:val="20"/>
                  <w:szCs w:val="20"/>
                  <w:u w:val="single"/>
                </w:rPr>
                <w:t>Math Practice Standards</w:t>
              </w:r>
            </w:hyperlink>
            <w:r>
              <w:rPr>
                <w:rFonts w:ascii="Calibri" w:eastAsia="Calibri" w:hAnsi="Calibri" w:cs="Calibri"/>
                <w:color w:val="59595C"/>
                <w:sz w:val="20"/>
                <w:szCs w:val="20"/>
              </w:rPr>
              <w:t xml:space="preserve"> (page 6) as central to the instructional process.</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750"/>
        </w:trPr>
        <w:tc>
          <w:tcPr>
            <w:tcW w:w="684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model embeds an</w:t>
            </w:r>
            <w:hyperlink r:id="rId28">
              <w:r>
                <w:rPr>
                  <w:rFonts w:ascii="Calibri" w:eastAsia="Calibri" w:hAnsi="Calibri" w:cs="Calibri"/>
                  <w:color w:val="59595C"/>
                  <w:sz w:val="20"/>
                  <w:szCs w:val="20"/>
                </w:rPr>
                <w:t xml:space="preserve"> </w:t>
              </w:r>
            </w:hyperlink>
            <w:hyperlink r:id="rId29">
              <w:r>
                <w:rPr>
                  <w:rFonts w:ascii="Calibri" w:eastAsia="Calibri" w:hAnsi="Calibri" w:cs="Calibri"/>
                  <w:color w:val="00AAB0"/>
                  <w:sz w:val="20"/>
                  <w:szCs w:val="20"/>
                  <w:u w:val="single"/>
                </w:rPr>
                <w:t>accelerating learning approach</w:t>
              </w:r>
            </w:hyperlink>
            <w:r>
              <w:rPr>
                <w:rFonts w:ascii="Calibri" w:eastAsia="Calibri" w:hAnsi="Calibri" w:cs="Calibri"/>
                <w:color w:val="59595C"/>
                <w:sz w:val="20"/>
                <w:szCs w:val="20"/>
              </w:rPr>
              <w:t xml:space="preserve"> to address u</w:t>
            </w:r>
            <w:r>
              <w:rPr>
                <w:rFonts w:ascii="Calibri" w:eastAsia="Calibri" w:hAnsi="Calibri" w:cs="Calibri"/>
                <w:color w:val="59595C"/>
                <w:sz w:val="20"/>
                <w:szCs w:val="20"/>
              </w:rPr>
              <w:t>nfinished learning so that students can become fluent and proficient with mathematics concepts.</w:t>
            </w:r>
          </w:p>
        </w:tc>
        <w:tc>
          <w:tcPr>
            <w:tcW w:w="68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bl>
    <w:p w:rsidR="00FD692B" w:rsidRDefault="00FD692B">
      <w:pPr>
        <w:rPr>
          <w:rFonts w:ascii="Calibri" w:eastAsia="Calibri" w:hAnsi="Calibri" w:cs="Calibri"/>
        </w:rPr>
      </w:pPr>
    </w:p>
    <w:tbl>
      <w:tblPr>
        <w:tblStyle w:val="a2"/>
        <w:tblW w:w="13680" w:type="dxa"/>
        <w:tblBorders>
          <w:top w:val="nil"/>
          <w:left w:val="nil"/>
          <w:bottom w:val="nil"/>
          <w:right w:val="nil"/>
          <w:insideH w:val="nil"/>
          <w:insideV w:val="nil"/>
        </w:tblBorders>
        <w:tblLayout w:type="fixed"/>
        <w:tblLook w:val="0600" w:firstRow="0" w:lastRow="0" w:firstColumn="0" w:lastColumn="0" w:noHBand="1" w:noVBand="1"/>
      </w:tblPr>
      <w:tblGrid>
        <w:gridCol w:w="6870"/>
        <w:gridCol w:w="6810"/>
      </w:tblGrid>
      <w:tr w:rsidR="00FD692B">
        <w:trPr>
          <w:trHeight w:val="315"/>
        </w:trPr>
        <w:tc>
          <w:tcPr>
            <w:tcW w:w="13680" w:type="dxa"/>
            <w:gridSpan w:val="2"/>
            <w:tcBorders>
              <w:top w:val="single" w:sz="6" w:space="0" w:color="000000"/>
              <w:left w:val="single" w:sz="6" w:space="0" w:color="CCCCCC"/>
              <w:bottom w:val="single" w:sz="6" w:space="0" w:color="000000"/>
              <w:right w:val="single" w:sz="6" w:space="0" w:color="CCCCCC"/>
            </w:tcBorders>
            <w:shd w:val="clear" w:color="auto" w:fill="646C98"/>
            <w:tcMar>
              <w:top w:w="40" w:type="dxa"/>
              <w:left w:w="40" w:type="dxa"/>
              <w:bottom w:w="40" w:type="dxa"/>
              <w:right w:w="40" w:type="dxa"/>
            </w:tcMar>
            <w:vAlign w:val="bottom"/>
          </w:tcPr>
          <w:p w:rsidR="00FD692B" w:rsidRDefault="005B73DF">
            <w:pPr>
              <w:widowControl w:val="0"/>
              <w:jc w:val="center"/>
              <w:rPr>
                <w:rFonts w:ascii="Calibri" w:eastAsia="Calibri" w:hAnsi="Calibri" w:cs="Calibri"/>
                <w:color w:val="FFFFFF"/>
                <w:sz w:val="20"/>
                <w:szCs w:val="20"/>
              </w:rPr>
            </w:pPr>
            <w:r>
              <w:rPr>
                <w:rFonts w:ascii="Calibri" w:eastAsia="Calibri" w:hAnsi="Calibri" w:cs="Calibri"/>
                <w:b/>
                <w:color w:val="FFFFFF"/>
                <w:sz w:val="20"/>
                <w:szCs w:val="20"/>
              </w:rPr>
              <w:t>Science Criteria</w:t>
            </w:r>
          </w:p>
        </w:tc>
      </w:tr>
      <w:tr w:rsidR="00FD692B">
        <w:trPr>
          <w:trHeight w:val="315"/>
        </w:trPr>
        <w:tc>
          <w:tcPr>
            <w:tcW w:w="6870" w:type="dxa"/>
            <w:tcBorders>
              <w:top w:val="single" w:sz="6" w:space="0" w:color="000000"/>
              <w:left w:val="single" w:sz="6" w:space="0" w:color="000000"/>
              <w:bottom w:val="single" w:sz="6" w:space="0" w:color="000000"/>
              <w:right w:val="single" w:sz="6" w:space="0" w:color="000000"/>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Core Instruction Topic/Criteria</w:t>
            </w:r>
          </w:p>
        </w:tc>
        <w:tc>
          <w:tcPr>
            <w:tcW w:w="6810" w:type="dxa"/>
            <w:tcBorders>
              <w:top w:val="single" w:sz="6" w:space="0" w:color="000000"/>
              <w:left w:val="single" w:sz="6" w:space="0" w:color="000000"/>
              <w:bottom w:val="single" w:sz="6" w:space="0" w:color="000000"/>
              <w:right w:val="single" w:sz="6" w:space="0" w:color="000000"/>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Vendor Response</w:t>
            </w:r>
          </w:p>
        </w:tc>
      </w:tr>
      <w:tr w:rsidR="00FD692B">
        <w:trPr>
          <w:trHeight w:val="1035"/>
        </w:trPr>
        <w:tc>
          <w:tcPr>
            <w:tcW w:w="6870" w:type="dxa"/>
            <w:tcBorders>
              <w:top w:val="single" w:sz="6" w:space="0" w:color="000000"/>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3C4043"/>
                <w:sz w:val="20"/>
                <w:szCs w:val="20"/>
              </w:rPr>
            </w:pPr>
            <w:r>
              <w:rPr>
                <w:rFonts w:ascii="Calibri" w:eastAsia="Calibri" w:hAnsi="Calibri" w:cs="Calibri"/>
                <w:color w:val="3C4043"/>
                <w:sz w:val="20"/>
                <w:szCs w:val="20"/>
              </w:rPr>
              <w:t>The professional learning model is designed to engage participants in science reflective of</w:t>
            </w:r>
            <w:hyperlink r:id="rId30">
              <w:r>
                <w:rPr>
                  <w:rFonts w:ascii="Calibri" w:eastAsia="Calibri" w:hAnsi="Calibri" w:cs="Calibri"/>
                  <w:color w:val="3C4043"/>
                  <w:sz w:val="20"/>
                  <w:szCs w:val="20"/>
                </w:rPr>
                <w:t xml:space="preserve"> </w:t>
              </w:r>
            </w:hyperlink>
            <w:hyperlink r:id="rId31">
              <w:r>
                <w:rPr>
                  <w:rFonts w:ascii="Calibri" w:eastAsia="Calibri" w:hAnsi="Calibri" w:cs="Calibri"/>
                  <w:color w:val="00AAB0"/>
                  <w:sz w:val="20"/>
                  <w:szCs w:val="20"/>
                  <w:u w:val="single"/>
                </w:rPr>
                <w:t>Louisiana’s shifts</w:t>
              </w:r>
            </w:hyperlink>
            <w:r>
              <w:rPr>
                <w:rFonts w:ascii="Calibri" w:eastAsia="Calibri" w:hAnsi="Calibri" w:cs="Calibri"/>
                <w:color w:val="3C4043"/>
                <w:sz w:val="20"/>
                <w:szCs w:val="20"/>
              </w:rPr>
              <w:t xml:space="preserve"> through the eyes of a learner (“student hat”) and provides related opportunities for reflec</w:t>
            </w:r>
            <w:r>
              <w:rPr>
                <w:rFonts w:ascii="Calibri" w:eastAsia="Calibri" w:hAnsi="Calibri" w:cs="Calibri"/>
                <w:color w:val="3C4043"/>
                <w:sz w:val="20"/>
                <w:szCs w:val="20"/>
              </w:rPr>
              <w:t>tion and discourse as a practitioner (“teacher hat”).</w:t>
            </w:r>
          </w:p>
        </w:tc>
        <w:tc>
          <w:tcPr>
            <w:tcW w:w="681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795"/>
        </w:trPr>
        <w:tc>
          <w:tcPr>
            <w:tcW w:w="6870" w:type="dxa"/>
            <w:tcBorders>
              <w:top w:val="single" w:sz="6" w:space="0" w:color="CCCCCC"/>
              <w:left w:val="single" w:sz="6" w:space="0" w:color="CCCCCC"/>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3C4043"/>
                <w:sz w:val="20"/>
                <w:szCs w:val="20"/>
              </w:rPr>
            </w:pPr>
            <w:r>
              <w:rPr>
                <w:rFonts w:ascii="Calibri" w:eastAsia="Calibri" w:hAnsi="Calibri" w:cs="Calibri"/>
                <w:color w:val="3C4043"/>
                <w:sz w:val="20"/>
                <w:szCs w:val="20"/>
              </w:rPr>
              <w:t>The professional learning model is designed to build teacher understanding of the crucial role of student engagement with science and engineering practices and crosscutting concepts in development of science core ideas. Adult learning experiences and embed</w:t>
            </w:r>
            <w:r>
              <w:rPr>
                <w:rFonts w:ascii="Calibri" w:eastAsia="Calibri" w:hAnsi="Calibri" w:cs="Calibri"/>
                <w:color w:val="3C4043"/>
                <w:sz w:val="20"/>
                <w:szCs w:val="20"/>
              </w:rPr>
              <w:t>ded content within the PL model provides an authentic representation of three-dimensional learning aligned to</w:t>
            </w:r>
            <w:hyperlink r:id="rId32">
              <w:r>
                <w:rPr>
                  <w:rFonts w:ascii="Calibri" w:eastAsia="Calibri" w:hAnsi="Calibri" w:cs="Calibri"/>
                  <w:color w:val="3C4043"/>
                  <w:sz w:val="20"/>
                  <w:szCs w:val="20"/>
                </w:rPr>
                <w:t xml:space="preserve"> </w:t>
              </w:r>
            </w:hyperlink>
            <w:hyperlink r:id="rId33">
              <w:r>
                <w:rPr>
                  <w:rFonts w:ascii="Calibri" w:eastAsia="Calibri" w:hAnsi="Calibri" w:cs="Calibri"/>
                  <w:color w:val="00AAB0"/>
                  <w:sz w:val="20"/>
                  <w:szCs w:val="20"/>
                  <w:u w:val="single"/>
                </w:rPr>
                <w:t>A Framework for K-12 Science</w:t>
              </w:r>
            </w:hyperlink>
            <w:hyperlink r:id="rId34">
              <w:r>
                <w:rPr>
                  <w:rFonts w:ascii="Calibri" w:eastAsia="Calibri" w:hAnsi="Calibri" w:cs="Calibri"/>
                  <w:color w:val="3C4043"/>
                  <w:sz w:val="20"/>
                  <w:szCs w:val="20"/>
                  <w:u w:val="single"/>
                </w:rPr>
                <w:t xml:space="preserve"> </w:t>
              </w:r>
            </w:hyperlink>
            <w:hyperlink r:id="rId35">
              <w:r>
                <w:rPr>
                  <w:rFonts w:ascii="Calibri" w:eastAsia="Calibri" w:hAnsi="Calibri" w:cs="Calibri"/>
                  <w:color w:val="00AAB0"/>
                  <w:sz w:val="20"/>
                  <w:szCs w:val="20"/>
                  <w:u w:val="single"/>
                </w:rPr>
                <w:t>Education</w:t>
              </w:r>
            </w:hyperlink>
            <w:r>
              <w:rPr>
                <w:rFonts w:ascii="Calibri" w:eastAsia="Calibri" w:hAnsi="Calibri" w:cs="Calibri"/>
                <w:color w:val="3C4043"/>
                <w:sz w:val="20"/>
                <w:szCs w:val="20"/>
              </w:rPr>
              <w:t xml:space="preserve"> and Louisiana’s Science</w:t>
            </w:r>
            <w:hyperlink r:id="rId36">
              <w:r>
                <w:rPr>
                  <w:rFonts w:ascii="Calibri" w:eastAsia="Calibri" w:hAnsi="Calibri" w:cs="Calibri"/>
                  <w:color w:val="3C4043"/>
                  <w:sz w:val="20"/>
                  <w:szCs w:val="20"/>
                </w:rPr>
                <w:t xml:space="preserve"> </w:t>
              </w:r>
            </w:hyperlink>
            <w:hyperlink r:id="rId37">
              <w:r>
                <w:rPr>
                  <w:rFonts w:ascii="Calibri" w:eastAsia="Calibri" w:hAnsi="Calibri" w:cs="Calibri"/>
                  <w:color w:val="00AAB0"/>
                  <w:sz w:val="20"/>
                  <w:szCs w:val="20"/>
                  <w:u w:val="single"/>
                </w:rPr>
                <w:t>Learn</w:t>
              </w:r>
              <w:r>
                <w:rPr>
                  <w:rFonts w:ascii="Calibri" w:eastAsia="Calibri" w:hAnsi="Calibri" w:cs="Calibri"/>
                  <w:color w:val="00AAB0"/>
                  <w:sz w:val="20"/>
                  <w:szCs w:val="20"/>
                  <w:u w:val="single"/>
                </w:rPr>
                <w:t>ing Progressions</w:t>
              </w:r>
            </w:hyperlink>
            <w:r>
              <w:rPr>
                <w:rFonts w:ascii="Calibri" w:eastAsia="Calibri" w:hAnsi="Calibri" w:cs="Calibri"/>
                <w:color w:val="3C4043"/>
                <w:sz w:val="20"/>
                <w:szCs w:val="20"/>
              </w:rPr>
              <w:t xml:space="preserve"> (Appendix A).</w:t>
            </w:r>
          </w:p>
        </w:tc>
        <w:tc>
          <w:tcPr>
            <w:tcW w:w="68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1035"/>
        </w:trPr>
        <w:tc>
          <w:tcPr>
            <w:tcW w:w="687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3C4043"/>
                <w:sz w:val="20"/>
                <w:szCs w:val="20"/>
              </w:rPr>
            </w:pPr>
            <w:r>
              <w:rPr>
                <w:rFonts w:ascii="Calibri" w:eastAsia="Calibri" w:hAnsi="Calibri" w:cs="Calibri"/>
                <w:color w:val="3C4043"/>
                <w:sz w:val="20"/>
                <w:szCs w:val="20"/>
              </w:rPr>
              <w:t>The professional learning model provides teachers with planning and implementation support for meaningfully integrating the three dimensions of the</w:t>
            </w:r>
            <w:hyperlink r:id="rId38">
              <w:r>
                <w:rPr>
                  <w:rFonts w:ascii="Calibri" w:eastAsia="Calibri" w:hAnsi="Calibri" w:cs="Calibri"/>
                  <w:color w:val="3C4043"/>
                  <w:sz w:val="20"/>
                  <w:szCs w:val="20"/>
                </w:rPr>
                <w:t xml:space="preserve"> </w:t>
              </w:r>
            </w:hyperlink>
            <w:hyperlink r:id="rId39">
              <w:r>
                <w:rPr>
                  <w:rFonts w:ascii="Calibri" w:eastAsia="Calibri" w:hAnsi="Calibri" w:cs="Calibri"/>
                  <w:color w:val="00AAB0"/>
                  <w:sz w:val="20"/>
                  <w:szCs w:val="20"/>
                  <w:u w:val="single"/>
                </w:rPr>
                <w:t>Louisiana Student Standards for Science</w:t>
              </w:r>
            </w:hyperlink>
            <w:r>
              <w:rPr>
                <w:rFonts w:ascii="Calibri" w:eastAsia="Calibri" w:hAnsi="Calibri" w:cs="Calibri"/>
                <w:color w:val="3C4043"/>
                <w:sz w:val="20"/>
                <w:szCs w:val="20"/>
              </w:rPr>
              <w:t xml:space="preserve">; facilitating students’ incremental development of science ideas for the purpose of answering questions or solving problems in relation to phenomena; and identifying and leveraging formative </w:t>
            </w:r>
            <w:r>
              <w:rPr>
                <w:rFonts w:ascii="Calibri" w:eastAsia="Calibri" w:hAnsi="Calibri" w:cs="Calibri"/>
                <w:color w:val="3C4043"/>
                <w:sz w:val="20"/>
                <w:szCs w:val="20"/>
              </w:rPr>
              <w:lastRenderedPageBreak/>
              <w:t>assessment opportuniti</w:t>
            </w:r>
            <w:r>
              <w:rPr>
                <w:rFonts w:ascii="Calibri" w:eastAsia="Calibri" w:hAnsi="Calibri" w:cs="Calibri"/>
                <w:color w:val="3C4043"/>
                <w:sz w:val="20"/>
                <w:szCs w:val="20"/>
              </w:rPr>
              <w:t>es.</w:t>
            </w:r>
          </w:p>
        </w:tc>
        <w:tc>
          <w:tcPr>
            <w:tcW w:w="68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bl>
    <w:p w:rsidR="00FD692B" w:rsidRDefault="00FD692B">
      <w:pPr>
        <w:rPr>
          <w:rFonts w:ascii="Calibri" w:eastAsia="Calibri" w:hAnsi="Calibri" w:cs="Calibri"/>
        </w:rPr>
      </w:pPr>
    </w:p>
    <w:tbl>
      <w:tblPr>
        <w:tblStyle w:val="a3"/>
        <w:tblW w:w="13680" w:type="dxa"/>
        <w:tblBorders>
          <w:top w:val="nil"/>
          <w:left w:val="nil"/>
          <w:bottom w:val="nil"/>
          <w:right w:val="nil"/>
          <w:insideH w:val="nil"/>
          <w:insideV w:val="nil"/>
        </w:tblBorders>
        <w:tblLayout w:type="fixed"/>
        <w:tblLook w:val="0600" w:firstRow="0" w:lastRow="0" w:firstColumn="0" w:lastColumn="0" w:noHBand="1" w:noVBand="1"/>
      </w:tblPr>
      <w:tblGrid>
        <w:gridCol w:w="6520"/>
        <w:gridCol w:w="7160"/>
      </w:tblGrid>
      <w:tr w:rsidR="00FD692B">
        <w:trPr>
          <w:trHeight w:val="315"/>
        </w:trPr>
        <w:tc>
          <w:tcPr>
            <w:tcW w:w="13680" w:type="dxa"/>
            <w:gridSpan w:val="2"/>
            <w:tcBorders>
              <w:top w:val="single" w:sz="6" w:space="0" w:color="000000"/>
              <w:left w:val="single" w:sz="6" w:space="0" w:color="CCCCCC"/>
              <w:bottom w:val="single" w:sz="6" w:space="0" w:color="000000"/>
              <w:right w:val="single" w:sz="6" w:space="0" w:color="CCCCCC"/>
            </w:tcBorders>
            <w:shd w:val="clear" w:color="auto" w:fill="646C98"/>
            <w:tcMar>
              <w:top w:w="40" w:type="dxa"/>
              <w:left w:w="40" w:type="dxa"/>
              <w:bottom w:w="40" w:type="dxa"/>
              <w:right w:w="40" w:type="dxa"/>
            </w:tcMar>
            <w:vAlign w:val="bottom"/>
          </w:tcPr>
          <w:p w:rsidR="00FD692B" w:rsidRDefault="005B73DF">
            <w:pPr>
              <w:widowControl w:val="0"/>
              <w:jc w:val="center"/>
              <w:rPr>
                <w:rFonts w:ascii="Calibri" w:eastAsia="Calibri" w:hAnsi="Calibri" w:cs="Calibri"/>
                <w:color w:val="FFFFFF"/>
                <w:sz w:val="20"/>
                <w:szCs w:val="20"/>
              </w:rPr>
            </w:pPr>
            <w:r>
              <w:rPr>
                <w:rFonts w:ascii="Calibri" w:eastAsia="Calibri" w:hAnsi="Calibri" w:cs="Calibri"/>
                <w:b/>
                <w:color w:val="FFFFFF"/>
                <w:sz w:val="20"/>
                <w:szCs w:val="20"/>
              </w:rPr>
              <w:t>Social Studies Criteria</w:t>
            </w:r>
          </w:p>
        </w:tc>
      </w:tr>
      <w:tr w:rsidR="00FD692B">
        <w:trPr>
          <w:trHeight w:val="315"/>
        </w:trPr>
        <w:tc>
          <w:tcPr>
            <w:tcW w:w="6520" w:type="dxa"/>
            <w:tcBorders>
              <w:top w:val="single" w:sz="6" w:space="0" w:color="000000"/>
              <w:left w:val="single" w:sz="6" w:space="0" w:color="000000"/>
              <w:bottom w:val="single" w:sz="6" w:space="0" w:color="000000"/>
              <w:right w:val="single" w:sz="6" w:space="0" w:color="000000"/>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Core Instruction Topic/Criteria</w:t>
            </w:r>
          </w:p>
        </w:tc>
        <w:tc>
          <w:tcPr>
            <w:tcW w:w="7160" w:type="dxa"/>
            <w:tcBorders>
              <w:top w:val="single" w:sz="6" w:space="0" w:color="000000"/>
              <w:left w:val="single" w:sz="6" w:space="0" w:color="000000"/>
              <w:bottom w:val="single" w:sz="6" w:space="0" w:color="000000"/>
              <w:right w:val="single" w:sz="6" w:space="0" w:color="000000"/>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Vendor Response</w:t>
            </w:r>
          </w:p>
        </w:tc>
      </w:tr>
      <w:tr w:rsidR="00FD692B">
        <w:trPr>
          <w:trHeight w:val="1035"/>
        </w:trPr>
        <w:tc>
          <w:tcPr>
            <w:tcW w:w="6520" w:type="dxa"/>
            <w:tcBorders>
              <w:top w:val="single" w:sz="6" w:space="0" w:color="000000"/>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model provided is designed to support teachers in the instructional process of equipping students to build and deepen content knowledge through engagement with primary/secondary/tertiary sources and the exploration of meaningful q</w:t>
            </w:r>
            <w:r>
              <w:rPr>
                <w:rFonts w:ascii="Calibri" w:eastAsia="Calibri" w:hAnsi="Calibri" w:cs="Calibri"/>
                <w:color w:val="59595C"/>
                <w:sz w:val="20"/>
                <w:szCs w:val="20"/>
              </w:rPr>
              <w:t>uestions about grade-level content.</w:t>
            </w:r>
          </w:p>
        </w:tc>
        <w:tc>
          <w:tcPr>
            <w:tcW w:w="716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1035"/>
        </w:trPr>
        <w:tc>
          <w:tcPr>
            <w:tcW w:w="652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 xml:space="preserve">The professional learning model provided is designed to support teachers in the instructional process of equipping students to develop and express claims that demonstrate their understanding of content by making connections among ideas, people, and events </w:t>
            </w:r>
            <w:r>
              <w:rPr>
                <w:rFonts w:ascii="Calibri" w:eastAsia="Calibri" w:hAnsi="Calibri" w:cs="Calibri"/>
                <w:color w:val="59595C"/>
                <w:sz w:val="20"/>
                <w:szCs w:val="20"/>
              </w:rPr>
              <w:t>across time and by using evidence from sources and outside knowledge.</w:t>
            </w:r>
          </w:p>
        </w:tc>
        <w:tc>
          <w:tcPr>
            <w:tcW w:w="7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r w:rsidR="00FD692B">
        <w:trPr>
          <w:trHeight w:val="555"/>
        </w:trPr>
        <w:tc>
          <w:tcPr>
            <w:tcW w:w="6520" w:type="dxa"/>
            <w:tcBorders>
              <w:top w:val="single" w:sz="6" w:space="0" w:color="CCCCCC"/>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model provides teachers with opportunities to build and deepen their own knowledge of grade-level content.</w:t>
            </w:r>
          </w:p>
        </w:tc>
        <w:tc>
          <w:tcPr>
            <w:tcW w:w="71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FD692B">
            <w:pPr>
              <w:widowControl w:val="0"/>
              <w:rPr>
                <w:rFonts w:ascii="Calibri" w:eastAsia="Calibri" w:hAnsi="Calibri" w:cs="Calibri"/>
                <w:sz w:val="20"/>
                <w:szCs w:val="20"/>
              </w:rPr>
            </w:pPr>
          </w:p>
        </w:tc>
      </w:tr>
    </w:tbl>
    <w:p w:rsidR="00FD692B" w:rsidRDefault="00FD692B">
      <w:pPr>
        <w:rPr>
          <w:rFonts w:ascii="Calibri" w:eastAsia="Calibri" w:hAnsi="Calibri" w:cs="Calibri"/>
        </w:rPr>
      </w:pPr>
    </w:p>
    <w:tbl>
      <w:tblPr>
        <w:tblStyle w:val="a4"/>
        <w:tblW w:w="13680" w:type="dxa"/>
        <w:tblBorders>
          <w:top w:val="nil"/>
          <w:left w:val="nil"/>
          <w:bottom w:val="nil"/>
          <w:right w:val="nil"/>
          <w:insideH w:val="nil"/>
          <w:insideV w:val="nil"/>
        </w:tblBorders>
        <w:tblLayout w:type="fixed"/>
        <w:tblLook w:val="0600" w:firstRow="0" w:lastRow="0" w:firstColumn="0" w:lastColumn="0" w:noHBand="1" w:noVBand="1"/>
      </w:tblPr>
      <w:tblGrid>
        <w:gridCol w:w="6520"/>
        <w:gridCol w:w="7160"/>
      </w:tblGrid>
      <w:tr w:rsidR="00FD692B">
        <w:trPr>
          <w:trHeight w:val="315"/>
        </w:trPr>
        <w:tc>
          <w:tcPr>
            <w:tcW w:w="13680" w:type="dxa"/>
            <w:gridSpan w:val="2"/>
            <w:tcBorders>
              <w:top w:val="single" w:sz="6" w:space="0" w:color="000000"/>
              <w:left w:val="single" w:sz="6" w:space="0" w:color="CCCCCC"/>
              <w:bottom w:val="single" w:sz="6" w:space="0" w:color="000000"/>
              <w:right w:val="single" w:sz="6" w:space="0" w:color="CCCCCC"/>
            </w:tcBorders>
            <w:shd w:val="clear" w:color="auto" w:fill="646C98"/>
            <w:tcMar>
              <w:top w:w="40" w:type="dxa"/>
              <w:left w:w="40" w:type="dxa"/>
              <w:bottom w:w="40" w:type="dxa"/>
              <w:right w:w="40" w:type="dxa"/>
            </w:tcMar>
            <w:vAlign w:val="bottom"/>
          </w:tcPr>
          <w:p w:rsidR="00FD692B" w:rsidRDefault="005B73DF">
            <w:pPr>
              <w:widowControl w:val="0"/>
              <w:jc w:val="center"/>
              <w:rPr>
                <w:rFonts w:ascii="Calibri" w:eastAsia="Calibri" w:hAnsi="Calibri" w:cs="Calibri"/>
                <w:color w:val="FFFFFF"/>
                <w:sz w:val="20"/>
                <w:szCs w:val="20"/>
              </w:rPr>
            </w:pPr>
            <w:r>
              <w:rPr>
                <w:rFonts w:ascii="Calibri" w:eastAsia="Calibri" w:hAnsi="Calibri" w:cs="Calibri"/>
                <w:b/>
                <w:color w:val="FFFFFF"/>
                <w:sz w:val="20"/>
                <w:szCs w:val="20"/>
              </w:rPr>
              <w:t>ECE Criteria</w:t>
            </w:r>
          </w:p>
        </w:tc>
      </w:tr>
      <w:tr w:rsidR="00FD692B">
        <w:trPr>
          <w:trHeight w:val="315"/>
        </w:trPr>
        <w:tc>
          <w:tcPr>
            <w:tcW w:w="6520" w:type="dxa"/>
            <w:tcBorders>
              <w:top w:val="single" w:sz="6" w:space="0" w:color="000000"/>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Not Applicable</w:t>
            </w:r>
          </w:p>
        </w:tc>
        <w:tc>
          <w:tcPr>
            <w:tcW w:w="716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Not Applicable</w:t>
            </w:r>
          </w:p>
        </w:tc>
      </w:tr>
    </w:tbl>
    <w:p w:rsidR="00FD692B" w:rsidRDefault="00FD692B">
      <w:pPr>
        <w:spacing w:line="216" w:lineRule="auto"/>
        <w:rPr>
          <w:rFonts w:ascii="Calibri" w:eastAsia="Calibri" w:hAnsi="Calibri" w:cs="Calibri"/>
        </w:rPr>
      </w:pPr>
    </w:p>
    <w:p w:rsidR="00FD692B" w:rsidRDefault="00FD692B">
      <w:pPr>
        <w:jc w:val="center"/>
        <w:rPr>
          <w:rFonts w:ascii="Calibri" w:eastAsia="Calibri" w:hAnsi="Calibri" w:cs="Calibri"/>
          <w:b/>
          <w:color w:val="7E87BE"/>
          <w:sz w:val="28"/>
          <w:szCs w:val="28"/>
        </w:rPr>
      </w:pPr>
    </w:p>
    <w:p w:rsidR="00FD692B" w:rsidRDefault="005B73DF">
      <w:pPr>
        <w:jc w:val="center"/>
        <w:rPr>
          <w:rFonts w:ascii="Calibri" w:eastAsia="Calibri" w:hAnsi="Calibri" w:cs="Calibri"/>
          <w:b/>
          <w:color w:val="7E87BE"/>
          <w:sz w:val="28"/>
          <w:szCs w:val="28"/>
        </w:rPr>
      </w:pPr>
      <w:r>
        <w:rPr>
          <w:rFonts w:ascii="Calibri" w:eastAsia="Calibri" w:hAnsi="Calibri" w:cs="Calibri"/>
          <w:b/>
          <w:color w:val="7E87BE"/>
          <w:sz w:val="28"/>
          <w:szCs w:val="28"/>
        </w:rPr>
        <w:t>Diverse Learner Criteria</w:t>
      </w:r>
    </w:p>
    <w:p w:rsidR="00FD692B" w:rsidRDefault="005B73DF">
      <w:pPr>
        <w:rPr>
          <w:rFonts w:ascii="Calibri" w:eastAsia="Calibri" w:hAnsi="Calibri" w:cs="Calibri"/>
          <w:color w:val="59595C"/>
        </w:rPr>
      </w:pPr>
      <w:r>
        <w:rPr>
          <w:rFonts w:ascii="Calibri" w:eastAsia="Calibri" w:hAnsi="Calibri" w:cs="Calibri"/>
          <w:b/>
          <w:color w:val="59595C"/>
        </w:rPr>
        <w:t xml:space="preserve">Directions: </w:t>
      </w:r>
      <w:r>
        <w:rPr>
          <w:rFonts w:ascii="Calibri" w:eastAsia="Calibri" w:hAnsi="Calibri" w:cs="Calibri"/>
          <w:color w:val="59595C"/>
        </w:rPr>
        <w:t xml:space="preserve">If applicable, please draft a brief response in the </w:t>
      </w:r>
      <w:r>
        <w:rPr>
          <w:rFonts w:ascii="Calibri" w:eastAsia="Calibri" w:hAnsi="Calibri" w:cs="Calibri"/>
          <w:i/>
          <w:color w:val="59595C"/>
        </w:rPr>
        <w:t>Vendor Response</w:t>
      </w:r>
      <w:r>
        <w:rPr>
          <w:rFonts w:ascii="Calibri" w:eastAsia="Calibri" w:hAnsi="Calibri" w:cs="Calibri"/>
          <w:color w:val="59595C"/>
        </w:rPr>
        <w:t xml:space="preserve"> column for each topic in regards to Diverse Learner supports. This will expedite the review and ensure reviewers have a deeper understanding of your professional development offerings. Reviewers will provide feedback on submissions in these areas. </w:t>
      </w:r>
    </w:p>
    <w:tbl>
      <w:tblPr>
        <w:tblStyle w:val="a5"/>
        <w:tblW w:w="13680" w:type="dxa"/>
        <w:tblBorders>
          <w:top w:val="nil"/>
          <w:left w:val="nil"/>
          <w:bottom w:val="nil"/>
          <w:right w:val="nil"/>
          <w:insideH w:val="nil"/>
          <w:insideV w:val="nil"/>
        </w:tblBorders>
        <w:tblLayout w:type="fixed"/>
        <w:tblLook w:val="0600" w:firstRow="0" w:lastRow="0" w:firstColumn="0" w:lastColumn="0" w:noHBand="1" w:noVBand="1"/>
      </w:tblPr>
      <w:tblGrid>
        <w:gridCol w:w="5310"/>
        <w:gridCol w:w="4185"/>
        <w:gridCol w:w="4185"/>
      </w:tblGrid>
      <w:tr w:rsidR="00FD692B">
        <w:trPr>
          <w:trHeight w:val="330"/>
        </w:trPr>
        <w:tc>
          <w:tcPr>
            <w:tcW w:w="13680" w:type="dxa"/>
            <w:gridSpan w:val="3"/>
            <w:tcBorders>
              <w:top w:val="single" w:sz="6" w:space="0" w:color="000000"/>
              <w:left w:val="single" w:sz="6" w:space="0" w:color="CCCCCC"/>
              <w:bottom w:val="single" w:sz="6" w:space="0" w:color="000000"/>
              <w:right w:val="single" w:sz="6" w:space="0" w:color="CCCCCC"/>
            </w:tcBorders>
            <w:shd w:val="clear" w:color="auto" w:fill="646C98"/>
            <w:tcMar>
              <w:top w:w="40" w:type="dxa"/>
              <w:left w:w="40" w:type="dxa"/>
              <w:bottom w:w="40" w:type="dxa"/>
              <w:right w:w="40" w:type="dxa"/>
            </w:tcMar>
            <w:vAlign w:val="bottom"/>
          </w:tcPr>
          <w:p w:rsidR="00FD692B" w:rsidRDefault="005B73DF">
            <w:pPr>
              <w:widowControl w:val="0"/>
              <w:jc w:val="center"/>
              <w:rPr>
                <w:rFonts w:ascii="Calibri" w:eastAsia="Calibri" w:hAnsi="Calibri" w:cs="Calibri"/>
                <w:color w:val="FFFFFF"/>
                <w:sz w:val="20"/>
                <w:szCs w:val="20"/>
              </w:rPr>
            </w:pPr>
            <w:r>
              <w:rPr>
                <w:rFonts w:ascii="Calibri" w:eastAsia="Calibri" w:hAnsi="Calibri" w:cs="Calibri"/>
                <w:b/>
                <w:color w:val="FFFFFF"/>
                <w:sz w:val="20"/>
                <w:szCs w:val="20"/>
              </w:rPr>
              <w:t>Divers</w:t>
            </w:r>
            <w:r>
              <w:rPr>
                <w:rFonts w:ascii="Calibri" w:eastAsia="Calibri" w:hAnsi="Calibri" w:cs="Calibri"/>
                <w:b/>
                <w:color w:val="FFFFFF"/>
                <w:sz w:val="20"/>
                <w:szCs w:val="20"/>
              </w:rPr>
              <w:t>e Learner Criteria</w:t>
            </w:r>
          </w:p>
        </w:tc>
      </w:tr>
      <w:tr w:rsidR="00FD692B">
        <w:trPr>
          <w:trHeight w:val="315"/>
        </w:trPr>
        <w:tc>
          <w:tcPr>
            <w:tcW w:w="5310" w:type="dxa"/>
            <w:tcBorders>
              <w:top w:val="single" w:sz="6" w:space="0" w:color="000000"/>
              <w:left w:val="single" w:sz="6" w:space="0" w:color="CCCCCC"/>
              <w:bottom w:val="single" w:sz="6" w:space="0" w:color="000000"/>
              <w:right w:val="single" w:sz="6" w:space="0" w:color="CCCCCC"/>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lastRenderedPageBreak/>
              <w:t>Core Instruction Topic/Criteria</w:t>
            </w:r>
          </w:p>
        </w:tc>
        <w:tc>
          <w:tcPr>
            <w:tcW w:w="4185" w:type="dxa"/>
            <w:tcBorders>
              <w:top w:val="single" w:sz="6" w:space="0" w:color="000000"/>
              <w:left w:val="single" w:sz="6" w:space="0" w:color="CCCCCC"/>
              <w:bottom w:val="single" w:sz="6" w:space="0" w:color="000000"/>
              <w:right w:val="single" w:sz="6" w:space="0" w:color="CCCCCC"/>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Vendor Response for Students with Disabilities</w:t>
            </w:r>
          </w:p>
        </w:tc>
        <w:tc>
          <w:tcPr>
            <w:tcW w:w="4185" w:type="dxa"/>
            <w:tcBorders>
              <w:top w:val="single" w:sz="6" w:space="0" w:color="000000"/>
              <w:left w:val="single" w:sz="6" w:space="0" w:color="CCCCCC"/>
              <w:bottom w:val="single" w:sz="6" w:space="0" w:color="000000"/>
              <w:right w:val="single" w:sz="6" w:space="0" w:color="CCCCCC"/>
            </w:tcBorders>
            <w:shd w:val="clear" w:color="auto" w:fill="7E87BE"/>
            <w:tcMar>
              <w:top w:w="40" w:type="dxa"/>
              <w:left w:w="40" w:type="dxa"/>
              <w:bottom w:w="40" w:type="dxa"/>
              <w:right w:w="40" w:type="dxa"/>
            </w:tcMar>
            <w:vAlign w:val="bottom"/>
          </w:tcPr>
          <w:p w:rsidR="00FD692B" w:rsidRDefault="005B73DF">
            <w:pPr>
              <w:widowControl w:val="0"/>
              <w:jc w:val="center"/>
              <w:rPr>
                <w:rFonts w:ascii="Calibri" w:eastAsia="Calibri" w:hAnsi="Calibri" w:cs="Calibri"/>
                <w:b/>
                <w:color w:val="FFFFFF"/>
                <w:sz w:val="20"/>
                <w:szCs w:val="20"/>
              </w:rPr>
            </w:pPr>
            <w:r>
              <w:rPr>
                <w:rFonts w:ascii="Calibri" w:eastAsia="Calibri" w:hAnsi="Calibri" w:cs="Calibri"/>
                <w:b/>
                <w:color w:val="FFFFFF"/>
                <w:sz w:val="20"/>
                <w:szCs w:val="20"/>
              </w:rPr>
              <w:t>Vendor Response for English Learners</w:t>
            </w:r>
          </w:p>
        </w:tc>
      </w:tr>
      <w:tr w:rsidR="00FD692B">
        <w:trPr>
          <w:trHeight w:val="795"/>
        </w:trPr>
        <w:tc>
          <w:tcPr>
            <w:tcW w:w="5310" w:type="dxa"/>
            <w:tcBorders>
              <w:top w:val="single" w:sz="6" w:space="0" w:color="000000"/>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Adequate and specific materials are provided to address diverse learners’ needs within the classroom to support teachers and students obtain optimal learning objectives (English Learners and/or students with disabilities).</w:t>
            </w:r>
          </w:p>
        </w:tc>
        <w:tc>
          <w:tcPr>
            <w:tcW w:w="41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FD692B" w:rsidRDefault="00FD692B">
            <w:pPr>
              <w:widowControl w:val="0"/>
              <w:rPr>
                <w:rFonts w:ascii="Calibri" w:eastAsia="Calibri" w:hAnsi="Calibri" w:cs="Calibri"/>
                <w:sz w:val="20"/>
                <w:szCs w:val="20"/>
              </w:rPr>
            </w:pPr>
          </w:p>
        </w:tc>
        <w:tc>
          <w:tcPr>
            <w:tcW w:w="418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FD692B" w:rsidRDefault="00FD692B">
            <w:pPr>
              <w:widowControl w:val="0"/>
              <w:rPr>
                <w:rFonts w:ascii="Calibri" w:eastAsia="Calibri" w:hAnsi="Calibri" w:cs="Calibri"/>
                <w:sz w:val="20"/>
                <w:szCs w:val="20"/>
              </w:rPr>
            </w:pPr>
          </w:p>
        </w:tc>
      </w:tr>
      <w:tr w:rsidR="00FD692B">
        <w:trPr>
          <w:trHeight w:val="555"/>
        </w:trPr>
        <w:tc>
          <w:tcPr>
            <w:tcW w:w="5310" w:type="dxa"/>
            <w:tcBorders>
              <w:top w:val="single" w:sz="6" w:space="0" w:color="000000"/>
              <w:left w:val="single" w:sz="6" w:space="0" w:color="CCCCCC"/>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The professional learning supports teachers in addressing the needs of Diverse Learners by leveraging the HQIM’s’ embedded supports.</w:t>
            </w:r>
          </w:p>
        </w:tc>
        <w:tc>
          <w:tcPr>
            <w:tcW w:w="41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FD692B" w:rsidRDefault="00FD692B">
            <w:pPr>
              <w:widowControl w:val="0"/>
              <w:rPr>
                <w:rFonts w:ascii="Calibri" w:eastAsia="Calibri" w:hAnsi="Calibri" w:cs="Calibri"/>
                <w:sz w:val="20"/>
                <w:szCs w:val="20"/>
              </w:rPr>
            </w:pPr>
          </w:p>
        </w:tc>
        <w:tc>
          <w:tcPr>
            <w:tcW w:w="41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FD692B" w:rsidRDefault="00FD692B">
            <w:pPr>
              <w:widowControl w:val="0"/>
              <w:rPr>
                <w:rFonts w:ascii="Calibri" w:eastAsia="Calibri" w:hAnsi="Calibri" w:cs="Calibri"/>
                <w:sz w:val="20"/>
                <w:szCs w:val="20"/>
              </w:rPr>
            </w:pPr>
          </w:p>
        </w:tc>
      </w:tr>
      <w:tr w:rsidR="00FD692B">
        <w:trPr>
          <w:trHeight w:val="555"/>
        </w:trPr>
        <w:tc>
          <w:tcPr>
            <w:tcW w:w="5310" w:type="dxa"/>
            <w:tcBorders>
              <w:top w:val="single" w:sz="6" w:space="0" w:color="000000"/>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Explicit references are made to Diverse Learners throughout the professional learning materials and clear examples of content/skills with which they may struggle are provided.</w:t>
            </w:r>
          </w:p>
        </w:tc>
        <w:tc>
          <w:tcPr>
            <w:tcW w:w="41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FD692B" w:rsidRDefault="00FD692B">
            <w:pPr>
              <w:widowControl w:val="0"/>
              <w:rPr>
                <w:rFonts w:ascii="Calibri" w:eastAsia="Calibri" w:hAnsi="Calibri" w:cs="Calibri"/>
                <w:sz w:val="20"/>
                <w:szCs w:val="20"/>
              </w:rPr>
            </w:pPr>
          </w:p>
        </w:tc>
        <w:tc>
          <w:tcPr>
            <w:tcW w:w="418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FD692B" w:rsidRDefault="00FD692B">
            <w:pPr>
              <w:widowControl w:val="0"/>
              <w:rPr>
                <w:rFonts w:ascii="Calibri" w:eastAsia="Calibri" w:hAnsi="Calibri" w:cs="Calibri"/>
                <w:sz w:val="20"/>
                <w:szCs w:val="20"/>
              </w:rPr>
            </w:pPr>
          </w:p>
        </w:tc>
      </w:tr>
      <w:tr w:rsidR="00FD692B">
        <w:trPr>
          <w:trHeight w:val="795"/>
        </w:trPr>
        <w:tc>
          <w:tcPr>
            <w:tcW w:w="5310" w:type="dxa"/>
            <w:tcBorders>
              <w:top w:val="single" w:sz="6" w:space="0" w:color="000000"/>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Clear action steps teachers can use to ensure Diverse Learners succeed are provided (e.g., identify students struggling with particular skills; identify pre-requisite skills needed; use a "Model-Lead-Test" instructional strategy; employ a "measuring templa</w:t>
            </w:r>
            <w:r>
              <w:rPr>
                <w:rFonts w:ascii="Calibri" w:eastAsia="Calibri" w:hAnsi="Calibri" w:cs="Calibri"/>
                <w:color w:val="59595C"/>
                <w:sz w:val="20"/>
                <w:szCs w:val="20"/>
              </w:rPr>
              <w:t>te" for support).</w:t>
            </w:r>
          </w:p>
        </w:tc>
        <w:tc>
          <w:tcPr>
            <w:tcW w:w="41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FD692B" w:rsidRDefault="00FD692B">
            <w:pPr>
              <w:widowControl w:val="0"/>
              <w:rPr>
                <w:rFonts w:ascii="Calibri" w:eastAsia="Calibri" w:hAnsi="Calibri" w:cs="Calibri"/>
                <w:sz w:val="20"/>
                <w:szCs w:val="20"/>
              </w:rPr>
            </w:pPr>
          </w:p>
        </w:tc>
        <w:tc>
          <w:tcPr>
            <w:tcW w:w="418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FD692B" w:rsidRDefault="00FD692B">
            <w:pPr>
              <w:widowControl w:val="0"/>
              <w:rPr>
                <w:rFonts w:ascii="Calibri" w:eastAsia="Calibri" w:hAnsi="Calibri" w:cs="Calibri"/>
                <w:sz w:val="20"/>
                <w:szCs w:val="20"/>
              </w:rPr>
            </w:pPr>
          </w:p>
        </w:tc>
      </w:tr>
      <w:tr w:rsidR="00FD692B">
        <w:trPr>
          <w:trHeight w:val="555"/>
        </w:trPr>
        <w:tc>
          <w:tcPr>
            <w:tcW w:w="5310" w:type="dxa"/>
            <w:tcBorders>
              <w:top w:val="single" w:sz="6" w:space="0" w:color="000000"/>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Opportunities are provided for teachers to create plans, practice, and receive feedback on their new learning about how to ensure Diverse Learners succeed.</w:t>
            </w:r>
          </w:p>
        </w:tc>
        <w:tc>
          <w:tcPr>
            <w:tcW w:w="41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FD692B" w:rsidRDefault="00FD692B">
            <w:pPr>
              <w:widowControl w:val="0"/>
              <w:rPr>
                <w:rFonts w:ascii="Calibri" w:eastAsia="Calibri" w:hAnsi="Calibri" w:cs="Calibri"/>
                <w:sz w:val="20"/>
                <w:szCs w:val="20"/>
              </w:rPr>
            </w:pPr>
          </w:p>
        </w:tc>
        <w:tc>
          <w:tcPr>
            <w:tcW w:w="418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FD692B" w:rsidRDefault="00FD692B">
            <w:pPr>
              <w:widowControl w:val="0"/>
              <w:rPr>
                <w:rFonts w:ascii="Calibri" w:eastAsia="Calibri" w:hAnsi="Calibri" w:cs="Calibri"/>
                <w:sz w:val="20"/>
                <w:szCs w:val="20"/>
              </w:rPr>
            </w:pPr>
          </w:p>
        </w:tc>
      </w:tr>
      <w:tr w:rsidR="00FD692B">
        <w:trPr>
          <w:trHeight w:val="555"/>
        </w:trPr>
        <w:tc>
          <w:tcPr>
            <w:tcW w:w="5310" w:type="dxa"/>
            <w:tcBorders>
              <w:top w:val="single" w:sz="6" w:space="0" w:color="000000"/>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Opportunities are provided for leaders to be fully trained to lead the ongoing development of teachers to ensure Diverse Learners succeed.</w:t>
            </w:r>
          </w:p>
        </w:tc>
        <w:tc>
          <w:tcPr>
            <w:tcW w:w="41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FD692B" w:rsidRDefault="00FD692B">
            <w:pPr>
              <w:widowControl w:val="0"/>
              <w:rPr>
                <w:rFonts w:ascii="Calibri" w:eastAsia="Calibri" w:hAnsi="Calibri" w:cs="Calibri"/>
                <w:sz w:val="20"/>
                <w:szCs w:val="20"/>
              </w:rPr>
            </w:pPr>
          </w:p>
        </w:tc>
        <w:tc>
          <w:tcPr>
            <w:tcW w:w="418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FD692B" w:rsidRDefault="00FD692B">
            <w:pPr>
              <w:widowControl w:val="0"/>
              <w:rPr>
                <w:rFonts w:ascii="Calibri" w:eastAsia="Calibri" w:hAnsi="Calibri" w:cs="Calibri"/>
                <w:sz w:val="20"/>
                <w:szCs w:val="20"/>
              </w:rPr>
            </w:pPr>
          </w:p>
        </w:tc>
      </w:tr>
      <w:tr w:rsidR="00FD692B">
        <w:trPr>
          <w:trHeight w:val="315"/>
        </w:trPr>
        <w:tc>
          <w:tcPr>
            <w:tcW w:w="5310" w:type="dxa"/>
            <w:tcBorders>
              <w:top w:val="single" w:sz="6" w:space="0" w:color="000000"/>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Specific strategies are presented for providing supports for EL students in the classroom.</w:t>
            </w:r>
          </w:p>
        </w:tc>
        <w:tc>
          <w:tcPr>
            <w:tcW w:w="41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FD692B" w:rsidRDefault="00FD692B">
            <w:pPr>
              <w:widowControl w:val="0"/>
              <w:rPr>
                <w:rFonts w:ascii="Calibri" w:eastAsia="Calibri" w:hAnsi="Calibri" w:cs="Calibri"/>
                <w:sz w:val="20"/>
                <w:szCs w:val="20"/>
              </w:rPr>
            </w:pPr>
          </w:p>
        </w:tc>
        <w:tc>
          <w:tcPr>
            <w:tcW w:w="418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FD692B" w:rsidRDefault="00FD692B">
            <w:pPr>
              <w:widowControl w:val="0"/>
              <w:rPr>
                <w:rFonts w:ascii="Calibri" w:eastAsia="Calibri" w:hAnsi="Calibri" w:cs="Calibri"/>
                <w:sz w:val="20"/>
                <w:szCs w:val="20"/>
              </w:rPr>
            </w:pPr>
          </w:p>
        </w:tc>
      </w:tr>
      <w:tr w:rsidR="00FD692B">
        <w:trPr>
          <w:trHeight w:val="555"/>
        </w:trPr>
        <w:tc>
          <w:tcPr>
            <w:tcW w:w="5310" w:type="dxa"/>
            <w:tcBorders>
              <w:top w:val="single" w:sz="6" w:space="0" w:color="000000"/>
              <w:left w:val="single" w:sz="6" w:space="0" w:color="000000"/>
              <w:bottom w:val="single" w:sz="6" w:space="0" w:color="000000"/>
              <w:right w:val="single" w:sz="6" w:space="0" w:color="000000"/>
            </w:tcBorders>
            <w:shd w:val="clear" w:color="auto" w:fill="EBEBF3"/>
            <w:tcMar>
              <w:top w:w="40" w:type="dxa"/>
              <w:left w:w="40" w:type="dxa"/>
              <w:bottom w:w="40" w:type="dxa"/>
              <w:right w:w="40" w:type="dxa"/>
            </w:tcMar>
            <w:vAlign w:val="bottom"/>
          </w:tcPr>
          <w:p w:rsidR="00FD692B" w:rsidRDefault="005B73DF">
            <w:pPr>
              <w:widowControl w:val="0"/>
              <w:rPr>
                <w:rFonts w:ascii="Calibri" w:eastAsia="Calibri" w:hAnsi="Calibri" w:cs="Calibri"/>
                <w:color w:val="59595C"/>
                <w:sz w:val="20"/>
                <w:szCs w:val="20"/>
              </w:rPr>
            </w:pPr>
            <w:r>
              <w:rPr>
                <w:rFonts w:ascii="Calibri" w:eastAsia="Calibri" w:hAnsi="Calibri" w:cs="Calibri"/>
                <w:color w:val="59595C"/>
                <w:sz w:val="20"/>
                <w:szCs w:val="20"/>
              </w:rPr>
              <w:t>Direct modeling opportunities are provided to give teachers and administration tangible strategies that ensure they understand how to fully implement the learning strategies.</w:t>
            </w:r>
          </w:p>
        </w:tc>
        <w:tc>
          <w:tcPr>
            <w:tcW w:w="41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FD692B" w:rsidRDefault="00FD692B">
            <w:pPr>
              <w:widowControl w:val="0"/>
              <w:rPr>
                <w:rFonts w:ascii="Calibri" w:eastAsia="Calibri" w:hAnsi="Calibri" w:cs="Calibri"/>
                <w:sz w:val="20"/>
                <w:szCs w:val="20"/>
              </w:rPr>
            </w:pPr>
          </w:p>
        </w:tc>
        <w:tc>
          <w:tcPr>
            <w:tcW w:w="418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FD692B" w:rsidRDefault="00FD692B">
            <w:pPr>
              <w:widowControl w:val="0"/>
              <w:rPr>
                <w:rFonts w:ascii="Calibri" w:eastAsia="Calibri" w:hAnsi="Calibri" w:cs="Calibri"/>
                <w:sz w:val="20"/>
                <w:szCs w:val="20"/>
              </w:rPr>
            </w:pPr>
          </w:p>
        </w:tc>
      </w:tr>
    </w:tbl>
    <w:p w:rsidR="00FD692B" w:rsidRDefault="00FD692B">
      <w:pPr>
        <w:rPr>
          <w:rFonts w:ascii="Calibri" w:eastAsia="Calibri" w:hAnsi="Calibri" w:cs="Calibri"/>
        </w:rPr>
      </w:pPr>
    </w:p>
    <w:p w:rsidR="00FD692B" w:rsidRDefault="00FD692B">
      <w:pPr>
        <w:rPr>
          <w:rFonts w:ascii="Calibri" w:eastAsia="Calibri" w:hAnsi="Calibri" w:cs="Calibri"/>
        </w:rPr>
      </w:pPr>
    </w:p>
    <w:p w:rsidR="00FD692B" w:rsidRDefault="00FD692B"/>
    <w:sectPr w:rsidR="00FD692B">
      <w:headerReference w:type="default" r:id="rId40"/>
      <w:footerReference w:type="default" r:id="rId41"/>
      <w:pgSz w:w="15840" w:h="12240" w:orient="landscape"/>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3DF" w:rsidRDefault="005B73DF">
      <w:pPr>
        <w:spacing w:line="240" w:lineRule="auto"/>
      </w:pPr>
      <w:r>
        <w:separator/>
      </w:r>
    </w:p>
  </w:endnote>
  <w:endnote w:type="continuationSeparator" w:id="0">
    <w:p w:rsidR="005B73DF" w:rsidRDefault="005B7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92B" w:rsidRDefault="005B73DF">
    <w:pPr>
      <w:jc w:val="center"/>
      <w:rPr>
        <w:rFonts w:ascii="Calibri" w:eastAsia="Calibri" w:hAnsi="Calibri" w:cs="Calibri"/>
        <w:color w:val="59595C"/>
      </w:rPr>
    </w:pPr>
    <w:r>
      <w:rPr>
        <w:rFonts w:ascii="Calibri" w:eastAsia="Calibri" w:hAnsi="Calibri" w:cs="Calibri"/>
        <w:color w:val="59595C"/>
      </w:rPr>
      <w:t>Please save this document as: 6_Vendor Name_PLPG Criteria Response.doc/pdf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3DF" w:rsidRDefault="005B73DF">
      <w:pPr>
        <w:spacing w:line="240" w:lineRule="auto"/>
      </w:pPr>
      <w:r>
        <w:separator/>
      </w:r>
    </w:p>
  </w:footnote>
  <w:footnote w:type="continuationSeparator" w:id="0">
    <w:p w:rsidR="005B73DF" w:rsidRDefault="005B73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92B" w:rsidRDefault="005B73DF">
    <w:pPr>
      <w:jc w:val="center"/>
    </w:pPr>
    <w:r>
      <w:rPr>
        <w:noProof/>
        <w:lang w:val="en-US"/>
      </w:rPr>
      <w:drawing>
        <wp:inline distT="457200" distB="457200" distL="457200" distR="457200">
          <wp:extent cx="8686800" cy="660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686800" cy="660400"/>
                  </a:xfrm>
                  <a:prstGeom prst="rect">
                    <a:avLst/>
                  </a:prstGeom>
                  <a:ln/>
                </pic:spPr>
              </pic:pic>
            </a:graphicData>
          </a:graphic>
        </wp:inline>
      </w:drawing>
    </w:r>
    <w:r>
      <w:rPr>
        <w:noProof/>
        <w:lang w:val="en-US"/>
      </w:rPr>
      <mc:AlternateContent>
        <mc:Choice Requires="wpg">
          <w:drawing>
            <wp:anchor distT="0" distB="0" distL="0" distR="0" simplePos="0" relativeHeight="251658240" behindDoc="0" locked="0" layoutInCell="1" hidden="0" allowOverlap="1">
              <wp:simplePos x="0" y="0"/>
              <wp:positionH relativeFrom="column">
                <wp:posOffset>4000500</wp:posOffset>
              </wp:positionH>
              <wp:positionV relativeFrom="paragraph">
                <wp:posOffset>38100</wp:posOffset>
              </wp:positionV>
              <wp:extent cx="4762500" cy="524175"/>
              <wp:effectExtent l="0" t="0" r="0" b="0"/>
              <wp:wrapNone/>
              <wp:docPr id="1" name="Rectangle 1"/>
              <wp:cNvGraphicFramePr/>
              <a:graphic xmlns:a="http://schemas.openxmlformats.org/drawingml/2006/main">
                <a:graphicData uri="http://schemas.microsoft.com/office/word/2010/wordprocessingShape">
                  <wps:wsp>
                    <wps:cNvSpPr/>
                    <wps:spPr>
                      <a:xfrm>
                        <a:off x="1782000" y="3455525"/>
                        <a:ext cx="6041400" cy="648900"/>
                      </a:xfrm>
                      <a:prstGeom prst="rect">
                        <a:avLst/>
                      </a:prstGeom>
                      <a:noFill/>
                      <a:ln>
                        <a:noFill/>
                      </a:ln>
                    </wps:spPr>
                    <wps:txbx>
                      <w:txbxContent>
                        <w:p w:rsidR="00FD692B" w:rsidRDefault="005B73DF">
                          <w:pPr>
                            <w:spacing w:line="275" w:lineRule="auto"/>
                            <w:jc w:val="right"/>
                            <w:textDirection w:val="btLr"/>
                          </w:pPr>
                          <w:r>
                            <w:rPr>
                              <w:rFonts w:ascii="Calibri" w:eastAsia="Calibri" w:hAnsi="Calibri" w:cs="Calibri"/>
                              <w:b/>
                              <w:color w:val="000000"/>
                              <w:sz w:val="28"/>
                            </w:rPr>
                            <w:t>Academic Content Professional Learning Partner Guide</w:t>
                          </w:r>
                        </w:p>
                        <w:p w:rsidR="00FD692B" w:rsidRDefault="005B73DF">
                          <w:pPr>
                            <w:spacing w:line="275" w:lineRule="auto"/>
                            <w:jc w:val="right"/>
                            <w:textDirection w:val="btLr"/>
                          </w:pPr>
                          <w:r>
                            <w:rPr>
                              <w:rFonts w:ascii="Calibri" w:eastAsia="Calibri" w:hAnsi="Calibri" w:cs="Calibri"/>
                              <w:b/>
                              <w:color w:val="000000"/>
                              <w:sz w:val="28"/>
                            </w:rPr>
                            <w:t>Vendor Response to Feedback Criteria</w:t>
                          </w:r>
                        </w:p>
                      </w:txbxContent>
                    </wps:txbx>
                    <wps:bodyPr spcFirstLastPara="1" wrap="square" lIns="91425" tIns="45700" rIns="91425" bIns="4570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4000500</wp:posOffset>
              </wp:positionH>
              <wp:positionV relativeFrom="paragraph">
                <wp:posOffset>38100</wp:posOffset>
              </wp:positionV>
              <wp:extent cx="4762500" cy="52417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762500" cy="52417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2B"/>
    <w:rsid w:val="005B73DF"/>
    <w:rsid w:val="00F174B6"/>
    <w:rsid w:val="00FD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AF8CC-CC59-4CA0-B6D4-44A0CB0E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ouisianabelieves.com/docs/default-source/key-initiatives/louisianas-key-initiatives_curriculum-support.pdf" TargetMode="External"/><Relationship Id="rId13" Type="http://schemas.openxmlformats.org/officeDocument/2006/relationships/hyperlink" Target="https://www.louisianabelieves.com/docs/default-source/teacher-toolbox-resources/reader's-circles---informational-texts.pdf?sfvrsn=b8e2971f_2" TargetMode="External"/><Relationship Id="rId18" Type="http://schemas.openxmlformats.org/officeDocument/2006/relationships/hyperlink" Target="https://www.louisianabelieves.com/docs/default-source/accelerate/accelerate---louisiana's-pre-k-12-tutoring-strategy.pdf?sfvrsn=d7366618_18" TargetMode="External"/><Relationship Id="rId26" Type="http://schemas.openxmlformats.org/officeDocument/2006/relationships/hyperlink" Target="https://www.louisianabelieves.com/docs/default-source/teacher-toolbox-resources/louisiana-student-standards-for-k-12-math.pdf?sfvrsn=86bb8a1f_62" TargetMode="External"/><Relationship Id="rId39" Type="http://schemas.openxmlformats.org/officeDocument/2006/relationships/hyperlink" Target="https://www.louisianabelieves.com/docs/default-source/teacher-toolbox-resources/k-12-louisiana-student-standards-for-science.zip?sfvrsn=550c971f_34" TargetMode="External"/><Relationship Id="rId3" Type="http://schemas.openxmlformats.org/officeDocument/2006/relationships/webSettings" Target="webSettings.xml"/><Relationship Id="rId21" Type="http://schemas.openxmlformats.org/officeDocument/2006/relationships/hyperlink" Target="https://www.louisianabelieves.com/docs/default-source/teacher-toolbox-resources/math-focus-documents.zip?sfvrsn=61449d1f_6" TargetMode="External"/><Relationship Id="rId34" Type="http://schemas.openxmlformats.org/officeDocument/2006/relationships/hyperlink" Target="https://nap.nationalacademies.org/catalog/13165/a-framework-for-k-12-science-education-practices-crosscutting-concepts" TargetMode="External"/><Relationship Id="rId42" Type="http://schemas.openxmlformats.org/officeDocument/2006/relationships/fontTable" Target="fontTable.xml"/><Relationship Id="rId7" Type="http://schemas.openxmlformats.org/officeDocument/2006/relationships/hyperlink" Target="https://www.louisianabelieves.com/docs/default-source/key-initiatives/louisianas-key-initiatives_curriculum-support.pdf" TargetMode="External"/><Relationship Id="rId12" Type="http://schemas.openxmlformats.org/officeDocument/2006/relationships/hyperlink" Target="https://www.louisianabelieves.com/docs/default-source/teacher-toolbox-resources/guide---how-to-determine-text-complexity-grades-k-12.pdf?sfvrsn=c2587cf1_15" TargetMode="External"/><Relationship Id="rId17" Type="http://schemas.openxmlformats.org/officeDocument/2006/relationships/hyperlink" Target="https://www.louisianabelieves.com/docs/default-source/teacher-toolbox-resources/reader's-circles---literary-texts.pdf?sfvrsn=bfe2971f_2" TargetMode="External"/><Relationship Id="rId25" Type="http://schemas.openxmlformats.org/officeDocument/2006/relationships/hyperlink" Target="https://www.louisianabelieves.com/docs/default-source/teacher-toolbox-resources/rigor-documents.zip?sfvrsn=51449d1f_6" TargetMode="External"/><Relationship Id="rId33" Type="http://schemas.openxmlformats.org/officeDocument/2006/relationships/hyperlink" Target="https://nap.nationalacademies.org/catalog/13165/a-framework-for-k-12-science-education-practices-crosscutting-concepts" TargetMode="External"/><Relationship Id="rId38" Type="http://schemas.openxmlformats.org/officeDocument/2006/relationships/hyperlink" Target="https://www.louisianabelieves.com/docs/default-source/teacher-toolbox-resources/k-12-louisiana-student-standards-for-science.zip?sfvrsn=550c971f_34" TargetMode="External"/><Relationship Id="rId2" Type="http://schemas.openxmlformats.org/officeDocument/2006/relationships/settings" Target="settings.xml"/><Relationship Id="rId16" Type="http://schemas.openxmlformats.org/officeDocument/2006/relationships/hyperlink" Target="https://www.louisianabelieves.com/docs/default-source/teacher-toolbox-resources/reader's-circles---literary-texts.pdf?sfvrsn=bfe2971f_2" TargetMode="External"/><Relationship Id="rId20" Type="http://schemas.openxmlformats.org/officeDocument/2006/relationships/hyperlink" Target="https://www.louisianabelieves.com/docs/default-source/teacher-toolbox-resources/math-focus-documents.zip?sfvrsn=61449d1f_6" TargetMode="External"/><Relationship Id="rId29" Type="http://schemas.openxmlformats.org/officeDocument/2006/relationships/hyperlink" Target="https://www.louisianabelieves.com/docs/default-source/teacher-toolbox-resources/acceleration-cycle.pdf?sfvrsn=53376718_6"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louisianabelieves.com/docs/default-source/key-initiatives/louisianas-key-initiatives_curriculum-support.pdf" TargetMode="External"/><Relationship Id="rId11" Type="http://schemas.openxmlformats.org/officeDocument/2006/relationships/hyperlink" Target="https://www.louisianabelieves.com/docs/default-source/teacher-toolbox-resources/guide---how-to-determine-text-complexity-grades-k-12.pdf?sfvrsn=c2587cf1_15" TargetMode="External"/><Relationship Id="rId24" Type="http://schemas.openxmlformats.org/officeDocument/2006/relationships/hyperlink" Target="https://www.louisianabelieves.com/docs/default-source/teacher-toolbox-resources/rigor-documents.zip?sfvrsn=51449d1f_6" TargetMode="External"/><Relationship Id="rId32" Type="http://schemas.openxmlformats.org/officeDocument/2006/relationships/hyperlink" Target="https://nap.nationalacademies.org/catalog/13165/a-framework-for-k-12-science-education-practices-crosscutting-concepts" TargetMode="External"/><Relationship Id="rId37" Type="http://schemas.openxmlformats.org/officeDocument/2006/relationships/hyperlink" Target="https://www.louisianabelieves.com/docs/default-source/teacher-toolbox-resources/appendix-a---learning-progressions.pdf?sfvrsn=5"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louisianabelieves.com/docs/default-source/teacher-toolbox-resources/reader's-circles---literary-nonfiction-texts.pdf?sfvrsn=b9e2971f_2" TargetMode="External"/><Relationship Id="rId23" Type="http://schemas.openxmlformats.org/officeDocument/2006/relationships/hyperlink" Target="https://www.louisianabelieves.com/docs/default-source/teacher-toolbox-resources/k-8-math-standards-by-domain.pdf?sfvrsn=bf8c8a1f_16" TargetMode="External"/><Relationship Id="rId28" Type="http://schemas.openxmlformats.org/officeDocument/2006/relationships/hyperlink" Target="https://www.louisianabelieves.com/docs/default-source/teacher-toolbox-resources/acceleration-cycle.pdf?sfvrsn=53376718_6" TargetMode="External"/><Relationship Id="rId36" Type="http://schemas.openxmlformats.org/officeDocument/2006/relationships/hyperlink" Target="https://www.louisianabelieves.com/docs/default-source/teacher-toolbox-resources/appendix-a---learning-progressions.pdf?sfvrsn=5" TargetMode="External"/><Relationship Id="rId10" Type="http://schemas.openxmlformats.org/officeDocument/2006/relationships/hyperlink" Target="https://www.louisianabelieves.com/docs/default-source/louisiana-teacher-leaders/instructional-priorities.pdf?sfvrsn=8" TargetMode="External"/><Relationship Id="rId19" Type="http://schemas.openxmlformats.org/officeDocument/2006/relationships/hyperlink" Target="https://www.louisianabelieves.com/docs/default-source/accelerate/accelerate---louisiana's-pre-k-12-tutoring-strategy.pdf?sfvrsn=d7366618_18" TargetMode="External"/><Relationship Id="rId31" Type="http://schemas.openxmlformats.org/officeDocument/2006/relationships/hyperlink" Target="https://www.louisianabelieves.com/docs/default-source/links-for-newsletters/science-standards---shifts-in-science.pdf?sfvrsn=f74e9d1f_2" TargetMode="External"/><Relationship Id="rId4" Type="http://schemas.openxmlformats.org/officeDocument/2006/relationships/footnotes" Target="footnotes.xml"/><Relationship Id="rId9" Type="http://schemas.openxmlformats.org/officeDocument/2006/relationships/hyperlink" Target="https://www.louisianabelieves.com/docs/default-source/louisiana-teacher-leaders/instructional-priorities.pdf?sfvrsn=8" TargetMode="External"/><Relationship Id="rId14" Type="http://schemas.openxmlformats.org/officeDocument/2006/relationships/hyperlink" Target="https://www.louisianabelieves.com/docs/default-source/teacher-toolbox-resources/reader's-circles---literary-nonfiction-texts.pdf?sfvrsn=b9e2971f_2" TargetMode="External"/><Relationship Id="rId22" Type="http://schemas.openxmlformats.org/officeDocument/2006/relationships/hyperlink" Target="https://www.louisianabelieves.com/docs/default-source/teacher-toolbox-resources/k-8-math-standards-by-domain.pdf?sfvrsn=bf8c8a1f_16" TargetMode="External"/><Relationship Id="rId27" Type="http://schemas.openxmlformats.org/officeDocument/2006/relationships/hyperlink" Target="https://www.louisianabelieves.com/docs/default-source/teacher-toolbox-resources/louisiana-student-standards-for-k-12-math.pdf?sfvrsn=86bb8a1f_62" TargetMode="External"/><Relationship Id="rId30" Type="http://schemas.openxmlformats.org/officeDocument/2006/relationships/hyperlink" Target="https://www.louisianabelieves.com/docs/default-source/links-for-newsletters/science-standards---shifts-in-science.pdf?sfvrsn=f74e9d1f_2" TargetMode="External"/><Relationship Id="rId35" Type="http://schemas.openxmlformats.org/officeDocument/2006/relationships/hyperlink" Target="https://nap.nationalacademies.org/catalog/13165/a-framework-for-k-12-science-education-practices-crosscutting-concepts"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Carman</dc:creator>
  <cp:lastModifiedBy>Jessica Carman</cp:lastModifiedBy>
  <cp:revision>2</cp:revision>
  <dcterms:created xsi:type="dcterms:W3CDTF">2023-03-29T14:50:00Z</dcterms:created>
  <dcterms:modified xsi:type="dcterms:W3CDTF">2023-03-29T14:50:00Z</dcterms:modified>
</cp:coreProperties>
</file>