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EA" w:rsidRDefault="00165FEA"/>
    <w:p w:rsidR="000A2E48" w:rsidRDefault="000A2E48"/>
    <w:p w:rsidR="000A2E48" w:rsidRDefault="000A2E48">
      <w:pPr>
        <w:rPr>
          <w:rFonts w:ascii="Calibri" w:hAnsi="Calibri"/>
          <w:b/>
        </w:rPr>
      </w:pPr>
      <w:r w:rsidRPr="000A2E48">
        <w:rPr>
          <w:rFonts w:ascii="Calibri" w:hAnsi="Calibri"/>
          <w:b/>
        </w:rPr>
        <w:t>Appendix A</w:t>
      </w:r>
      <w:r>
        <w:rPr>
          <w:rFonts w:ascii="Calibri" w:hAnsi="Calibri"/>
          <w:b/>
        </w:rPr>
        <w:t xml:space="preserve">. </w:t>
      </w:r>
      <w:r w:rsidRPr="000A2E48">
        <w:rPr>
          <w:rFonts w:ascii="Calibri" w:hAnsi="Calibri"/>
          <w:b/>
        </w:rPr>
        <w:t xml:space="preserve">Publisher Response </w:t>
      </w:r>
    </w:p>
    <w:p w:rsidR="00B92AC2" w:rsidRDefault="00B92AC2">
      <w:pPr>
        <w:rPr>
          <w:rFonts w:ascii="Calibri" w:hAnsi="Calibri"/>
          <w:b/>
        </w:rPr>
      </w:pPr>
    </w:p>
    <w:p w:rsidR="00B92AC2" w:rsidRPr="002144EF" w:rsidRDefault="00B92AC2" w:rsidP="00B92AC2">
      <w:pPr>
        <w:spacing w:before="120" w:after="120"/>
        <w:rPr>
          <w:rFonts w:ascii="Calibri" w:hAnsi="Calibri" w:cs="Calibri"/>
          <w:b/>
          <w:color w:val="000000"/>
          <w:sz w:val="20"/>
          <w:szCs w:val="20"/>
        </w:rPr>
      </w:pPr>
      <w:bookmarkStart w:id="0" w:name="_GoBack"/>
      <w:bookmarkEnd w:id="0"/>
      <w:r w:rsidRPr="002144EF">
        <w:rPr>
          <w:rFonts w:ascii="Calibri" w:hAnsi="Calibri" w:cs="Calibri"/>
          <w:b/>
          <w:color w:val="000000"/>
          <w:sz w:val="20"/>
          <w:szCs w:val="20"/>
        </w:rPr>
        <w:t xml:space="preserve">Title: </w:t>
      </w:r>
      <w:r>
        <w:rPr>
          <w:rFonts w:ascii="Calibri" w:hAnsi="Calibri" w:cs="Calibri"/>
          <w:color w:val="000000"/>
          <w:sz w:val="20"/>
          <w:szCs w:val="20"/>
          <w:u w:val="single"/>
        </w:rPr>
        <w:t>[Title]</w:t>
      </w:r>
      <w:r w:rsidRPr="002144EF">
        <w:rPr>
          <w:rFonts w:ascii="Calibri" w:hAnsi="Calibri" w:cs="Calibri"/>
          <w:b/>
          <w:color w:val="000000"/>
          <w:sz w:val="20"/>
          <w:szCs w:val="20"/>
        </w:rPr>
        <w:t xml:space="preserve">    </w:t>
      </w:r>
      <w:r>
        <w:rPr>
          <w:rFonts w:ascii="Calibri" w:hAnsi="Calibri" w:cs="Calibri"/>
          <w:b/>
          <w:color w:val="000000"/>
          <w:sz w:val="20"/>
          <w:szCs w:val="20"/>
        </w:rPr>
        <w:tab/>
      </w:r>
      <w:r>
        <w:rPr>
          <w:rFonts w:ascii="Calibri" w:hAnsi="Calibri" w:cs="Calibri"/>
          <w:b/>
          <w:color w:val="000000"/>
          <w:sz w:val="20"/>
          <w:szCs w:val="20"/>
        </w:rPr>
        <w:tab/>
      </w:r>
      <w:r w:rsidRPr="002144EF">
        <w:rPr>
          <w:rFonts w:ascii="Calibri" w:hAnsi="Calibri" w:cs="Calibri"/>
          <w:b/>
          <w:color w:val="000000"/>
          <w:sz w:val="20"/>
          <w:szCs w:val="20"/>
        </w:rPr>
        <w:t xml:space="preserve">Grade: </w:t>
      </w:r>
      <w:r>
        <w:rPr>
          <w:rFonts w:ascii="Calibri" w:hAnsi="Calibri" w:cs="Calibri"/>
          <w:color w:val="000000"/>
          <w:sz w:val="20"/>
          <w:szCs w:val="20"/>
          <w:u w:val="single"/>
        </w:rPr>
        <w:t>[Grade]</w:t>
      </w:r>
      <w:r w:rsidRPr="002144EF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</w:p>
    <w:p w:rsidR="00B92AC2" w:rsidRPr="002144EF" w:rsidRDefault="00B92AC2" w:rsidP="00B92AC2">
      <w:pPr>
        <w:spacing w:before="120" w:after="120"/>
        <w:rPr>
          <w:rFonts w:ascii="Calibri" w:hAnsi="Calibri" w:cs="Calibri"/>
          <w:sz w:val="20"/>
          <w:szCs w:val="20"/>
          <w:u w:val="single"/>
        </w:rPr>
      </w:pPr>
      <w:r w:rsidRPr="002144EF">
        <w:rPr>
          <w:rFonts w:ascii="Calibri" w:hAnsi="Calibri" w:cs="Calibri"/>
          <w:b/>
          <w:color w:val="000000"/>
          <w:sz w:val="20"/>
          <w:szCs w:val="20"/>
        </w:rPr>
        <w:t xml:space="preserve">Publisher: </w:t>
      </w:r>
      <w:r>
        <w:rPr>
          <w:rFonts w:ascii="Calibri" w:hAnsi="Calibri" w:cs="Calibri"/>
          <w:color w:val="000000"/>
          <w:sz w:val="20"/>
          <w:szCs w:val="20"/>
          <w:u w:val="single"/>
        </w:rPr>
        <w:t>[Publisher]</w:t>
      </w:r>
      <w:r>
        <w:rPr>
          <w:rFonts w:ascii="Calibri" w:hAnsi="Calibri" w:cs="Calibri"/>
          <w:b/>
          <w:color w:val="000000"/>
          <w:sz w:val="20"/>
          <w:szCs w:val="20"/>
        </w:rPr>
        <w:tab/>
      </w:r>
      <w:r w:rsidRPr="002144EF">
        <w:rPr>
          <w:rFonts w:ascii="Calibri" w:hAnsi="Calibri" w:cs="Calibri"/>
          <w:b/>
          <w:color w:val="000000"/>
          <w:sz w:val="20"/>
          <w:szCs w:val="20"/>
        </w:rPr>
        <w:t xml:space="preserve">Copyright: </w:t>
      </w:r>
      <w:r>
        <w:rPr>
          <w:rFonts w:ascii="Calibri" w:hAnsi="Calibri" w:cs="Calibri"/>
          <w:color w:val="000000"/>
          <w:sz w:val="20"/>
          <w:szCs w:val="20"/>
          <w:u w:val="single"/>
        </w:rPr>
        <w:t>[Copyright]</w:t>
      </w:r>
    </w:p>
    <w:p w:rsidR="00B92AC2" w:rsidRPr="002144EF" w:rsidRDefault="00B92AC2" w:rsidP="00B92AC2">
      <w:pPr>
        <w:spacing w:before="120" w:after="120"/>
        <w:rPr>
          <w:rFonts w:ascii="Calibri" w:hAnsi="Calibri" w:cs="Calibri"/>
          <w:sz w:val="20"/>
          <w:szCs w:val="20"/>
          <w:u w:val="single"/>
        </w:rPr>
      </w:pPr>
      <w:r w:rsidRPr="002144EF">
        <w:rPr>
          <w:rFonts w:ascii="Calibri" w:hAnsi="Calibri" w:cs="Calibri"/>
          <w:b/>
          <w:sz w:val="20"/>
          <w:szCs w:val="20"/>
        </w:rPr>
        <w:t xml:space="preserve">Overall Rating: </w:t>
      </w:r>
      <w:r w:rsidRPr="00225C18">
        <w:rPr>
          <w:rFonts w:ascii="Calibri" w:hAnsi="Calibri" w:cs="Calibri"/>
          <w:b/>
          <w:sz w:val="20"/>
          <w:szCs w:val="20"/>
          <w:u w:val="single"/>
        </w:rPr>
        <w:t xml:space="preserve">[Choose one: </w:t>
      </w:r>
      <w:r w:rsidRPr="002144EF">
        <w:rPr>
          <w:rFonts w:ascii="Calibri" w:hAnsi="Calibri" w:cs="Calibri"/>
          <w:b/>
          <w:sz w:val="20"/>
          <w:szCs w:val="20"/>
          <w:u w:val="single"/>
        </w:rPr>
        <w:t>Tier I, Exemplifies quality; Tier II, Approaching quality; Tier III, Not representing quality</w:t>
      </w:r>
      <w:r>
        <w:rPr>
          <w:rFonts w:ascii="Calibri" w:hAnsi="Calibri" w:cs="Calibri"/>
          <w:b/>
          <w:sz w:val="20"/>
          <w:szCs w:val="20"/>
          <w:u w:val="single"/>
        </w:rPr>
        <w:t>]</w:t>
      </w:r>
    </w:p>
    <w:p w:rsidR="00B92AC2" w:rsidRPr="00437520" w:rsidRDefault="00B92AC2" w:rsidP="00B92AC2">
      <w:pPr>
        <w:spacing w:after="120"/>
        <w:rPr>
          <w:rFonts w:asciiTheme="majorHAnsi" w:hAnsiTheme="majorHAnsi" w:cstheme="majorHAnsi"/>
          <w:b/>
          <w:sz w:val="20"/>
          <w:szCs w:val="20"/>
          <w:u w:val="single"/>
        </w:rPr>
      </w:pPr>
      <w:hyperlink r:id="rId7" w:history="1">
        <w:r w:rsidRPr="0029767D">
          <w:rPr>
            <w:rStyle w:val="Hyperlink"/>
            <w:rFonts w:asciiTheme="majorHAnsi" w:hAnsiTheme="majorHAnsi" w:cstheme="majorHAnsi"/>
            <w:b/>
            <w:sz w:val="20"/>
            <w:szCs w:val="20"/>
          </w:rPr>
          <w:t>Tier I, Tier II, Tier III</w:t>
        </w:r>
      </w:hyperlink>
      <w:r w:rsidRPr="0029767D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E</w:t>
      </w:r>
      <w:r w:rsidRPr="00437520">
        <w:rPr>
          <w:rFonts w:asciiTheme="majorHAnsi" w:hAnsiTheme="majorHAnsi" w:cstheme="majorHAnsi"/>
          <w:b/>
          <w:sz w:val="20"/>
          <w:szCs w:val="20"/>
        </w:rPr>
        <w:t>lements of this review:</w:t>
      </w:r>
    </w:p>
    <w:tbl>
      <w:tblPr>
        <w:tblStyle w:val="TableGrid"/>
        <w:tblW w:w="8488" w:type="dxa"/>
        <w:jc w:val="center"/>
        <w:tblInd w:w="-983" w:type="dxa"/>
        <w:tblLook w:val="04A0" w:firstRow="1" w:lastRow="0" w:firstColumn="1" w:lastColumn="0" w:noHBand="0" w:noVBand="1"/>
      </w:tblPr>
      <w:tblGrid>
        <w:gridCol w:w="4469"/>
        <w:gridCol w:w="4019"/>
      </w:tblGrid>
      <w:tr w:rsidR="00B92AC2" w:rsidRPr="002144EF" w:rsidTr="00A049E5">
        <w:trPr>
          <w:jc w:val="center"/>
        </w:trPr>
        <w:tc>
          <w:tcPr>
            <w:tcW w:w="4469" w:type="dxa"/>
          </w:tcPr>
          <w:p w:rsidR="00B92AC2" w:rsidRPr="002144EF" w:rsidRDefault="00B92AC2" w:rsidP="00A049E5">
            <w:pPr>
              <w:ind w:left="27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144EF">
              <w:rPr>
                <w:rFonts w:asciiTheme="majorHAnsi" w:hAnsiTheme="majorHAnsi"/>
                <w:b/>
                <w:sz w:val="20"/>
                <w:szCs w:val="20"/>
              </w:rPr>
              <w:t>STRONG</w:t>
            </w:r>
          </w:p>
        </w:tc>
        <w:tc>
          <w:tcPr>
            <w:tcW w:w="4019" w:type="dxa"/>
          </w:tcPr>
          <w:p w:rsidR="00B92AC2" w:rsidRPr="002144EF" w:rsidRDefault="00B92AC2" w:rsidP="00A049E5">
            <w:pPr>
              <w:ind w:left="27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144EF">
              <w:rPr>
                <w:rFonts w:asciiTheme="majorHAnsi" w:hAnsiTheme="majorHAnsi"/>
                <w:b/>
                <w:sz w:val="20"/>
                <w:szCs w:val="20"/>
              </w:rPr>
              <w:t>WEAK</w:t>
            </w:r>
          </w:p>
        </w:tc>
      </w:tr>
      <w:tr w:rsidR="00B92AC2" w:rsidRPr="002144EF" w:rsidTr="00A049E5">
        <w:trPr>
          <w:trHeight w:val="288"/>
          <w:jc w:val="center"/>
        </w:trPr>
        <w:tc>
          <w:tcPr>
            <w:tcW w:w="4469" w:type="dxa"/>
          </w:tcPr>
          <w:p w:rsidR="00B92AC2" w:rsidRPr="002144EF" w:rsidRDefault="00B92AC2" w:rsidP="00A049E5">
            <w:pPr>
              <w:ind w:left="274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019" w:type="dxa"/>
          </w:tcPr>
          <w:p w:rsidR="00B92AC2" w:rsidRPr="002144EF" w:rsidRDefault="00B92AC2" w:rsidP="00A049E5">
            <w:pPr>
              <w:ind w:left="274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92AC2" w:rsidRPr="002144EF" w:rsidRDefault="00B92AC2" w:rsidP="00B92AC2">
      <w:pPr>
        <w:jc w:val="both"/>
        <w:rPr>
          <w:rFonts w:ascii="Calibri" w:hAnsi="Calibri"/>
          <w:color w:val="000000"/>
          <w:sz w:val="20"/>
          <w:szCs w:val="20"/>
        </w:rPr>
      </w:pPr>
    </w:p>
    <w:p w:rsidR="00B92AC2" w:rsidRDefault="00B92AC2" w:rsidP="00B92AC2">
      <w:pPr>
        <w:jc w:val="both"/>
        <w:rPr>
          <w:rFonts w:ascii="Calibri" w:hAnsi="Calibri"/>
          <w:color w:val="000000"/>
          <w:sz w:val="20"/>
          <w:szCs w:val="20"/>
        </w:rPr>
      </w:pPr>
      <w:r w:rsidRPr="002144EF">
        <w:rPr>
          <w:rFonts w:ascii="Calibri" w:hAnsi="Calibri"/>
          <w:color w:val="000000"/>
          <w:sz w:val="20"/>
          <w:szCs w:val="20"/>
        </w:rPr>
        <w:t xml:space="preserve">To evaluate each set of submitted materials for alignment with the standards, begin by reviewing the indicators listed in Column 2 for the non-negotiable criteria in Section I. </w:t>
      </w:r>
      <w:r>
        <w:rPr>
          <w:rFonts w:ascii="Calibri" w:hAnsi="Calibri"/>
          <w:color w:val="000000"/>
          <w:sz w:val="20"/>
          <w:szCs w:val="20"/>
        </w:rPr>
        <w:t xml:space="preserve">If there is a “Yes” for all indicators in Column 2 for Section I, then the materials receive a “Yes” in Column 1. </w:t>
      </w:r>
      <w:r w:rsidRPr="002144EF">
        <w:rPr>
          <w:rFonts w:ascii="Calibri" w:hAnsi="Calibri"/>
          <w:color w:val="000000"/>
          <w:sz w:val="20"/>
          <w:szCs w:val="20"/>
        </w:rPr>
        <w:t>If there is a “No” for any indicator in Column 2 for Section I, then the materials receive a “No” in Column 1.</w:t>
      </w:r>
    </w:p>
    <w:p w:rsidR="00B92AC2" w:rsidRDefault="00B92AC2" w:rsidP="00B92AC2">
      <w:pPr>
        <w:jc w:val="both"/>
        <w:rPr>
          <w:rFonts w:ascii="Calibri" w:hAnsi="Calibri"/>
          <w:color w:val="000000"/>
          <w:sz w:val="20"/>
          <w:szCs w:val="20"/>
        </w:rPr>
      </w:pPr>
    </w:p>
    <w:p w:rsidR="00B92AC2" w:rsidRDefault="00B92AC2" w:rsidP="00B92AC2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For Section II, begin by reviewing the required indicators in Column 2 for each criterion. If there is a “Yes” for all required indicators in Column 2, then the materials receive a “Yes” in Column 1. If there is a “No” for any required indicators in Column 2, then the materials receive a “No” in Column 1. </w:t>
      </w:r>
    </w:p>
    <w:p w:rsidR="00B92AC2" w:rsidRDefault="00B92AC2" w:rsidP="00B92AC2">
      <w:pPr>
        <w:jc w:val="both"/>
        <w:rPr>
          <w:rFonts w:ascii="Calibri" w:hAnsi="Calibri"/>
          <w:color w:val="000000"/>
          <w:sz w:val="20"/>
          <w:szCs w:val="20"/>
        </w:rPr>
      </w:pPr>
    </w:p>
    <w:p w:rsidR="00B92AC2" w:rsidRPr="00993AB3" w:rsidRDefault="00B92AC2" w:rsidP="00B92AC2">
      <w:pPr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993AB3">
        <w:rPr>
          <w:rFonts w:asciiTheme="majorHAnsi" w:hAnsiTheme="majorHAnsi" w:cstheme="majorHAnsi"/>
          <w:b/>
          <w:i/>
          <w:color w:val="000000"/>
          <w:sz w:val="20"/>
          <w:szCs w:val="20"/>
        </w:rPr>
        <w:t>Tier 1 ratings</w:t>
      </w:r>
      <w:r w:rsidRPr="00993AB3">
        <w:rPr>
          <w:rFonts w:asciiTheme="majorHAnsi" w:hAnsiTheme="majorHAnsi" w:cstheme="majorHAnsi"/>
          <w:color w:val="000000"/>
          <w:sz w:val="20"/>
          <w:szCs w:val="20"/>
        </w:rPr>
        <w:t xml:space="preserve"> receive a “Yes” in Column 1 for Criteria 1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– </w:t>
      </w:r>
      <w:r w:rsidRPr="00993AB3">
        <w:rPr>
          <w:rFonts w:asciiTheme="majorHAnsi" w:hAnsiTheme="majorHAnsi" w:cstheme="majorHAnsi"/>
          <w:color w:val="000000"/>
          <w:sz w:val="20"/>
          <w:szCs w:val="20"/>
        </w:rPr>
        <w:t xml:space="preserve">7. </w:t>
      </w:r>
    </w:p>
    <w:p w:rsidR="00B92AC2" w:rsidRPr="00993AB3" w:rsidRDefault="00B92AC2" w:rsidP="00B92AC2">
      <w:pPr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993AB3">
        <w:rPr>
          <w:rFonts w:asciiTheme="majorHAnsi" w:hAnsiTheme="majorHAnsi" w:cstheme="majorHAnsi"/>
          <w:b/>
          <w:i/>
          <w:color w:val="000000"/>
          <w:sz w:val="20"/>
          <w:szCs w:val="20"/>
        </w:rPr>
        <w:t>Tier 2 ratings</w:t>
      </w:r>
      <w:r w:rsidRPr="00993AB3">
        <w:rPr>
          <w:rFonts w:asciiTheme="majorHAnsi" w:hAnsiTheme="majorHAnsi" w:cstheme="majorHAnsi"/>
          <w:color w:val="000000"/>
          <w:sz w:val="20"/>
          <w:szCs w:val="20"/>
        </w:rPr>
        <w:t xml:space="preserve"> receive a “Yes” in Column 1 for all non-negotiable criteria (Criteria 1 – 4), but at least one “No” in Column 1 for the remaining criteria. </w:t>
      </w:r>
    </w:p>
    <w:p w:rsidR="00B92AC2" w:rsidRPr="002144EF" w:rsidRDefault="00B92AC2" w:rsidP="00B92AC2">
      <w:pPr>
        <w:jc w:val="both"/>
        <w:rPr>
          <w:rFonts w:ascii="Calibri" w:hAnsi="Calibri"/>
          <w:color w:val="000000"/>
          <w:sz w:val="20"/>
          <w:szCs w:val="20"/>
        </w:rPr>
      </w:pPr>
      <w:r w:rsidRPr="00993AB3">
        <w:rPr>
          <w:rFonts w:asciiTheme="majorHAnsi" w:hAnsiTheme="majorHAnsi" w:cstheme="majorHAnsi"/>
          <w:b/>
          <w:i/>
          <w:color w:val="000000"/>
          <w:sz w:val="20"/>
          <w:szCs w:val="20"/>
        </w:rPr>
        <w:t>Tier 3 ratings</w:t>
      </w:r>
      <w:r w:rsidRPr="00993AB3">
        <w:rPr>
          <w:rFonts w:asciiTheme="majorHAnsi" w:hAnsiTheme="majorHAnsi" w:cstheme="majorHAnsi"/>
          <w:color w:val="000000"/>
          <w:sz w:val="20"/>
          <w:szCs w:val="20"/>
        </w:rPr>
        <w:t xml:space="preserve"> receive a “No” in Column 1 for at least one of the non-negotiable criteria.</w:t>
      </w:r>
    </w:p>
    <w:p w:rsidR="00B92AC2" w:rsidRPr="002144EF" w:rsidRDefault="00B92AC2" w:rsidP="00B92AC2">
      <w:pPr>
        <w:jc w:val="both"/>
        <w:rPr>
          <w:rFonts w:ascii="Calibri" w:hAnsi="Calibri"/>
          <w:color w:val="000000"/>
          <w:sz w:val="20"/>
          <w:szCs w:val="20"/>
        </w:rPr>
      </w:pPr>
    </w:p>
    <w:tbl>
      <w:tblPr>
        <w:tblW w:w="53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7"/>
        <w:gridCol w:w="8"/>
        <w:gridCol w:w="3545"/>
        <w:gridCol w:w="883"/>
        <w:gridCol w:w="3265"/>
        <w:gridCol w:w="4229"/>
      </w:tblGrid>
      <w:tr w:rsidR="000A2E48" w:rsidRPr="007B7E01" w:rsidTr="000A2E48">
        <w:trPr>
          <w:trHeight w:hRule="exact" w:val="593"/>
        </w:trPr>
        <w:tc>
          <w:tcPr>
            <w:tcW w:w="732" w:type="pct"/>
            <w:gridSpan w:val="2"/>
            <w:shd w:val="clear" w:color="auto" w:fill="1F497D" w:themeFill="text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E48" w:rsidRPr="007B7E01" w:rsidRDefault="000A2E48" w:rsidP="00A049E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7B7E01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CRITERIA </w:t>
            </w:r>
          </w:p>
        </w:tc>
        <w:tc>
          <w:tcPr>
            <w:tcW w:w="1269" w:type="pct"/>
            <w:shd w:val="clear" w:color="auto" w:fill="1F497D" w:themeFill="text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E48" w:rsidRPr="007B7E01" w:rsidRDefault="000A2E48" w:rsidP="00A049E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7B7E01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INDICATORS OF SUPERIOR QUALITY</w:t>
            </w:r>
          </w:p>
        </w:tc>
        <w:tc>
          <w:tcPr>
            <w:tcW w:w="316" w:type="pct"/>
            <w:shd w:val="clear" w:color="auto" w:fill="1F497D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E48" w:rsidRPr="007B7E01" w:rsidRDefault="000A2E48" w:rsidP="00A049E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0845CE">
              <w:rPr>
                <w:rFonts w:asciiTheme="majorHAnsi" w:hAnsiTheme="majorHAnsi"/>
                <w:b/>
                <w:bCs/>
                <w:color w:val="FFFFFF" w:themeColor="background1"/>
                <w:sz w:val="16"/>
                <w:szCs w:val="20"/>
              </w:rPr>
              <w:t xml:space="preserve">MEETS METRICS </w:t>
            </w:r>
            <w:r w:rsidRPr="007B7E01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(Y/N)</w:t>
            </w:r>
          </w:p>
        </w:tc>
        <w:tc>
          <w:tcPr>
            <w:tcW w:w="2683" w:type="pct"/>
            <w:gridSpan w:val="2"/>
            <w:shd w:val="clear" w:color="auto" w:fill="1F497D" w:themeFill="text2"/>
            <w:vAlign w:val="center"/>
          </w:tcPr>
          <w:p w:rsidR="000A2E48" w:rsidRPr="007B7E01" w:rsidRDefault="000A2E48" w:rsidP="00A049E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7B7E01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JUSTIFICATION/ COMMENTS</w:t>
            </w:r>
          </w:p>
        </w:tc>
      </w:tr>
      <w:tr w:rsidR="000A2E48" w:rsidRPr="007B7E01" w:rsidTr="000A2E48">
        <w:trPr>
          <w:trHeight w:hRule="exact" w:val="297"/>
        </w:trPr>
        <w:tc>
          <w:tcPr>
            <w:tcW w:w="5000" w:type="pct"/>
            <w:gridSpan w:val="6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E48" w:rsidRDefault="000A2E48" w:rsidP="00A049E5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SECTION I: NON-NEGOTIABLE CRITERIA: Submissions must meet all of the non-negotiable criteria to move to tier 2.  </w:t>
            </w:r>
          </w:p>
        </w:tc>
      </w:tr>
      <w:tr w:rsidR="000A2E48" w:rsidRPr="007B7E01" w:rsidTr="000A2E48">
        <w:trPr>
          <w:trHeight w:hRule="exact" w:val="297"/>
        </w:trPr>
        <w:tc>
          <w:tcPr>
            <w:tcW w:w="729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E48" w:rsidRDefault="000A2E48" w:rsidP="00A049E5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2" w:type="pct"/>
            <w:gridSpan w:val="2"/>
            <w:shd w:val="clear" w:color="auto" w:fill="D9D9D9" w:themeFill="background1" w:themeFillShade="D9"/>
            <w:vAlign w:val="center"/>
          </w:tcPr>
          <w:p w:rsidR="000A2E48" w:rsidRDefault="000A2E48" w:rsidP="00A049E5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:rsidR="000A2E48" w:rsidRDefault="000A2E48" w:rsidP="00A049E5">
            <w:pP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pct"/>
            <w:shd w:val="clear" w:color="auto" w:fill="D9D9D9" w:themeFill="background1" w:themeFillShade="D9"/>
            <w:vAlign w:val="center"/>
          </w:tcPr>
          <w:p w:rsidR="000A2E48" w:rsidRDefault="000A2E48" w:rsidP="00A049E5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Reviewer Comments</w:t>
            </w:r>
          </w:p>
        </w:tc>
        <w:tc>
          <w:tcPr>
            <w:tcW w:w="1514" w:type="pct"/>
            <w:shd w:val="clear" w:color="auto" w:fill="D9D9D9" w:themeFill="background1" w:themeFillShade="D9"/>
            <w:vAlign w:val="center"/>
          </w:tcPr>
          <w:p w:rsidR="000A2E48" w:rsidRDefault="000A2E48" w:rsidP="00A049E5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Content Provider Response</w:t>
            </w:r>
          </w:p>
        </w:tc>
      </w:tr>
      <w:tr w:rsidR="000A2E48" w:rsidRPr="007B7E01" w:rsidTr="000A2E48">
        <w:trPr>
          <w:trHeight w:val="903"/>
        </w:trPr>
        <w:tc>
          <w:tcPr>
            <w:tcW w:w="732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E48" w:rsidRPr="002B661F" w:rsidRDefault="000A2E48" w:rsidP="00A049E5">
            <w:pPr>
              <w:pStyle w:val="NoSpacing"/>
              <w:spacing w:before="120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1" w:name="IFoundationalSkills"/>
            <w:bookmarkStart w:id="2" w:name="NN1FoundationalSkills"/>
            <w:bookmarkEnd w:id="1"/>
            <w:bookmarkEnd w:id="2"/>
            <w:r w:rsidRPr="002B661F">
              <w:rPr>
                <w:rFonts w:asciiTheme="majorHAnsi" w:hAnsiTheme="majorHAnsi"/>
                <w:b/>
                <w:sz w:val="20"/>
                <w:szCs w:val="20"/>
              </w:rPr>
              <w:t xml:space="preserve">Non-Negotiable 1. </w:t>
            </w:r>
            <w:bookmarkStart w:id="3" w:name="Focus"/>
            <w:bookmarkEnd w:id="3"/>
            <w:r w:rsidRPr="002B661F">
              <w:rPr>
                <w:rFonts w:asciiTheme="majorHAnsi" w:hAnsiTheme="majorHAnsi"/>
                <w:b/>
                <w:sz w:val="20"/>
                <w:szCs w:val="20"/>
              </w:rPr>
              <w:t>FOCUS ON MAJOR WORK</w:t>
            </w:r>
            <w:r w:rsidRPr="002B661F">
              <w:rPr>
                <w:rStyle w:val="FootnoteReference"/>
                <w:rFonts w:asciiTheme="majorHAnsi" w:hAnsiTheme="majorHAnsi"/>
                <w:b/>
                <w:sz w:val="20"/>
                <w:szCs w:val="20"/>
              </w:rPr>
              <w:footnoteReference w:id="1"/>
            </w:r>
            <w:r w:rsidRPr="002B661F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</w:p>
          <w:p w:rsidR="000A2E48" w:rsidRPr="002B661F" w:rsidRDefault="000A2E48" w:rsidP="00A049E5">
            <w:pPr>
              <w:pStyle w:val="Default"/>
              <w:rPr>
                <w:rFonts w:asciiTheme="majorHAnsi" w:hAnsiTheme="majorHAnsi"/>
                <w:bCs/>
                <w:sz w:val="20"/>
                <w:szCs w:val="20"/>
              </w:rPr>
            </w:pPr>
            <w:r w:rsidRPr="002B661F">
              <w:rPr>
                <w:rFonts w:asciiTheme="majorHAnsi" w:hAnsiTheme="majorHAnsi"/>
                <w:sz w:val="20"/>
                <w:szCs w:val="20"/>
              </w:rPr>
              <w:t xml:space="preserve">Students and teachers using the materials as </w:t>
            </w:r>
          </w:p>
          <w:p w:rsidR="000A2E48" w:rsidRPr="002B661F" w:rsidRDefault="00B92AC2" w:rsidP="00A049E5">
            <w:pPr>
              <w:rPr>
                <w:rFonts w:asciiTheme="majorHAnsi" w:hAnsiTheme="majorHAnsi"/>
                <w:sz w:val="20"/>
                <w:szCs w:val="20"/>
              </w:rPr>
            </w:pPr>
            <w:r w:rsidRPr="002B661F"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F9F3E4" wp14:editId="020E3CC3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139700</wp:posOffset>
                      </wp:positionV>
                      <wp:extent cx="225425" cy="237490"/>
                      <wp:effectExtent l="0" t="0" r="22225" b="1016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425" cy="2374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6" style="position:absolute;margin-left:53.55pt;margin-top:11pt;width:17.75pt;height:18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" fillcolor="window" strokecolor="windowText" strokeweight="2pt"/>
                  </w:pict>
                </mc:Fallback>
              </mc:AlternateContent>
            </w:r>
            <w:r w:rsidRPr="002B661F">
              <w:rPr>
                <w:rFonts w:asciiTheme="majorHAnsi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F11092" wp14:editId="5D15736D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137160</wp:posOffset>
                      </wp:positionV>
                      <wp:extent cx="225425" cy="237490"/>
                      <wp:effectExtent l="0" t="0" r="22225" b="1016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425" cy="2374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o:spid="_x0000_s1026" style="position:absolute;margin-left:-4.95pt;margin-top:10.8pt;width:17.75pt;height:1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" fillcolor="window" strokecolor="windowText" strokeweight="2pt"/>
                  </w:pict>
                </mc:Fallback>
              </mc:AlternateContent>
            </w:r>
          </w:p>
          <w:p w:rsidR="000A2E48" w:rsidRPr="002B661F" w:rsidRDefault="00B92AC2" w:rsidP="00B92AC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</w:t>
            </w:r>
            <w:r w:rsidR="000A2E48" w:rsidRPr="002B661F">
              <w:rPr>
                <w:rFonts w:asciiTheme="majorHAnsi" w:hAnsiTheme="majorHAnsi"/>
                <w:sz w:val="20"/>
                <w:szCs w:val="20"/>
              </w:rPr>
              <w:t>Yes                      No</w:t>
            </w:r>
          </w:p>
        </w:tc>
        <w:tc>
          <w:tcPr>
            <w:tcW w:w="1269" w:type="pct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E48" w:rsidRDefault="000A2E48" w:rsidP="00A049E5">
            <w:pPr>
              <w:pStyle w:val="Default"/>
              <w:rPr>
                <w:rFonts w:asciiTheme="majorHAnsi" w:hAnsiTheme="majorHAnsi"/>
                <w:b/>
                <w:bCs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20"/>
              </w:rPr>
              <w:t>REQUIRED</w:t>
            </w:r>
          </w:p>
          <w:p w:rsidR="000A2E48" w:rsidRPr="002B661F" w:rsidRDefault="000A2E48" w:rsidP="00A049E5">
            <w:pPr>
              <w:pStyle w:val="Default"/>
              <w:rPr>
                <w:rFonts w:asciiTheme="majorHAnsi" w:hAnsiTheme="majorHAnsi"/>
                <w:sz w:val="18"/>
                <w:szCs w:val="20"/>
              </w:rPr>
            </w:pPr>
            <w:r w:rsidRPr="002B661F">
              <w:rPr>
                <w:rFonts w:asciiTheme="majorHAnsi" w:hAnsiTheme="majorHAnsi"/>
                <w:b/>
                <w:bCs/>
                <w:sz w:val="18"/>
                <w:szCs w:val="20"/>
              </w:rPr>
              <w:t xml:space="preserve">1a) </w:t>
            </w:r>
            <w:r w:rsidRPr="002B661F">
              <w:rPr>
                <w:rFonts w:asciiTheme="majorHAnsi" w:hAnsiTheme="majorHAnsi" w:cs="Arial"/>
                <w:sz w:val="18"/>
                <w:szCs w:val="20"/>
              </w:rPr>
              <w:t>Materials should devote at least 65% and up to approximately 85% of class time to the major work of each grade with Grades K–2 nearer the upper end of that range, i.e., 85%. Each grade must meet the criterion; do not average across two or more grades.</w:t>
            </w:r>
          </w:p>
        </w:tc>
        <w:tc>
          <w:tcPr>
            <w:tcW w:w="316" w:type="pct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E48" w:rsidRPr="007B7E01" w:rsidRDefault="000A2E48" w:rsidP="00A049E5">
            <w:pPr>
              <w:spacing w:before="120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pct"/>
          </w:tcPr>
          <w:p w:rsidR="000A2E48" w:rsidRPr="00454C91" w:rsidRDefault="000A2E48" w:rsidP="00A049E5">
            <w:pPr>
              <w:spacing w:before="120"/>
              <w:ind w:left="90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1514" w:type="pct"/>
          </w:tcPr>
          <w:p w:rsidR="000A2E48" w:rsidRPr="00454C91" w:rsidRDefault="000A2E48" w:rsidP="00A049E5">
            <w:pPr>
              <w:spacing w:before="120"/>
              <w:ind w:left="90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</w:tr>
      <w:tr w:rsidR="000A2E48" w:rsidRPr="007B7E01" w:rsidTr="000A2E48">
        <w:trPr>
          <w:trHeight w:val="1088"/>
        </w:trPr>
        <w:tc>
          <w:tcPr>
            <w:tcW w:w="732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E48" w:rsidRPr="002B661F" w:rsidRDefault="000A2E48" w:rsidP="00A049E5">
            <w:pPr>
              <w:pStyle w:val="Defaul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269" w:type="pct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E48" w:rsidRPr="002B661F" w:rsidRDefault="000A2E48" w:rsidP="00A049E5">
            <w:pPr>
              <w:rPr>
                <w:rFonts w:asciiTheme="majorHAnsi" w:hAnsiTheme="majorHAnsi"/>
                <w:b/>
                <w:bCs/>
                <w:sz w:val="18"/>
                <w:szCs w:val="20"/>
              </w:rPr>
            </w:pPr>
          </w:p>
        </w:tc>
        <w:tc>
          <w:tcPr>
            <w:tcW w:w="316" w:type="pct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E48" w:rsidRPr="007B7E01" w:rsidRDefault="000A2E48" w:rsidP="00A049E5">
            <w:pPr>
              <w:spacing w:before="120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9" w:type="pct"/>
          </w:tcPr>
          <w:p w:rsidR="000A2E48" w:rsidRPr="00454C91" w:rsidRDefault="000A2E48" w:rsidP="00A049E5">
            <w:pPr>
              <w:ind w:left="90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1514" w:type="pct"/>
          </w:tcPr>
          <w:p w:rsidR="000A2E48" w:rsidRPr="00454C91" w:rsidRDefault="000A2E48" w:rsidP="00A049E5">
            <w:pPr>
              <w:ind w:left="90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</w:tr>
    </w:tbl>
    <w:p w:rsidR="000A2E48" w:rsidRDefault="000A2E48" w:rsidP="00B92AC2">
      <w:bookmarkStart w:id="4" w:name="Coherent"/>
      <w:bookmarkEnd w:id="4"/>
    </w:p>
    <w:sectPr w:rsidR="000A2E48" w:rsidSect="006D562B">
      <w:pgSz w:w="15840" w:h="12240" w:orient="landscape"/>
      <w:pgMar w:top="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E48" w:rsidRDefault="000A2E48" w:rsidP="000A2E48">
      <w:r>
        <w:separator/>
      </w:r>
    </w:p>
  </w:endnote>
  <w:endnote w:type="continuationSeparator" w:id="0">
    <w:p w:rsidR="000A2E48" w:rsidRDefault="000A2E48" w:rsidP="000A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E48" w:rsidRDefault="000A2E48" w:rsidP="000A2E48">
      <w:r>
        <w:separator/>
      </w:r>
    </w:p>
  </w:footnote>
  <w:footnote w:type="continuationSeparator" w:id="0">
    <w:p w:rsidR="000A2E48" w:rsidRDefault="000A2E48" w:rsidP="000A2E48">
      <w:r>
        <w:continuationSeparator/>
      </w:r>
    </w:p>
  </w:footnote>
  <w:footnote w:id="1">
    <w:p w:rsidR="000A2E48" w:rsidRPr="00437520" w:rsidRDefault="000A2E48" w:rsidP="000A2E48">
      <w:pPr>
        <w:pStyle w:val="FootnoteText"/>
        <w:rPr>
          <w:rFonts w:asciiTheme="majorHAnsi" w:hAnsiTheme="majorHAnsi" w:cstheme="majorHAnsi"/>
          <w:sz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ajorHAnsi" w:hAnsiTheme="majorHAnsi" w:cstheme="majorHAnsi"/>
          <w:sz w:val="18"/>
        </w:rPr>
        <w:t xml:space="preserve">For more on the major work of the grade, see </w:t>
      </w:r>
      <w:hyperlink r:id="rId1" w:history="1">
        <w:r w:rsidRPr="001E7435">
          <w:rPr>
            <w:rStyle w:val="Hyperlink"/>
            <w:rFonts w:asciiTheme="majorHAnsi" w:hAnsiTheme="majorHAnsi" w:cstheme="majorHAnsi"/>
            <w:sz w:val="18"/>
          </w:rPr>
          <w:t>Focus by Grade Level</w:t>
        </w:r>
      </w:hyperlink>
      <w:r>
        <w:rPr>
          <w:rFonts w:asciiTheme="majorHAnsi" w:hAnsiTheme="majorHAnsi" w:cstheme="majorHAnsi"/>
          <w:sz w:val="18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48"/>
    <w:rsid w:val="000A2E48"/>
    <w:rsid w:val="00165FEA"/>
    <w:rsid w:val="006D562B"/>
    <w:rsid w:val="00B9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E4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A2E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A2E48"/>
    <w:rPr>
      <w:rFonts w:ascii="Times New Roman" w:eastAsiaTheme="minorEastAsia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A2E4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A2E4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A2E4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0A2E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92AC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E4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A2E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A2E48"/>
    <w:rPr>
      <w:rFonts w:ascii="Times New Roman" w:eastAsiaTheme="minorEastAsia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A2E4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A2E4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A2E4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0A2E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92AC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uisianabelieves.com/academics/2013-2014-math-and-english-language-arts-instructional-materials-review/curricular-resources-annotated-review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hievethecore.org/dashboard/300/search/1/2/0/1/2/3/4/5/6/7/8/9/10/11/12/page/774/focus-by-grade-lev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Bobbett</dc:creator>
  <cp:lastModifiedBy>Jackie Bobbett</cp:lastModifiedBy>
  <cp:revision>3</cp:revision>
  <dcterms:created xsi:type="dcterms:W3CDTF">2014-07-30T19:01:00Z</dcterms:created>
  <dcterms:modified xsi:type="dcterms:W3CDTF">2014-07-30T19:14:00Z</dcterms:modified>
</cp:coreProperties>
</file>