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Literacy Instructional Best Practices Tool</w:t>
      </w:r>
    </w:p>
    <w:p w:rsidR="00000000" w:rsidDel="00000000" w:rsidP="00000000" w:rsidRDefault="00000000" w:rsidRPr="00000000" w14:paraId="00000002">
      <w:pPr>
        <w:shd w:fill="ffffff" w:val="clear"/>
        <w:spacing w:line="276" w:lineRule="auto"/>
        <w:jc w:val="center"/>
        <w:rPr>
          <w:b w:val="1"/>
          <w:color w:val="222222"/>
          <w:sz w:val="24"/>
          <w:szCs w:val="24"/>
        </w:rPr>
      </w:pPr>
      <w:r w:rsidDel="00000000" w:rsidR="00000000" w:rsidRPr="00000000">
        <w:rPr>
          <w:b w:val="1"/>
          <w:color w:val="222222"/>
          <w:sz w:val="24"/>
          <w:szCs w:val="24"/>
          <w:rtl w:val="0"/>
        </w:rPr>
        <w:t xml:space="preserve">PreK</w:t>
      </w:r>
    </w:p>
    <w:p w:rsidR="00000000" w:rsidDel="00000000" w:rsidP="00000000" w:rsidRDefault="00000000" w:rsidRPr="00000000" w14:paraId="00000003">
      <w:pPr>
        <w:shd w:fill="ffffff" w:val="clear"/>
        <w:spacing w:line="276" w:lineRule="auto"/>
        <w:jc w:val="center"/>
        <w:rPr>
          <w:b w:val="1"/>
          <w:color w:val="222222"/>
        </w:rPr>
      </w:pPr>
      <w:r w:rsidDel="00000000" w:rsidR="00000000" w:rsidRPr="00000000">
        <w:rPr>
          <w:rtl w:val="0"/>
        </w:rPr>
      </w:r>
    </w:p>
    <w:p w:rsidR="00000000" w:rsidDel="00000000" w:rsidP="00000000" w:rsidRDefault="00000000" w:rsidRPr="00000000" w14:paraId="00000004">
      <w:pPr>
        <w:shd w:fill="ffffff" w:val="clear"/>
        <w:spacing w:line="276" w:lineRule="auto"/>
        <w:jc w:val="both"/>
        <w:rPr>
          <w:color w:val="222222"/>
        </w:rPr>
      </w:pPr>
      <w:r w:rsidDel="00000000" w:rsidR="00000000" w:rsidRPr="00000000">
        <w:rPr>
          <w:color w:val="222222"/>
          <w:rtl w:val="0"/>
        </w:rPr>
        <w:t xml:space="preserve">This tool is intended to be used by literacy leaders and instructional coaches to gather information on instructional literacy practices happening in classrooms. This document should be maintained by the leader or coach for planning and coaching purposes. Using the Evidence of Success indicators, leaders and coaches can determine specific areas of need or growth, develop coaching and feedback cycles, provide targeted support to teachers, structure effective teacher planning time, and identify next steps and follow-up support.</w:t>
      </w:r>
    </w:p>
    <w:p w:rsidR="00000000" w:rsidDel="00000000" w:rsidP="00000000" w:rsidRDefault="00000000" w:rsidRPr="00000000" w14:paraId="00000005">
      <w:pPr>
        <w:shd w:fill="ffffff" w:val="clear"/>
        <w:spacing w:line="276" w:lineRule="auto"/>
        <w:jc w:val="both"/>
        <w:rPr>
          <w:color w:val="222222"/>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color w:val="222222"/>
        </w:rPr>
      </w:pPr>
      <w:r w:rsidDel="00000000" w:rsidR="00000000" w:rsidRPr="00000000">
        <w:rPr>
          <w:color w:val="222222"/>
          <w:rtl w:val="0"/>
        </w:rPr>
        <w:t xml:space="preserve">Teacher Observed ___________________________________________</w:t>
      </w:r>
    </w:p>
    <w:p w:rsidR="00000000" w:rsidDel="00000000" w:rsidP="00000000" w:rsidRDefault="00000000" w:rsidRPr="00000000" w14:paraId="00000007">
      <w:pPr>
        <w:spacing w:line="276" w:lineRule="auto"/>
        <w:rPr>
          <w:color w:val="222222"/>
        </w:rPr>
      </w:pPr>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120"/>
        <w:gridCol w:w="1605"/>
        <w:gridCol w:w="3780"/>
        <w:tblGridChange w:id="0">
          <w:tblGrid>
            <w:gridCol w:w="2895"/>
            <w:gridCol w:w="6120"/>
            <w:gridCol w:w="1605"/>
            <w:gridCol w:w="3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jc w:val="center"/>
              <w:rPr>
                <w:b w:val="1"/>
                <w:color w:val="222222"/>
              </w:rPr>
            </w:pPr>
            <w:r w:rsidDel="00000000" w:rsidR="00000000" w:rsidRPr="00000000">
              <w:rPr>
                <w:b w:val="1"/>
                <w:color w:val="222222"/>
                <w:rtl w:val="0"/>
              </w:rPr>
              <w:t xml:space="preserve">If you observe this part of the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jc w:val="center"/>
              <w:rPr>
                <w:b w:val="1"/>
                <w:color w:val="222222"/>
              </w:rPr>
            </w:pPr>
            <w:r w:rsidDel="00000000" w:rsidR="00000000" w:rsidRPr="00000000">
              <w:rPr>
                <w:b w:val="1"/>
                <w:color w:val="222222"/>
                <w:rtl w:val="0"/>
              </w:rPr>
              <w:t xml:space="preserve">You should see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jc w:val="center"/>
              <w:rPr>
                <w:b w:val="1"/>
                <w:color w:val="222222"/>
              </w:rPr>
            </w:pPr>
            <w:r w:rsidDel="00000000" w:rsidR="00000000" w:rsidRPr="00000000">
              <w:rPr>
                <w:b w:val="1"/>
                <w:color w:val="222222"/>
                <w:rtl w:val="0"/>
              </w:rPr>
              <w:t xml:space="preserve">Evidence of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jc w:val="center"/>
              <w:rPr>
                <w:b w:val="1"/>
                <w:color w:val="222222"/>
              </w:rPr>
            </w:pPr>
            <w:r w:rsidDel="00000000" w:rsidR="00000000" w:rsidRPr="00000000">
              <w:rPr>
                <w:b w:val="1"/>
                <w:color w:val="222222"/>
                <w:rtl w:val="0"/>
              </w:rPr>
              <w:t xml:space="preserve">Notes/Comments/Next Steps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jc w:val="center"/>
              <w:rPr>
                <w:i w:val="1"/>
                <w:color w:val="222222"/>
              </w:rPr>
            </w:pPr>
            <w:r w:rsidDel="00000000" w:rsidR="00000000" w:rsidRPr="00000000">
              <w:rPr>
                <w:i w:val="1"/>
                <w:color w:val="222222"/>
                <w:rtl w:val="0"/>
              </w:rPr>
              <w:t xml:space="preserve">Lesson Opener</w:t>
            </w:r>
          </w:p>
          <w:p w:rsidR="00000000" w:rsidDel="00000000" w:rsidP="00000000" w:rsidRDefault="00000000" w:rsidRPr="00000000" w14:paraId="0000000D">
            <w:pPr>
              <w:widowControl w:val="0"/>
              <w:jc w:val="center"/>
              <w:rPr>
                <w:color w:val="222222"/>
              </w:rPr>
            </w:pPr>
            <w:r w:rsidDel="00000000" w:rsidR="00000000" w:rsidRPr="00000000">
              <w:rPr>
                <w:rtl w:val="0"/>
              </w:rPr>
            </w:r>
          </w:p>
          <w:p w:rsidR="00000000" w:rsidDel="00000000" w:rsidP="00000000" w:rsidRDefault="00000000" w:rsidRPr="00000000" w14:paraId="0000000E">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0F">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
              </w:numPr>
              <w:ind w:left="720" w:hanging="360"/>
              <w:rPr>
                <w:color w:val="222222"/>
              </w:rPr>
            </w:pPr>
            <w:r w:rsidDel="00000000" w:rsidR="00000000" w:rsidRPr="00000000">
              <w:rPr>
                <w:color w:val="222222"/>
                <w:rtl w:val="0"/>
              </w:rPr>
              <w:t xml:space="preserve">Students are actively engaged in a small yet meaningful task that prepares them for the upcoming lesson of that day.</w:t>
            </w:r>
          </w:p>
          <w:p w:rsidR="00000000" w:rsidDel="00000000" w:rsidP="00000000" w:rsidRDefault="00000000" w:rsidRPr="00000000" w14:paraId="00000011">
            <w:pPr>
              <w:widowControl w:val="0"/>
              <w:rPr>
                <w:color w:val="222222"/>
              </w:rPr>
            </w:pPr>
            <w:r w:rsidDel="00000000" w:rsidR="00000000" w:rsidRPr="00000000">
              <w:rPr>
                <w:rtl w:val="0"/>
              </w:rPr>
            </w:r>
          </w:p>
          <w:p w:rsidR="00000000" w:rsidDel="00000000" w:rsidP="00000000" w:rsidRDefault="00000000" w:rsidRPr="00000000" w14:paraId="00000012">
            <w:pPr>
              <w:widowControl w:val="0"/>
              <w:rPr>
                <w:color w:val="222222"/>
              </w:rPr>
            </w:pPr>
            <w:r w:rsidDel="00000000" w:rsidR="00000000" w:rsidRPr="00000000">
              <w:rPr>
                <w:color w:val="222222"/>
                <w:rtl w:val="0"/>
              </w:rPr>
              <w:t xml:space="preserve">Example: Students are taking part in a daily phonological awareness activity in which they are speaking and/or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jc w:val="center"/>
              <w:rPr>
                <w:i w:val="1"/>
                <w:color w:val="222222"/>
              </w:rPr>
            </w:pPr>
            <w:r w:rsidDel="00000000" w:rsidR="00000000" w:rsidRPr="00000000">
              <w:rPr>
                <w:i w:val="1"/>
                <w:color w:val="222222"/>
                <w:rtl w:val="0"/>
              </w:rPr>
              <w:t xml:space="preserve">Presentation of New Knowledge by the Teacher</w:t>
            </w:r>
          </w:p>
          <w:p w:rsidR="00000000" w:rsidDel="00000000" w:rsidP="00000000" w:rsidRDefault="00000000" w:rsidRPr="00000000" w14:paraId="00000019">
            <w:pPr>
              <w:widowControl w:val="0"/>
              <w:jc w:val="center"/>
              <w:rPr>
                <w:color w:val="222222"/>
              </w:rPr>
            </w:pPr>
            <w:r w:rsidDel="00000000" w:rsidR="00000000" w:rsidRPr="00000000">
              <w:rPr>
                <w:rtl w:val="0"/>
              </w:rPr>
            </w:r>
          </w:p>
          <w:p w:rsidR="00000000" w:rsidDel="00000000" w:rsidP="00000000" w:rsidRDefault="00000000" w:rsidRPr="00000000" w14:paraId="0000001A">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1B">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4"/>
              </w:numPr>
              <w:ind w:left="720" w:hanging="360"/>
              <w:rPr>
                <w:color w:val="222222"/>
              </w:rPr>
            </w:pPr>
            <w:r w:rsidDel="00000000" w:rsidR="00000000" w:rsidRPr="00000000">
              <w:rPr>
                <w:color w:val="222222"/>
                <w:rtl w:val="0"/>
              </w:rPr>
              <w:t xml:space="preserve">Direct and explicit instruction is taking place that involves the appropriate literacy classroom practices and evidence of the teacher's purposeful planning. The teacher models the expectations for the activity as well as the literacy classroom practices that are present in the lesson. This could include: </w:t>
            </w:r>
          </w:p>
          <w:p w:rsidR="00000000" w:rsidDel="00000000" w:rsidP="00000000" w:rsidRDefault="00000000" w:rsidRPr="00000000" w14:paraId="0000001D">
            <w:pPr>
              <w:widowControl w:val="0"/>
              <w:numPr>
                <w:ilvl w:val="1"/>
                <w:numId w:val="4"/>
              </w:numPr>
              <w:ind w:left="1440" w:hanging="360"/>
              <w:rPr>
                <w:color w:val="222222"/>
              </w:rPr>
            </w:pPr>
            <w:r w:rsidDel="00000000" w:rsidR="00000000" w:rsidRPr="00000000">
              <w:rPr>
                <w:b w:val="1"/>
                <w:color w:val="222222"/>
                <w:rtl w:val="0"/>
              </w:rPr>
              <w:t xml:space="preserve">Sound walls</w:t>
            </w:r>
            <w:r w:rsidDel="00000000" w:rsidR="00000000" w:rsidRPr="00000000">
              <w:rPr>
                <w:color w:val="222222"/>
                <w:rtl w:val="0"/>
              </w:rPr>
              <w:t xml:space="preserve"> to support students in reading and retaining </w:t>
            </w:r>
          </w:p>
          <w:p w:rsidR="00000000" w:rsidDel="00000000" w:rsidP="00000000" w:rsidRDefault="00000000" w:rsidRPr="00000000" w14:paraId="0000001E">
            <w:pPr>
              <w:widowControl w:val="0"/>
              <w:numPr>
                <w:ilvl w:val="1"/>
                <w:numId w:val="4"/>
              </w:numPr>
              <w:ind w:left="1440" w:hanging="360"/>
              <w:rPr>
                <w:color w:val="222222"/>
              </w:rPr>
            </w:pPr>
            <w:r w:rsidDel="00000000" w:rsidR="00000000" w:rsidRPr="00000000">
              <w:rPr>
                <w:b w:val="1"/>
                <w:color w:val="222222"/>
                <w:rtl w:val="0"/>
              </w:rPr>
              <w:t xml:space="preserve">Reading experiences</w:t>
            </w:r>
            <w:r w:rsidDel="00000000" w:rsidR="00000000" w:rsidRPr="00000000">
              <w:rPr>
                <w:color w:val="222222"/>
                <w:rtl w:val="0"/>
              </w:rPr>
              <w:t xml:space="preserve"> that build background knowledge and involve meaningful dialogue about the texts, making comparisons to previously read texts, and clarification of unfamiliar vocabulary (may be teacher or student-led).  </w:t>
            </w:r>
          </w:p>
          <w:p w:rsidR="00000000" w:rsidDel="00000000" w:rsidP="00000000" w:rsidRDefault="00000000" w:rsidRPr="00000000" w14:paraId="0000001F">
            <w:pPr>
              <w:widowControl w:val="0"/>
              <w:numPr>
                <w:ilvl w:val="1"/>
                <w:numId w:val="4"/>
              </w:numPr>
              <w:ind w:left="1440" w:hanging="360"/>
              <w:rPr>
                <w:color w:val="222222"/>
              </w:rPr>
            </w:pPr>
            <w:r w:rsidDel="00000000" w:rsidR="00000000" w:rsidRPr="00000000">
              <w:rPr>
                <w:b w:val="1"/>
                <w:color w:val="222222"/>
                <w:rtl w:val="0"/>
              </w:rPr>
              <w:t xml:space="preserve">Repeated exposure</w:t>
            </w:r>
            <w:r w:rsidDel="00000000" w:rsidR="00000000" w:rsidRPr="00000000">
              <w:rPr>
                <w:color w:val="222222"/>
                <w:rtl w:val="0"/>
              </w:rPr>
              <w:t xml:space="preserve"> to sound-symbol correspondence to ensure words are retained and to build automaticity and fluency. </w:t>
            </w:r>
          </w:p>
          <w:p w:rsidR="00000000" w:rsidDel="00000000" w:rsidP="00000000" w:rsidRDefault="00000000" w:rsidRPr="00000000" w14:paraId="00000020">
            <w:pPr>
              <w:widowControl w:val="0"/>
              <w:rPr>
                <w:color w:val="222222"/>
              </w:rPr>
            </w:pPr>
            <w:r w:rsidDel="00000000" w:rsidR="00000000" w:rsidRPr="00000000">
              <w:rPr>
                <w:rtl w:val="0"/>
              </w:rPr>
            </w:r>
          </w:p>
          <w:p w:rsidR="00000000" w:rsidDel="00000000" w:rsidP="00000000" w:rsidRDefault="00000000" w:rsidRPr="00000000" w14:paraId="00000021">
            <w:pPr>
              <w:widowControl w:val="0"/>
              <w:numPr>
                <w:ilvl w:val="0"/>
                <w:numId w:val="6"/>
              </w:numPr>
              <w:ind w:left="720" w:hanging="360"/>
              <w:rPr>
                <w:color w:val="222222"/>
              </w:rPr>
            </w:pPr>
            <w:r w:rsidDel="00000000" w:rsidR="00000000" w:rsidRPr="00000000">
              <w:rPr>
                <w:color w:val="222222"/>
                <w:rtl w:val="0"/>
              </w:rPr>
              <w:t xml:space="preserve">Instruction includes using letter-sound correspondence focusing on the phoneme (sound) and grapheme (print representation) of the letters.</w:t>
            </w:r>
          </w:p>
          <w:p w:rsidR="00000000" w:rsidDel="00000000" w:rsidP="00000000" w:rsidRDefault="00000000" w:rsidRPr="00000000" w14:paraId="00000022">
            <w:pPr>
              <w:widowControl w:val="0"/>
              <w:rPr>
                <w:color w:val="222222"/>
              </w:rPr>
            </w:pPr>
            <w:r w:rsidDel="00000000" w:rsidR="00000000" w:rsidRPr="00000000">
              <w:rPr>
                <w:rtl w:val="0"/>
              </w:rPr>
            </w:r>
          </w:p>
          <w:p w:rsidR="00000000" w:rsidDel="00000000" w:rsidP="00000000" w:rsidRDefault="00000000" w:rsidRPr="00000000" w14:paraId="00000023">
            <w:pPr>
              <w:widowControl w:val="0"/>
              <w:numPr>
                <w:ilvl w:val="0"/>
                <w:numId w:val="2"/>
              </w:numPr>
              <w:ind w:left="720" w:hanging="360"/>
              <w:rPr>
                <w:color w:val="222222"/>
              </w:rPr>
            </w:pPr>
            <w:r w:rsidDel="00000000" w:rsidR="00000000" w:rsidRPr="00000000">
              <w:rPr>
                <w:color w:val="222222"/>
                <w:rtl w:val="0"/>
              </w:rPr>
              <w:t xml:space="preserve">Phonological awareness and introductory phonics instruction is systematic and explicit and includes the phoneme and grapheme representations of letters and words.</w:t>
            </w:r>
          </w:p>
          <w:p w:rsidR="00000000" w:rsidDel="00000000" w:rsidP="00000000" w:rsidRDefault="00000000" w:rsidRPr="00000000" w14:paraId="00000024">
            <w:pPr>
              <w:widowControl w:val="0"/>
              <w:ind w:left="720" w:firstLine="0"/>
              <w:rPr>
                <w:color w:val="222222"/>
              </w:rPr>
            </w:pPr>
            <w:r w:rsidDel="00000000" w:rsidR="00000000" w:rsidRPr="00000000">
              <w:rPr>
                <w:rtl w:val="0"/>
              </w:rPr>
            </w:r>
          </w:p>
          <w:p w:rsidR="00000000" w:rsidDel="00000000" w:rsidP="00000000" w:rsidRDefault="00000000" w:rsidRPr="00000000" w14:paraId="00000025">
            <w:pPr>
              <w:widowControl w:val="0"/>
              <w:numPr>
                <w:ilvl w:val="0"/>
                <w:numId w:val="2"/>
              </w:numPr>
              <w:ind w:left="720" w:hanging="360"/>
              <w:rPr>
                <w:color w:val="222222"/>
              </w:rPr>
            </w:pPr>
            <w:r w:rsidDel="00000000" w:rsidR="00000000" w:rsidRPr="00000000">
              <w:rPr>
                <w:color w:val="222222"/>
                <w:rtl w:val="0"/>
              </w:rPr>
              <w:t xml:space="preserve">Throughout the lesson, teachers are providing instruction using a variety of modalities, instructional tools, and materials to accommodate the diverse needs of students.</w:t>
            </w:r>
          </w:p>
          <w:p w:rsidR="00000000" w:rsidDel="00000000" w:rsidP="00000000" w:rsidRDefault="00000000" w:rsidRPr="00000000" w14:paraId="00000026">
            <w:pPr>
              <w:widowControl w:val="0"/>
              <w:rPr>
                <w:color w:val="222222"/>
              </w:rPr>
            </w:pPr>
            <w:r w:rsidDel="00000000" w:rsidR="00000000" w:rsidRPr="00000000">
              <w:rPr>
                <w:rtl w:val="0"/>
              </w:rPr>
            </w:r>
          </w:p>
          <w:p w:rsidR="00000000" w:rsidDel="00000000" w:rsidP="00000000" w:rsidRDefault="00000000" w:rsidRPr="00000000" w14:paraId="00000027">
            <w:pPr>
              <w:widowControl w:val="0"/>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jc w:val="center"/>
              <w:rPr>
                <w:i w:val="1"/>
                <w:color w:val="222222"/>
              </w:rPr>
            </w:pPr>
            <w:r w:rsidDel="00000000" w:rsidR="00000000" w:rsidRPr="00000000">
              <w:rPr>
                <w:i w:val="1"/>
                <w:color w:val="222222"/>
                <w:rtl w:val="0"/>
              </w:rPr>
              <w:t xml:space="preserve">Guided Practice of the New Information</w:t>
            </w:r>
          </w:p>
          <w:p w:rsidR="00000000" w:rsidDel="00000000" w:rsidP="00000000" w:rsidRDefault="00000000" w:rsidRPr="00000000" w14:paraId="0000002E">
            <w:pPr>
              <w:widowControl w:val="0"/>
              <w:jc w:val="center"/>
              <w:rPr>
                <w:color w:val="222222"/>
              </w:rPr>
            </w:pPr>
            <w:r w:rsidDel="00000000" w:rsidR="00000000" w:rsidRPr="00000000">
              <w:rPr>
                <w:rtl w:val="0"/>
              </w:rPr>
            </w:r>
          </w:p>
          <w:p w:rsidR="00000000" w:rsidDel="00000000" w:rsidP="00000000" w:rsidRDefault="00000000" w:rsidRPr="00000000" w14:paraId="0000002F">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30">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5"/>
              </w:numPr>
              <w:ind w:left="720" w:hanging="360"/>
              <w:rPr>
                <w:color w:val="222222"/>
              </w:rPr>
            </w:pPr>
            <w:r w:rsidDel="00000000" w:rsidR="00000000" w:rsidRPr="00000000">
              <w:rPr>
                <w:color w:val="222222"/>
                <w:rtl w:val="0"/>
              </w:rPr>
              <w:t xml:space="preserve">Students are engaged in a developmentally- appropriate lesson through independent or small group work. This may also include center-based activities and can include:</w:t>
            </w:r>
          </w:p>
          <w:p w:rsidR="00000000" w:rsidDel="00000000" w:rsidP="00000000" w:rsidRDefault="00000000" w:rsidRPr="00000000" w14:paraId="00000032">
            <w:pPr>
              <w:widowControl w:val="0"/>
              <w:numPr>
                <w:ilvl w:val="1"/>
                <w:numId w:val="5"/>
              </w:numPr>
              <w:ind w:left="1440" w:hanging="360"/>
              <w:rPr>
                <w:color w:val="222222"/>
              </w:rPr>
            </w:pPr>
            <w:r w:rsidDel="00000000" w:rsidR="00000000" w:rsidRPr="00000000">
              <w:rPr>
                <w:color w:val="222222"/>
                <w:rtl w:val="0"/>
              </w:rPr>
              <w:t xml:space="preserve">Students are practicing writing skills and patterns based on the lesson and skills previously taught. This may look like shapes, lines, letters, etc. as students build writing and motor skills.</w:t>
            </w:r>
          </w:p>
          <w:p w:rsidR="00000000" w:rsidDel="00000000" w:rsidP="00000000" w:rsidRDefault="00000000" w:rsidRPr="00000000" w14:paraId="00000033">
            <w:pPr>
              <w:widowControl w:val="0"/>
              <w:numPr>
                <w:ilvl w:val="1"/>
                <w:numId w:val="5"/>
              </w:numPr>
              <w:ind w:left="1440" w:hanging="360"/>
              <w:rPr>
                <w:color w:val="222222"/>
              </w:rPr>
            </w:pPr>
            <w:r w:rsidDel="00000000" w:rsidR="00000000" w:rsidRPr="00000000">
              <w:rPr>
                <w:color w:val="222222"/>
                <w:rtl w:val="0"/>
              </w:rPr>
              <w:t xml:space="preserve">Diagnostic assessment drives both independent and individualized instruction for readers by measuring phonological awareness and introductory phonics skills (simple letter-sound correspondences).  Data is utilized to select appropriate on-level work for each individual student.</w:t>
            </w:r>
          </w:p>
          <w:p w:rsidR="00000000" w:rsidDel="00000000" w:rsidP="00000000" w:rsidRDefault="00000000" w:rsidRPr="00000000" w14:paraId="00000034">
            <w:pPr>
              <w:widowControl w:val="0"/>
              <w:numPr>
                <w:ilvl w:val="1"/>
                <w:numId w:val="5"/>
              </w:numPr>
              <w:ind w:left="1440" w:hanging="360"/>
              <w:rPr>
                <w:color w:val="222222"/>
              </w:rPr>
            </w:pPr>
            <w:r w:rsidDel="00000000" w:rsidR="00000000" w:rsidRPr="00000000">
              <w:rPr>
                <w:color w:val="222222"/>
                <w:rtl w:val="0"/>
              </w:rPr>
              <w:t xml:space="preserve">Small groups are arranged by specific skill needs. Diagnostic data is analyzed to focus on specific skill areas where students may need more support or are ready to advance to another skill.</w:t>
            </w:r>
          </w:p>
          <w:p w:rsidR="00000000" w:rsidDel="00000000" w:rsidP="00000000" w:rsidRDefault="00000000" w:rsidRPr="00000000" w14:paraId="00000035">
            <w:pPr>
              <w:widowControl w:val="0"/>
              <w:ind w:left="1440" w:firstLine="0"/>
              <w:rPr>
                <w:color w:val="222222"/>
              </w:rPr>
            </w:pPr>
            <w:r w:rsidDel="00000000" w:rsidR="00000000" w:rsidRPr="00000000">
              <w:rPr>
                <w:rtl w:val="0"/>
              </w:rPr>
            </w:r>
          </w:p>
          <w:p w:rsidR="00000000" w:rsidDel="00000000" w:rsidP="00000000" w:rsidRDefault="00000000" w:rsidRPr="00000000" w14:paraId="00000036">
            <w:pPr>
              <w:widowControl w:val="0"/>
              <w:numPr>
                <w:ilvl w:val="0"/>
                <w:numId w:val="5"/>
              </w:numPr>
              <w:ind w:left="720" w:hanging="360"/>
              <w:rPr>
                <w:color w:val="222222"/>
              </w:rPr>
            </w:pPr>
            <w:r w:rsidDel="00000000" w:rsidR="00000000" w:rsidRPr="00000000">
              <w:rPr>
                <w:color w:val="222222"/>
                <w:rtl w:val="0"/>
              </w:rPr>
              <w:t xml:space="preserve">Regular feedback is provided through prompting for additional information and providing information that will support enhanced learning.</w:t>
            </w:r>
          </w:p>
          <w:p w:rsidR="00000000" w:rsidDel="00000000" w:rsidP="00000000" w:rsidRDefault="00000000" w:rsidRPr="00000000" w14:paraId="00000037">
            <w:pPr>
              <w:widowControl w:val="0"/>
              <w:rPr>
                <w:color w:val="222222"/>
              </w:rPr>
            </w:pPr>
            <w:r w:rsidDel="00000000" w:rsidR="00000000" w:rsidRPr="00000000">
              <w:rPr>
                <w:rtl w:val="0"/>
              </w:rPr>
            </w:r>
          </w:p>
          <w:p w:rsidR="00000000" w:rsidDel="00000000" w:rsidP="00000000" w:rsidRDefault="00000000" w:rsidRPr="00000000" w14:paraId="00000038">
            <w:pPr>
              <w:widowControl w:val="0"/>
              <w:rPr>
                <w:color w:val="222222"/>
              </w:rPr>
            </w:pPr>
            <w:r w:rsidDel="00000000" w:rsidR="00000000" w:rsidRPr="00000000">
              <w:rPr>
                <w:rtl w:val="0"/>
              </w:rPr>
            </w:r>
          </w:p>
          <w:p w:rsidR="00000000" w:rsidDel="00000000" w:rsidP="00000000" w:rsidRDefault="00000000" w:rsidRPr="00000000" w14:paraId="00000039">
            <w:pPr>
              <w:widowControl w:val="0"/>
              <w:rPr>
                <w:color w:val="222222"/>
              </w:rPr>
            </w:pPr>
            <w:r w:rsidDel="00000000" w:rsidR="00000000" w:rsidRPr="00000000">
              <w:rPr>
                <w:rtl w:val="0"/>
              </w:rPr>
            </w:r>
          </w:p>
          <w:p w:rsidR="00000000" w:rsidDel="00000000" w:rsidP="00000000" w:rsidRDefault="00000000" w:rsidRPr="00000000" w14:paraId="0000003A">
            <w:pPr>
              <w:widowControl w:val="0"/>
              <w:rPr>
                <w:color w:val="2222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i w:val="1"/>
                <w:color w:val="222222"/>
              </w:rPr>
            </w:pPr>
            <w:r w:rsidDel="00000000" w:rsidR="00000000" w:rsidRPr="00000000">
              <w:rPr>
                <w:i w:val="1"/>
                <w:color w:val="222222"/>
                <w:rtl w:val="0"/>
              </w:rPr>
              <w:t xml:space="preserve">Lesson Closing</w:t>
            </w:r>
          </w:p>
          <w:p w:rsidR="00000000" w:rsidDel="00000000" w:rsidP="00000000" w:rsidRDefault="00000000" w:rsidRPr="00000000" w14:paraId="00000041">
            <w:pPr>
              <w:widowControl w:val="0"/>
              <w:jc w:val="center"/>
              <w:rPr>
                <w:color w:val="222222"/>
              </w:rPr>
            </w:pPr>
            <w:r w:rsidDel="00000000" w:rsidR="00000000" w:rsidRPr="00000000">
              <w:rPr>
                <w:rtl w:val="0"/>
              </w:rPr>
            </w:r>
          </w:p>
          <w:p w:rsidR="00000000" w:rsidDel="00000000" w:rsidP="00000000" w:rsidRDefault="00000000" w:rsidRPr="00000000" w14:paraId="00000042">
            <w:pPr>
              <w:widowControl w:val="0"/>
              <w:spacing w:after="200" w:lineRule="auto"/>
              <w:jc w:val="center"/>
              <w:rPr>
                <w:color w:val="222222"/>
              </w:rPr>
            </w:pPr>
            <w:r w:rsidDel="00000000" w:rsidR="00000000" w:rsidRPr="00000000">
              <w:rPr>
                <w:color w:val="222222"/>
                <w:rtl w:val="0"/>
              </w:rPr>
              <w:t xml:space="preserve">Observation Date &amp; Time</w:t>
            </w:r>
          </w:p>
          <w:p w:rsidR="00000000" w:rsidDel="00000000" w:rsidP="00000000" w:rsidRDefault="00000000" w:rsidRPr="00000000" w14:paraId="00000043">
            <w:pPr>
              <w:widowControl w:val="0"/>
              <w:jc w:val="center"/>
              <w:rPr>
                <w:color w:val="222222"/>
              </w:rPr>
            </w:pPr>
            <w:r w:rsidDel="00000000" w:rsidR="00000000" w:rsidRPr="00000000">
              <w:rPr>
                <w:color w:val="222222"/>
                <w:rtl w:val="0"/>
              </w:rPr>
              <w:t xml:space="preserve">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3"/>
              </w:numPr>
              <w:ind w:left="720" w:hanging="360"/>
              <w:rPr>
                <w:color w:val="222222"/>
              </w:rPr>
            </w:pPr>
            <w:r w:rsidDel="00000000" w:rsidR="00000000" w:rsidRPr="00000000">
              <w:rPr>
                <w:color w:val="222222"/>
                <w:rtl w:val="0"/>
              </w:rPr>
              <w:t xml:space="preserve">Students are actively engaged in a task that shows their overall understanding and knowledge of the day’s lesson. Information is provided to the teacher that will allow them to plan for future instruction. This can include </w:t>
            </w:r>
            <w:r w:rsidDel="00000000" w:rsidR="00000000" w:rsidRPr="00000000">
              <w:rPr>
                <w:b w:val="1"/>
                <w:color w:val="222222"/>
                <w:rtl w:val="0"/>
              </w:rPr>
              <w:t xml:space="preserve">formative assessment</w:t>
            </w:r>
            <w:r w:rsidDel="00000000" w:rsidR="00000000" w:rsidRPr="00000000">
              <w:rPr>
                <w:color w:val="222222"/>
                <w:rtl w:val="0"/>
              </w:rPr>
              <w:t xml:space="preserve"> of the skills taught to gauge overall student understanding and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right"/>
              <w:rPr>
                <w:color w:val="222222"/>
              </w:rPr>
            </w:pPr>
            <w:r w:rsidDel="00000000" w:rsidR="00000000" w:rsidRPr="00000000">
              <w:rPr>
                <w:color w:val="222222"/>
                <w:rtl w:val="0"/>
              </w:rPr>
              <w:t xml:space="preserve">Not Yet </w:t>
            </w:r>
            <w:r w:rsidDel="00000000" w:rsidR="00000000" w:rsidRPr="00000000">
              <w:rPr>
                <w:color w:val="222222"/>
              </w:rPr>
              <w:drawing>
                <wp:inline distB="114300" distT="114300" distL="114300" distR="114300">
                  <wp:extent cx="190500" cy="190500"/>
                  <wp:effectExtent b="0" l="0" r="0" t="0"/>
                  <wp:docPr id="1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jc w:val="right"/>
              <w:rPr>
                <w:color w:val="222222"/>
              </w:rPr>
            </w:pPr>
            <w:r w:rsidDel="00000000" w:rsidR="00000000" w:rsidRPr="00000000">
              <w:rPr>
                <w:color w:val="222222"/>
                <w:rtl w:val="0"/>
              </w:rPr>
              <w:t xml:space="preserve">Somewhat </w:t>
            </w:r>
            <w:r w:rsidDel="00000000" w:rsidR="00000000" w:rsidRPr="00000000">
              <w:rPr>
                <w:color w:val="222222"/>
              </w:rPr>
              <w:drawing>
                <wp:inline distB="114300" distT="114300" distL="114300" distR="114300">
                  <wp:extent cx="190500" cy="190500"/>
                  <wp:effectExtent b="0" l="0" r="0" t="0"/>
                  <wp:docPr id="1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jc w:val="right"/>
              <w:rPr>
                <w:color w:val="222222"/>
              </w:rPr>
            </w:pPr>
            <w:r w:rsidDel="00000000" w:rsidR="00000000" w:rsidRPr="00000000">
              <w:rPr>
                <w:color w:val="222222"/>
                <w:rtl w:val="0"/>
              </w:rPr>
              <w:t xml:space="preserve">Mostly </w:t>
            </w:r>
            <w:r w:rsidDel="00000000" w:rsidR="00000000" w:rsidRPr="00000000">
              <w:rPr>
                <w:color w:val="222222"/>
              </w:rPr>
              <w:drawing>
                <wp:inline distB="114300" distT="114300" distL="114300" distR="114300">
                  <wp:extent cx="190500" cy="190500"/>
                  <wp:effectExtent b="0" l="0" r="0" t="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widowControl w:val="0"/>
              <w:jc w:val="right"/>
              <w:rPr>
                <w:color w:val="222222"/>
              </w:rPr>
            </w:pPr>
            <w:r w:rsidDel="00000000" w:rsidR="00000000" w:rsidRPr="00000000">
              <w:rPr>
                <w:color w:val="222222"/>
                <w:rtl w:val="0"/>
              </w:rPr>
              <w:t xml:space="preserve">Yes </w:t>
            </w:r>
            <w:r w:rsidDel="00000000" w:rsidR="00000000" w:rsidRPr="00000000">
              <w:rPr>
                <w:color w:val="222222"/>
              </w:rPr>
              <w:drawing>
                <wp:inline distB="114300" distT="114300" distL="114300" distR="114300">
                  <wp:extent cx="190500" cy="19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color w:val="222222"/>
              </w:rPr>
            </w:pPr>
            <w:r w:rsidDel="00000000" w:rsidR="00000000" w:rsidRPr="00000000">
              <w:rPr>
                <w:rtl w:val="0"/>
              </w:rPr>
            </w:r>
          </w:p>
        </w:tc>
      </w:tr>
    </w:tbl>
    <w:p w:rsidR="00000000" w:rsidDel="00000000" w:rsidP="00000000" w:rsidRDefault="00000000" w:rsidRPr="00000000" w14:paraId="0000004A">
      <w:pPr>
        <w:spacing w:line="276" w:lineRule="auto"/>
        <w:rPr>
          <w:color w:val="222222"/>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color w:val="222222"/>
          <w:rtl w:val="0"/>
        </w:rPr>
        <w:t xml:space="preserve">For additional information and support, please access the </w:t>
      </w:r>
      <w:hyperlink r:id="rId7">
        <w:r w:rsidDel="00000000" w:rsidR="00000000" w:rsidRPr="00000000">
          <w:rPr>
            <w:color w:val="1155cc"/>
            <w:u w:val="single"/>
            <w:rtl w:val="0"/>
          </w:rPr>
          <w:t xml:space="preserve">Literacy Classroom Practices</w:t>
        </w:r>
      </w:hyperlink>
      <w:r w:rsidDel="00000000" w:rsidR="00000000" w:rsidRPr="00000000">
        <w:rPr>
          <w:color w:val="222222"/>
          <w:rtl w:val="0"/>
        </w:rPr>
        <w:t xml:space="preserve"> and additional tools and resources in the Louisiana Department of Education </w:t>
      </w:r>
      <w:hyperlink r:id="rId8">
        <w:r w:rsidDel="00000000" w:rsidR="00000000" w:rsidRPr="00000000">
          <w:rPr>
            <w:color w:val="1155cc"/>
            <w:u w:val="single"/>
            <w:rtl w:val="0"/>
          </w:rPr>
          <w:t xml:space="preserve">Literacy Library</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4C">
      <w:pPr>
        <w:pageBreakBefore w:val="0"/>
        <w:rPr/>
      </w:pPr>
      <w:bookmarkStart w:colFirst="0" w:colLast="0" w:name="_mud5nye8bpan" w:id="0"/>
      <w:bookmarkEnd w:id="0"/>
      <w:r w:rsidDel="00000000" w:rsidR="00000000" w:rsidRPr="00000000">
        <w:rPr>
          <w:rtl w:val="0"/>
        </w:rPr>
      </w:r>
    </w:p>
    <w:sectPr>
      <w:headerReference r:id="rId9" w:type="default"/>
      <w:footerReference r:id="rId10" w:type="default"/>
      <w:pgSz w:h="12240" w:w="15840" w:orient="landscape"/>
      <w:pgMar w:bottom="720" w:top="288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9244013" cy="762000"/>
          <wp:effectExtent b="0" l="0" r="0" t="0"/>
          <wp:docPr id="6" name="image2.jpg"/>
          <a:graphic>
            <a:graphicData uri="http://schemas.openxmlformats.org/drawingml/2006/picture">
              <pic:pic>
                <pic:nvPicPr>
                  <pic:cNvPr id="0" name="image2.jpg"/>
                  <pic:cNvPicPr preferRelativeResize="0"/>
                </pic:nvPicPr>
                <pic:blipFill>
                  <a:blip r:embed="rId1"/>
                  <a:srcRect b="0" l="6509" r="6509" t="0"/>
                  <a:stretch>
                    <a:fillRect/>
                  </a:stretch>
                </pic:blipFill>
                <pic:spPr>
                  <a:xfrm>
                    <a:off x="0" y="0"/>
                    <a:ext cx="9244013" cy="7620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077451" cy="1343025"/>
          <wp:effectExtent b="0" l="0" r="0" t="0"/>
          <wp:docPr id="2" name="image3.jpg"/>
          <a:graphic>
            <a:graphicData uri="http://schemas.openxmlformats.org/drawingml/2006/picture">
              <pic:pic>
                <pic:nvPicPr>
                  <pic:cNvPr id="0" name="image3.jpg"/>
                  <pic:cNvPicPr preferRelativeResize="0"/>
                </pic:nvPicPr>
                <pic:blipFill>
                  <a:blip r:embed="rId1"/>
                  <a:srcRect b="176" l="0" r="0" t="176"/>
                  <a:stretch>
                    <a:fillRect/>
                  </a:stretch>
                </pic:blipFill>
                <pic:spPr>
                  <a:xfrm>
                    <a:off x="0" y="0"/>
                    <a:ext cx="9077451" cy="1343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ouisianabelieves.com/docs/default-source/literacy/literacy-classroom-practices.pdf?sfvrsn=24a06718_6" TargetMode="External"/><Relationship Id="rId8" Type="http://schemas.openxmlformats.org/officeDocument/2006/relationships/hyperlink" Target="https://www.louisianabelieves.com/resources/library/literacy-libr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