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7BF" w:rsidRDefault="00276AFF">
      <w:r w:rsidRPr="00276AFF">
        <w:rPr>
          <w:noProof/>
        </w:rPr>
        <w:drawing>
          <wp:inline distT="0" distB="0" distL="0" distR="0" wp14:anchorId="5A9C7E1B" wp14:editId="409EB90F">
            <wp:extent cx="8566736" cy="6743700"/>
            <wp:effectExtent l="0" t="0" r="6350" b="0"/>
            <wp:docPr id="14360" name="Picture 24" descr="C:\Users\scatchings\Documents\rubr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0" name="Picture 24" descr="C:\Users\scatchings\Documents\rubri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7482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70C67" w:rsidRDefault="00370C67" w:rsidP="00370C6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Close Reading </w:t>
      </w:r>
    </w:p>
    <w:p w:rsidR="00370C67" w:rsidRDefault="00370C67" w:rsidP="00370C6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Targeted Skills &amp; Model Answer Features</w:t>
      </w:r>
    </w:p>
    <w:p w:rsidR="00370C67" w:rsidRPr="00B52695" w:rsidRDefault="00370C67" w:rsidP="00370C67">
      <w:pPr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TableGrid"/>
        <w:tblW w:w="13338" w:type="dxa"/>
        <w:tblLook w:val="04A0" w:firstRow="1" w:lastRow="0" w:firstColumn="1" w:lastColumn="0" w:noHBand="0" w:noVBand="1"/>
      </w:tblPr>
      <w:tblGrid>
        <w:gridCol w:w="6768"/>
        <w:gridCol w:w="6570"/>
      </w:tblGrid>
      <w:tr w:rsidR="00370C67" w:rsidTr="00CC2A8B">
        <w:tc>
          <w:tcPr>
            <w:tcW w:w="6768" w:type="dxa"/>
            <w:shd w:val="clear" w:color="auto" w:fill="DDD9C3"/>
          </w:tcPr>
          <w:p w:rsidR="00370C67" w:rsidRPr="00B52695" w:rsidRDefault="00370C67" w:rsidP="00CC2A8B">
            <w:pPr>
              <w:jc w:val="center"/>
              <w:rPr>
                <w:b/>
              </w:rPr>
            </w:pPr>
            <w:r>
              <w:rPr>
                <w:b/>
              </w:rPr>
              <w:t>Standard RL 8.1</w:t>
            </w:r>
          </w:p>
        </w:tc>
        <w:tc>
          <w:tcPr>
            <w:tcW w:w="6570" w:type="dxa"/>
            <w:shd w:val="clear" w:color="auto" w:fill="DDD9C3"/>
          </w:tcPr>
          <w:p w:rsidR="00370C67" w:rsidRPr="00B52695" w:rsidRDefault="00370C67" w:rsidP="00CC2A8B">
            <w:pPr>
              <w:jc w:val="center"/>
              <w:rPr>
                <w:b/>
              </w:rPr>
            </w:pPr>
            <w:r>
              <w:rPr>
                <w:b/>
              </w:rPr>
              <w:t>Model Answers</w:t>
            </w:r>
          </w:p>
        </w:tc>
      </w:tr>
      <w:tr w:rsidR="00370C67" w:rsidTr="00CC2A8B">
        <w:tc>
          <w:tcPr>
            <w:tcW w:w="6768" w:type="dxa"/>
          </w:tcPr>
          <w:p w:rsidR="00370C67" w:rsidRDefault="00370C67" w:rsidP="00CC2A8B"/>
          <w:p w:rsidR="00370C67" w:rsidRPr="00F21118" w:rsidRDefault="00370C67" w:rsidP="00370C6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F21118">
              <w:rPr>
                <w:sz w:val="24"/>
                <w:szCs w:val="24"/>
              </w:rPr>
              <w:t>Cite textual evidence</w:t>
            </w:r>
          </w:p>
          <w:p w:rsidR="00370C67" w:rsidRPr="00F21118" w:rsidRDefault="00370C67" w:rsidP="00370C6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F21118">
              <w:rPr>
                <w:sz w:val="24"/>
                <w:szCs w:val="24"/>
              </w:rPr>
              <w:t>Support details from the text</w:t>
            </w:r>
          </w:p>
          <w:p w:rsidR="00370C67" w:rsidRPr="00F21118" w:rsidRDefault="00370C67" w:rsidP="00370C6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F21118">
              <w:rPr>
                <w:sz w:val="24"/>
                <w:szCs w:val="24"/>
              </w:rPr>
              <w:t>Be explicit (straight forward and clear)</w:t>
            </w:r>
          </w:p>
          <w:p w:rsidR="00370C67" w:rsidRPr="00905678" w:rsidRDefault="00370C67" w:rsidP="00370C6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analysis writing</w:t>
            </w:r>
            <w:r w:rsidRPr="00905678">
              <w:rPr>
                <w:sz w:val="24"/>
                <w:szCs w:val="24"/>
              </w:rPr>
              <w:t xml:space="preserve"> (relate </w:t>
            </w:r>
            <w:r>
              <w:rPr>
                <w:sz w:val="24"/>
                <w:szCs w:val="24"/>
              </w:rPr>
              <w:t xml:space="preserve">it to something </w:t>
            </w:r>
            <w:r w:rsidRPr="00905678">
              <w:rPr>
                <w:sz w:val="24"/>
                <w:szCs w:val="24"/>
              </w:rPr>
              <w:t>meaningful)</w:t>
            </w:r>
          </w:p>
          <w:p w:rsidR="00370C67" w:rsidRPr="00905678" w:rsidRDefault="00370C67" w:rsidP="00370C67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F21118">
              <w:rPr>
                <w:sz w:val="24"/>
                <w:szCs w:val="24"/>
              </w:rPr>
              <w:t xml:space="preserve">Make inferences </w:t>
            </w:r>
            <w:r w:rsidRPr="00905678">
              <w:rPr>
                <w:sz w:val="24"/>
                <w:szCs w:val="24"/>
              </w:rPr>
              <w:t>(infer, guess, predict, suppose)</w:t>
            </w:r>
          </w:p>
          <w:p w:rsidR="00370C67" w:rsidRDefault="00370C67" w:rsidP="00CC2A8B"/>
          <w:p w:rsidR="00370C67" w:rsidRDefault="00370C67" w:rsidP="00CC2A8B"/>
          <w:p w:rsidR="00370C67" w:rsidRDefault="00370C67" w:rsidP="00CC2A8B"/>
        </w:tc>
        <w:tc>
          <w:tcPr>
            <w:tcW w:w="6570" w:type="dxa"/>
          </w:tcPr>
          <w:p w:rsidR="00370C67" w:rsidRDefault="00370C67" w:rsidP="00CC2A8B"/>
          <w:p w:rsidR="00370C67" w:rsidRPr="00B207C0" w:rsidRDefault="00370C67" w:rsidP="00370C6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B207C0">
              <w:rPr>
                <w:sz w:val="24"/>
                <w:szCs w:val="24"/>
              </w:rPr>
              <w:t>Topic Sentence</w:t>
            </w:r>
          </w:p>
          <w:p w:rsidR="00370C67" w:rsidRPr="00B207C0" w:rsidRDefault="00370C67" w:rsidP="00370C6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B207C0">
              <w:rPr>
                <w:sz w:val="24"/>
                <w:szCs w:val="24"/>
              </w:rPr>
              <w:t>Support Sentence</w:t>
            </w:r>
          </w:p>
          <w:p w:rsidR="00370C67" w:rsidRPr="00B207C0" w:rsidRDefault="00370C67" w:rsidP="00370C6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B207C0">
              <w:rPr>
                <w:sz w:val="24"/>
                <w:szCs w:val="24"/>
              </w:rPr>
              <w:t>Relevance</w:t>
            </w:r>
          </w:p>
          <w:p w:rsidR="00370C67" w:rsidRPr="00B207C0" w:rsidRDefault="00370C67" w:rsidP="00370C67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 w:rsidRPr="00B207C0">
              <w:rPr>
                <w:sz w:val="24"/>
                <w:szCs w:val="24"/>
              </w:rPr>
              <w:t>Justification</w:t>
            </w:r>
          </w:p>
          <w:p w:rsidR="00370C67" w:rsidRPr="00B207C0" w:rsidRDefault="00370C67" w:rsidP="00370C67">
            <w:pPr>
              <w:pStyle w:val="ListParagraph"/>
              <w:numPr>
                <w:ilvl w:val="0"/>
                <w:numId w:val="4"/>
              </w:numPr>
            </w:pPr>
            <w:r w:rsidRPr="00B207C0">
              <w:rPr>
                <w:sz w:val="24"/>
                <w:szCs w:val="24"/>
              </w:rPr>
              <w:t>Conclusion</w:t>
            </w:r>
          </w:p>
          <w:p w:rsidR="00370C67" w:rsidRDefault="00370C67" w:rsidP="00CC2A8B">
            <w:pPr>
              <w:pStyle w:val="ListParagraph"/>
            </w:pPr>
          </w:p>
        </w:tc>
      </w:tr>
      <w:tr w:rsidR="00370C67" w:rsidTr="00CC2A8B">
        <w:tc>
          <w:tcPr>
            <w:tcW w:w="6768" w:type="dxa"/>
            <w:shd w:val="clear" w:color="auto" w:fill="DDD9C3"/>
          </w:tcPr>
          <w:p w:rsidR="00370C67" w:rsidRPr="00B52695" w:rsidRDefault="00370C67" w:rsidP="00CC2A8B">
            <w:pPr>
              <w:jc w:val="center"/>
              <w:rPr>
                <w:b/>
              </w:rPr>
            </w:pPr>
            <w:r>
              <w:rPr>
                <w:b/>
              </w:rPr>
              <w:t>RACES</w:t>
            </w:r>
          </w:p>
        </w:tc>
        <w:tc>
          <w:tcPr>
            <w:tcW w:w="6570" w:type="dxa"/>
            <w:shd w:val="clear" w:color="auto" w:fill="DDD9C3"/>
          </w:tcPr>
          <w:p w:rsidR="00370C67" w:rsidRPr="00B52695" w:rsidRDefault="00370C67" w:rsidP="00CC2A8B">
            <w:pPr>
              <w:jc w:val="center"/>
              <w:rPr>
                <w:b/>
              </w:rPr>
            </w:pPr>
            <w:r>
              <w:rPr>
                <w:b/>
              </w:rPr>
              <w:t>Close Reading Rubric</w:t>
            </w:r>
          </w:p>
        </w:tc>
      </w:tr>
      <w:tr w:rsidR="00370C67" w:rsidTr="00CC2A8B">
        <w:tc>
          <w:tcPr>
            <w:tcW w:w="6768" w:type="dxa"/>
          </w:tcPr>
          <w:p w:rsidR="00370C67" w:rsidRDefault="00370C67" w:rsidP="00CC2A8B"/>
          <w:p w:rsidR="00370C67" w:rsidRDefault="00370C67" w:rsidP="00CC2A8B"/>
          <w:p w:rsidR="00370C67" w:rsidRPr="00905678" w:rsidRDefault="00370C67" w:rsidP="00CC2A8B">
            <w:pPr>
              <w:rPr>
                <w:rFonts w:eastAsia="Times New Roman" w:cs="Segoe UI"/>
                <w:color w:val="000000"/>
              </w:rPr>
            </w:pPr>
            <w:r w:rsidRPr="00905678">
              <w:rPr>
                <w:rFonts w:eastAsia="Times New Roman" w:cs="Segoe UI"/>
                <w:b/>
                <w:color w:val="000000"/>
              </w:rPr>
              <w:t>R</w:t>
            </w:r>
            <w:r w:rsidRPr="00905678">
              <w:rPr>
                <w:rFonts w:eastAsia="Times New Roman" w:cs="Segoe UI"/>
                <w:color w:val="000000"/>
              </w:rPr>
              <w:t>- restate the question without answering it</w:t>
            </w:r>
          </w:p>
          <w:p w:rsidR="00370C67" w:rsidRPr="00905678" w:rsidRDefault="00370C67" w:rsidP="00CC2A8B">
            <w:pPr>
              <w:rPr>
                <w:rFonts w:eastAsia="Times New Roman" w:cs="Segoe UI"/>
                <w:color w:val="000000"/>
              </w:rPr>
            </w:pPr>
            <w:r w:rsidRPr="00905678">
              <w:rPr>
                <w:rFonts w:eastAsia="Times New Roman" w:cs="Segoe UI"/>
                <w:b/>
                <w:color w:val="000000"/>
              </w:rPr>
              <w:t xml:space="preserve">A </w:t>
            </w:r>
            <w:r w:rsidRPr="00905678">
              <w:rPr>
                <w:rFonts w:eastAsia="Times New Roman" w:cs="Segoe UI"/>
                <w:color w:val="000000"/>
              </w:rPr>
              <w:t>– answer the question with TWO personal beliefs/opinions</w:t>
            </w:r>
          </w:p>
          <w:p w:rsidR="00370C67" w:rsidRPr="00905678" w:rsidRDefault="00370C67" w:rsidP="00CC2A8B">
            <w:pPr>
              <w:rPr>
                <w:rFonts w:eastAsia="Times New Roman" w:cs="Segoe UI"/>
                <w:color w:val="000000"/>
              </w:rPr>
            </w:pPr>
            <w:r w:rsidRPr="00905678">
              <w:rPr>
                <w:rFonts w:eastAsia="Times New Roman" w:cs="Segoe UI"/>
                <w:b/>
                <w:color w:val="000000"/>
              </w:rPr>
              <w:t xml:space="preserve">C </w:t>
            </w:r>
            <w:r w:rsidRPr="00905678">
              <w:rPr>
                <w:rFonts w:eastAsia="Times New Roman" w:cs="Segoe UI"/>
                <w:color w:val="000000"/>
              </w:rPr>
              <w:t>– cite evidence  (2 things)</w:t>
            </w:r>
          </w:p>
          <w:p w:rsidR="00370C67" w:rsidRPr="00905678" w:rsidRDefault="00370C67" w:rsidP="00CC2A8B">
            <w:pPr>
              <w:rPr>
                <w:rFonts w:eastAsia="Times New Roman" w:cs="Segoe UI"/>
                <w:color w:val="000000"/>
              </w:rPr>
            </w:pPr>
            <w:r w:rsidRPr="00905678">
              <w:rPr>
                <w:rFonts w:eastAsia="Times New Roman" w:cs="Segoe UI"/>
                <w:b/>
                <w:color w:val="000000"/>
              </w:rPr>
              <w:t>E</w:t>
            </w:r>
            <w:r w:rsidRPr="00905678">
              <w:rPr>
                <w:rFonts w:eastAsia="Times New Roman" w:cs="Segoe UI"/>
                <w:color w:val="000000"/>
              </w:rPr>
              <w:t xml:space="preserve"> – explain how their opinion is supported by the evidence</w:t>
            </w:r>
          </w:p>
          <w:p w:rsidR="00370C67" w:rsidRPr="00905678" w:rsidRDefault="00370C67" w:rsidP="00CC2A8B">
            <w:pPr>
              <w:rPr>
                <w:rFonts w:eastAsia="Times New Roman" w:cs="Segoe UI"/>
                <w:color w:val="000000"/>
              </w:rPr>
            </w:pPr>
            <w:r w:rsidRPr="00905678">
              <w:rPr>
                <w:rFonts w:eastAsia="Times New Roman" w:cs="Segoe UI"/>
                <w:b/>
                <w:color w:val="000000"/>
              </w:rPr>
              <w:t>S</w:t>
            </w:r>
            <w:r w:rsidRPr="00905678">
              <w:rPr>
                <w:rFonts w:eastAsia="Times New Roman" w:cs="Segoe UI"/>
                <w:color w:val="000000"/>
              </w:rPr>
              <w:t xml:space="preserve"> – write a summary statement without repeating anything from above</w:t>
            </w:r>
          </w:p>
          <w:p w:rsidR="00370C67" w:rsidRDefault="00370C67" w:rsidP="00CC2A8B"/>
        </w:tc>
        <w:tc>
          <w:tcPr>
            <w:tcW w:w="6570" w:type="dxa"/>
          </w:tcPr>
          <w:p w:rsidR="00370C67" w:rsidRPr="00B43E29" w:rsidRDefault="00370C67" w:rsidP="00CC2A8B">
            <w:pPr>
              <w:pStyle w:val="ListParagraph"/>
            </w:pPr>
          </w:p>
          <w:p w:rsidR="00370C67" w:rsidRDefault="00370C67" w:rsidP="00370C67">
            <w:pPr>
              <w:pStyle w:val="ListParagraph"/>
              <w:numPr>
                <w:ilvl w:val="0"/>
                <w:numId w:val="5"/>
              </w:numPr>
            </w:pPr>
            <w:r w:rsidRPr="00B43E29">
              <w:rPr>
                <w:b/>
              </w:rPr>
              <w:t>Answer</w:t>
            </w:r>
            <w:r>
              <w:t xml:space="preserve"> – Answer is correct and completely addresses ALL parts of the question.</w:t>
            </w:r>
          </w:p>
          <w:p w:rsidR="00370C67" w:rsidRDefault="00370C67" w:rsidP="00CC2A8B"/>
          <w:p w:rsidR="00370C67" w:rsidRDefault="00370C67" w:rsidP="00370C67">
            <w:pPr>
              <w:pStyle w:val="ListParagraph"/>
              <w:numPr>
                <w:ilvl w:val="0"/>
                <w:numId w:val="5"/>
              </w:numPr>
            </w:pPr>
            <w:r w:rsidRPr="00B43E29">
              <w:rPr>
                <w:b/>
              </w:rPr>
              <w:t>Inference</w:t>
            </w:r>
            <w:r>
              <w:t xml:space="preserve"> – Supports the text with analysis through relevant and meaningful inferences.</w:t>
            </w:r>
          </w:p>
          <w:p w:rsidR="00370C67" w:rsidRDefault="00370C67" w:rsidP="00CC2A8B"/>
          <w:p w:rsidR="00370C67" w:rsidRDefault="00370C67" w:rsidP="00370C67">
            <w:pPr>
              <w:pStyle w:val="ListParagraph"/>
              <w:numPr>
                <w:ilvl w:val="0"/>
                <w:numId w:val="5"/>
              </w:numPr>
            </w:pPr>
            <w:r w:rsidRPr="00B43E29">
              <w:rPr>
                <w:b/>
              </w:rPr>
              <w:t>Supporting Evidence</w:t>
            </w:r>
            <w:r>
              <w:t xml:space="preserve"> – </w:t>
            </w:r>
            <w:proofErr w:type="gramStart"/>
            <w:r>
              <w:t>Cites (2 or more) strong pieces of textual evidence and justifies</w:t>
            </w:r>
            <w:proofErr w:type="gramEnd"/>
            <w:r>
              <w:t xml:space="preserve"> its relevance.</w:t>
            </w:r>
          </w:p>
          <w:p w:rsidR="00370C67" w:rsidRDefault="00370C67" w:rsidP="00CC2A8B">
            <w:pPr>
              <w:pStyle w:val="ListParagraph"/>
            </w:pPr>
          </w:p>
          <w:p w:rsidR="00370C67" w:rsidRDefault="00370C67" w:rsidP="00CC2A8B">
            <w:pPr>
              <w:pStyle w:val="ListParagraph"/>
            </w:pPr>
          </w:p>
        </w:tc>
      </w:tr>
    </w:tbl>
    <w:p w:rsidR="00370C67" w:rsidRDefault="00370C67" w:rsidP="00370C67">
      <w:pPr>
        <w:spacing w:after="0" w:line="240" w:lineRule="auto"/>
      </w:pPr>
    </w:p>
    <w:p w:rsidR="00370C67" w:rsidRDefault="00370C67" w:rsidP="00370C67">
      <w:pPr>
        <w:rPr>
          <w:b/>
        </w:rPr>
      </w:pPr>
      <w:r>
        <w:rPr>
          <w:b/>
        </w:rPr>
        <w:t xml:space="preserve">*MY Goal for the </w:t>
      </w:r>
      <w:proofErr w:type="spellStart"/>
      <w:r>
        <w:rPr>
          <w:b/>
        </w:rPr>
        <w:t>iLEAP</w:t>
      </w:r>
      <w:proofErr w:type="spellEnd"/>
      <w:r>
        <w:rPr>
          <w:b/>
        </w:rPr>
        <w:t>/LEAP Test is:</w:t>
      </w:r>
    </w:p>
    <w:p w:rsidR="00370C67" w:rsidRDefault="00370C67" w:rsidP="00370C67">
      <w:pPr>
        <w:rPr>
          <w:b/>
        </w:rPr>
      </w:pPr>
    </w:p>
    <w:p w:rsidR="00370C67" w:rsidRDefault="00370C67" w:rsidP="00370C67">
      <w:pPr>
        <w:rPr>
          <w:b/>
        </w:rPr>
      </w:pPr>
    </w:p>
    <w:p w:rsidR="00370C67" w:rsidRDefault="00370C67"/>
    <w:p w:rsidR="00370C67" w:rsidRDefault="00370C67" w:rsidP="00370C67">
      <w:pPr>
        <w:pStyle w:val="Title"/>
        <w:spacing w:line="360" w:lineRule="auto"/>
        <w:jc w:val="left"/>
        <w:rPr>
          <w:rFonts w:ascii="Garamond" w:hAnsi="Garamond"/>
        </w:rPr>
      </w:pPr>
      <w:r>
        <w:rPr>
          <w:rFonts w:ascii="Garamond" w:hAnsi="Garamond"/>
        </w:rPr>
        <w:lastRenderedPageBreak/>
        <w:t>Teacher: _______________________________________</w:t>
      </w:r>
      <w:proofErr w:type="gramStart"/>
      <w:r>
        <w:rPr>
          <w:rFonts w:ascii="Garamond" w:hAnsi="Garamond"/>
        </w:rPr>
        <w:t>_  Observer</w:t>
      </w:r>
      <w:proofErr w:type="gramEnd"/>
      <w:r>
        <w:rPr>
          <w:rFonts w:ascii="Garamond" w:hAnsi="Garamond"/>
        </w:rPr>
        <w:t xml:space="preserve">: ______________________________________  </w:t>
      </w:r>
    </w:p>
    <w:p w:rsidR="00370C67" w:rsidRDefault="00370C67" w:rsidP="00370C67">
      <w:pPr>
        <w:pStyle w:val="Title"/>
        <w:spacing w:line="360" w:lineRule="auto"/>
        <w:jc w:val="left"/>
        <w:rPr>
          <w:rFonts w:ascii="Garamond" w:hAnsi="Garamond"/>
        </w:rPr>
      </w:pPr>
      <w:r>
        <w:rPr>
          <w:rFonts w:ascii="Garamond" w:hAnsi="Garamond"/>
        </w:rPr>
        <w:t>Subject: ________________________ Grade: _____</w:t>
      </w:r>
      <w:proofErr w:type="gramStart"/>
      <w:r>
        <w:rPr>
          <w:rFonts w:ascii="Garamond" w:hAnsi="Garamond"/>
        </w:rPr>
        <w:t>_  Period</w:t>
      </w:r>
      <w:proofErr w:type="gramEnd"/>
      <w:r>
        <w:rPr>
          <w:rFonts w:ascii="Garamond" w:hAnsi="Garamond"/>
        </w:rPr>
        <w:t>: _____  Date: ____</w:t>
      </w:r>
      <w:r>
        <w:rPr>
          <w:rFonts w:ascii="Garamond" w:hAnsi="Garamond"/>
        </w:rPr>
        <w:t>_____________________________</w:t>
      </w:r>
    </w:p>
    <w:p w:rsidR="00370C67" w:rsidRPr="00CE5C39" w:rsidRDefault="00370C67" w:rsidP="00370C67">
      <w:pPr>
        <w:pStyle w:val="Title"/>
        <w:spacing w:line="360" w:lineRule="auto"/>
        <w:jc w:val="left"/>
        <w:rPr>
          <w:rFonts w:ascii="Garamond" w:hAnsi="Garamond"/>
          <w:sz w:val="16"/>
          <w:szCs w:val="16"/>
        </w:rPr>
      </w:pPr>
    </w:p>
    <w:tbl>
      <w:tblPr>
        <w:tblW w:w="1422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0"/>
        <w:gridCol w:w="7380"/>
      </w:tblGrid>
      <w:tr w:rsidR="00370C67" w:rsidRPr="002C204D" w:rsidTr="00370C67">
        <w:tblPrEx>
          <w:tblCellMar>
            <w:top w:w="0" w:type="dxa"/>
            <w:bottom w:w="0" w:type="dxa"/>
          </w:tblCellMar>
        </w:tblPrEx>
        <w:tc>
          <w:tcPr>
            <w:tcW w:w="6840" w:type="dxa"/>
            <w:shd w:val="clear" w:color="auto" w:fill="CCCCCC"/>
          </w:tcPr>
          <w:p w:rsidR="00370C67" w:rsidRPr="00A934AA" w:rsidRDefault="00370C67" w:rsidP="00CC2A8B">
            <w:pPr>
              <w:jc w:val="center"/>
              <w:rPr>
                <w:rFonts w:ascii="Garamond" w:hAnsi="Garamond"/>
                <w:b/>
                <w:sz w:val="28"/>
                <w:szCs w:val="28"/>
              </w:rPr>
            </w:pPr>
            <w:r w:rsidRPr="00A934AA">
              <w:rPr>
                <w:rFonts w:ascii="Garamond" w:hAnsi="Garamond"/>
                <w:b/>
                <w:sz w:val="28"/>
                <w:szCs w:val="28"/>
              </w:rPr>
              <w:t>Contributing Factors</w:t>
            </w:r>
          </w:p>
        </w:tc>
        <w:tc>
          <w:tcPr>
            <w:tcW w:w="7380" w:type="dxa"/>
            <w:shd w:val="clear" w:color="auto" w:fill="CCCCCC"/>
          </w:tcPr>
          <w:p w:rsidR="00370C67" w:rsidRPr="00A934AA" w:rsidRDefault="00370C67" w:rsidP="00CC2A8B">
            <w:pPr>
              <w:pStyle w:val="Heading1"/>
              <w:rPr>
                <w:rFonts w:ascii="Garamond" w:hAnsi="Garamond"/>
                <w:sz w:val="28"/>
                <w:szCs w:val="28"/>
              </w:rPr>
            </w:pPr>
            <w:r w:rsidRPr="00A934AA">
              <w:rPr>
                <w:rFonts w:ascii="Garamond" w:hAnsi="Garamond"/>
                <w:sz w:val="28"/>
                <w:szCs w:val="28"/>
              </w:rPr>
              <w:t>Critical Attributes</w:t>
            </w:r>
          </w:p>
        </w:tc>
      </w:tr>
      <w:tr w:rsidR="00370C67" w:rsidTr="00370C67">
        <w:tblPrEx>
          <w:tblCellMar>
            <w:top w:w="0" w:type="dxa"/>
            <w:bottom w:w="0" w:type="dxa"/>
          </w:tblCellMar>
        </w:tblPrEx>
        <w:trPr>
          <w:trHeight w:val="260"/>
        </w:trPr>
        <w:tc>
          <w:tcPr>
            <w:tcW w:w="6840" w:type="dxa"/>
          </w:tcPr>
          <w:p w:rsidR="00370C67" w:rsidRPr="00370C67" w:rsidRDefault="00370C67" w:rsidP="00CC2A8B">
            <w:pPr>
              <w:rPr>
                <w:rFonts w:ascii="Garamond" w:hAnsi="Garamond"/>
                <w:sz w:val="16"/>
                <w:szCs w:val="16"/>
              </w:rPr>
            </w:pPr>
          </w:p>
          <w:p w:rsidR="00370C67" w:rsidRDefault="00370C67" w:rsidP="00CC2A8B">
            <w:pPr>
              <w:pStyle w:val="ListParagraph"/>
              <w:numPr>
                <w:ilvl w:val="0"/>
                <w:numId w:val="2"/>
              </w:numPr>
            </w:pPr>
            <w:r>
              <w:t>Refer to the ELA school-wide learning target.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2"/>
              </w:numPr>
            </w:pPr>
            <w:r>
              <w:t>Read the reading standards to the students.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2"/>
              </w:numPr>
            </w:pPr>
            <w:r>
              <w:t>Have the standards and step posted on chart paper in your classroom.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2"/>
              </w:numPr>
            </w:pPr>
            <w:r>
              <w:t>Have the Digging Deeper handout posted on chart paper in your classroom.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2"/>
              </w:numPr>
            </w:pPr>
            <w:r>
              <w:t>As students read, keep the teacher talk to a minimum so they can concentrate. Quietly praise students efforts as they are reading, provide academic feedback, and encourage weak readers.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2"/>
              </w:numPr>
            </w:pPr>
            <w:r>
              <w:t>Announce remaining time limits (10 minutes, 5 minutes).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2"/>
              </w:numPr>
            </w:pPr>
            <w:r>
              <w:t>Give a closing review of the process if time allows using the steps listed on the Close Reading and Digging Deeper posters. Answer any questions the students may have.</w:t>
            </w:r>
          </w:p>
          <w:p w:rsidR="00370C67" w:rsidRDefault="00370C67" w:rsidP="00370C6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</w:p>
          <w:p w:rsidR="00370C67" w:rsidRPr="00C35BB5" w:rsidRDefault="00370C67" w:rsidP="00370C6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*</w:t>
            </w:r>
            <w:r w:rsidRPr="00C35BB5">
              <w:rPr>
                <w:rFonts w:ascii="Verdana" w:hAnsi="Verdana"/>
                <w:b/>
                <w:sz w:val="20"/>
                <w:szCs w:val="20"/>
              </w:rPr>
              <w:t>Close Reading</w:t>
            </w:r>
            <w:r w:rsidR="00CE5C39">
              <w:rPr>
                <w:rFonts w:ascii="Verdana" w:hAnsi="Verdana"/>
                <w:b/>
                <w:sz w:val="20"/>
                <w:szCs w:val="20"/>
              </w:rPr>
              <w:t xml:space="preserve"> Targets</w:t>
            </w:r>
          </w:p>
          <w:p w:rsidR="00370C67" w:rsidRPr="00C35BB5" w:rsidRDefault="00370C67" w:rsidP="00370C67">
            <w:pPr>
              <w:spacing w:after="0" w:line="240" w:lineRule="auto"/>
              <w:rPr>
                <w:rFonts w:ascii="Verdana" w:hAnsi="Verdana"/>
                <w:sz w:val="20"/>
                <w:szCs w:val="20"/>
                <w:u w:val="single"/>
              </w:rPr>
            </w:pPr>
          </w:p>
          <w:p w:rsidR="00370C67" w:rsidRPr="00C35BB5" w:rsidRDefault="00370C67" w:rsidP="00370C67">
            <w:pPr>
              <w:spacing w:after="0" w:line="240" w:lineRule="auto"/>
              <w:rPr>
                <w:rFonts w:ascii="Verdana" w:hAnsi="Verdana"/>
                <w:sz w:val="20"/>
                <w:szCs w:val="20"/>
                <w:u w:val="single"/>
              </w:rPr>
            </w:pPr>
            <w:r w:rsidRPr="00C35BB5">
              <w:rPr>
                <w:rFonts w:ascii="Verdana" w:hAnsi="Verdana"/>
                <w:sz w:val="20"/>
                <w:szCs w:val="20"/>
                <w:u w:val="single"/>
              </w:rPr>
              <w:t>Reading Standards:</w:t>
            </w:r>
          </w:p>
          <w:p w:rsidR="00370C67" w:rsidRPr="00C35BB5" w:rsidRDefault="00370C67" w:rsidP="00370C67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 w:rsidRPr="00C35BB5">
              <w:rPr>
                <w:rFonts w:ascii="Verdana" w:hAnsi="Verdana"/>
                <w:sz w:val="20"/>
                <w:szCs w:val="20"/>
              </w:rPr>
              <w:t>RI 6.1, RI 6.2, RI 6.3</w:t>
            </w:r>
          </w:p>
          <w:p w:rsidR="00370C67" w:rsidRPr="00C35BB5" w:rsidRDefault="00370C67" w:rsidP="00370C67">
            <w:pPr>
              <w:spacing w:after="0" w:line="240" w:lineRule="auto"/>
              <w:rPr>
                <w:rFonts w:ascii="Verdana" w:hAnsi="Verdana"/>
                <w:sz w:val="20"/>
                <w:szCs w:val="20"/>
                <w:u w:val="single"/>
              </w:rPr>
            </w:pPr>
          </w:p>
          <w:p w:rsidR="00370C67" w:rsidRPr="00C35BB5" w:rsidRDefault="00370C67" w:rsidP="00370C67">
            <w:pPr>
              <w:spacing w:after="0" w:line="240" w:lineRule="auto"/>
              <w:rPr>
                <w:rFonts w:ascii="Verdana" w:hAnsi="Verdana"/>
                <w:b/>
                <w:sz w:val="20"/>
                <w:szCs w:val="20"/>
              </w:rPr>
            </w:pPr>
            <w:r w:rsidRPr="00C35BB5">
              <w:rPr>
                <w:rFonts w:ascii="Verdana" w:hAnsi="Verdana"/>
                <w:b/>
                <w:sz w:val="20"/>
                <w:szCs w:val="20"/>
              </w:rPr>
              <w:t xml:space="preserve">Close Reading </w:t>
            </w:r>
            <w:r w:rsidRPr="00370C67">
              <w:rPr>
                <w:rFonts w:ascii="Verdana" w:hAnsi="Verdana"/>
                <w:b/>
                <w:i/>
                <w:sz w:val="20"/>
                <w:szCs w:val="20"/>
              </w:rPr>
              <w:t>Process - Chunk 1</w:t>
            </w:r>
          </w:p>
          <w:p w:rsidR="00370C67" w:rsidRPr="00370C67" w:rsidRDefault="00370C67" w:rsidP="00370C67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370C67">
              <w:rPr>
                <w:rFonts w:ascii="Verdana" w:hAnsi="Verdana"/>
                <w:sz w:val="16"/>
                <w:szCs w:val="16"/>
              </w:rPr>
              <w:t># 1.  Read.</w:t>
            </w:r>
          </w:p>
          <w:p w:rsidR="00370C67" w:rsidRPr="00370C67" w:rsidRDefault="00370C67" w:rsidP="00370C67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370C67">
              <w:rPr>
                <w:rFonts w:ascii="Verdana" w:hAnsi="Verdana"/>
                <w:sz w:val="16"/>
                <w:szCs w:val="16"/>
              </w:rPr>
              <w:t># 2.  Read again. (Circle vocabulary and underline details.)</w:t>
            </w:r>
          </w:p>
          <w:p w:rsidR="00370C67" w:rsidRPr="00CE5C39" w:rsidRDefault="00370C67" w:rsidP="00CE5C39">
            <w:pPr>
              <w:spacing w:after="0" w:line="240" w:lineRule="auto"/>
              <w:rPr>
                <w:rFonts w:ascii="Verdana" w:hAnsi="Verdana"/>
                <w:sz w:val="16"/>
                <w:szCs w:val="16"/>
              </w:rPr>
            </w:pPr>
            <w:r w:rsidRPr="00370C67">
              <w:rPr>
                <w:rFonts w:ascii="Verdana" w:hAnsi="Verdana"/>
                <w:sz w:val="16"/>
                <w:szCs w:val="16"/>
              </w:rPr>
              <w:t># 3.  Read one more time. (Write questions and i</w:t>
            </w:r>
            <w:r w:rsidR="00CE5C39">
              <w:rPr>
                <w:rFonts w:ascii="Verdana" w:hAnsi="Verdana"/>
                <w:sz w:val="16"/>
                <w:szCs w:val="16"/>
              </w:rPr>
              <w:t>nterpretations in the margins.)</w:t>
            </w:r>
          </w:p>
        </w:tc>
        <w:tc>
          <w:tcPr>
            <w:tcW w:w="7380" w:type="dxa"/>
          </w:tcPr>
          <w:p w:rsidR="00370C67" w:rsidRDefault="00370C67" w:rsidP="00CC2A8B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Set the learning goal:</w:t>
            </w:r>
          </w:p>
          <w:p w:rsidR="00370C67" w:rsidRDefault="00370C67" w:rsidP="00CC2A8B">
            <w:pPr>
              <w:pStyle w:val="ListParagraph"/>
              <w:numPr>
                <w:ilvl w:val="1"/>
                <w:numId w:val="1"/>
              </w:numPr>
              <w:spacing w:after="0" w:line="240" w:lineRule="auto"/>
            </w:pPr>
            <w:r>
              <w:t>Academic feedback (praise and constructive comments)</w:t>
            </w:r>
          </w:p>
          <w:p w:rsidR="00370C67" w:rsidRDefault="00370C67" w:rsidP="00CC2A8B">
            <w:pPr>
              <w:pStyle w:val="ListParagraph"/>
              <w:numPr>
                <w:ilvl w:val="1"/>
                <w:numId w:val="1"/>
              </w:numPr>
              <w:spacing w:after="0" w:line="240" w:lineRule="auto"/>
            </w:pPr>
            <w:r>
              <w:t>Establish high expectations.</w:t>
            </w:r>
          </w:p>
          <w:p w:rsidR="00370C67" w:rsidRDefault="00370C67" w:rsidP="00CC2A8B">
            <w:pPr>
              <w:pStyle w:val="ListParagraph"/>
              <w:numPr>
                <w:ilvl w:val="1"/>
                <w:numId w:val="1"/>
              </w:numPr>
              <w:spacing w:after="0" w:line="240" w:lineRule="auto"/>
            </w:pPr>
            <w:r>
              <w:t>Refer to the students as scholarly, bright, and intelligent.</w:t>
            </w:r>
          </w:p>
          <w:p w:rsidR="00370C67" w:rsidRDefault="00370C67" w:rsidP="00CC2A8B">
            <w:pPr>
              <w:pStyle w:val="ListParagraph"/>
              <w:spacing w:after="0" w:line="240" w:lineRule="auto"/>
              <w:ind w:left="1440"/>
            </w:pPr>
          </w:p>
          <w:p w:rsidR="00370C67" w:rsidRDefault="00370C67" w:rsidP="00CC2A8B">
            <w:pPr>
              <w:pStyle w:val="ListParagraph"/>
              <w:numPr>
                <w:ilvl w:val="0"/>
                <w:numId w:val="1"/>
              </w:numPr>
            </w:pPr>
            <w:r>
              <w:t>Give a clear definition of the Close Reading Strategy using the DIGGING DEEPER handout.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1"/>
              </w:numPr>
            </w:pPr>
            <w:r>
              <w:t>Model the strategy using a short reading passage or math word problem. [When you plan for this, use some of the questions from the ASCD article.]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1"/>
              </w:numPr>
            </w:pPr>
            <w:r>
              <w:t>Provide a personal illustration to make it relevant for the students to understand the concept of digging deeper.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1"/>
              </w:numPr>
            </w:pPr>
            <w:r>
              <w:t>Explain, in detail, each stage in the Digging Deeper handout.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1"/>
              </w:numPr>
            </w:pPr>
            <w:r>
              <w:t>Before releasing students to read, make sure they have a clear understanding and all questions have been answered. There will be no student talking during the process except for 1 to 2 opportunities for you to praise and encourage their efforts and for time limit reminders.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Interacting with the text:</w:t>
            </w:r>
          </w:p>
          <w:p w:rsidR="00370C67" w:rsidRDefault="00370C67" w:rsidP="00CC2A8B">
            <w:pPr>
              <w:pStyle w:val="ListParagraph"/>
              <w:numPr>
                <w:ilvl w:val="1"/>
                <w:numId w:val="1"/>
              </w:numPr>
              <w:spacing w:after="0" w:line="240" w:lineRule="auto"/>
            </w:pPr>
            <w:r>
              <w:t>Read.</w:t>
            </w:r>
          </w:p>
          <w:p w:rsidR="00370C67" w:rsidRDefault="00370C67" w:rsidP="00CC2A8B">
            <w:pPr>
              <w:pStyle w:val="ListParagraph"/>
              <w:numPr>
                <w:ilvl w:val="1"/>
                <w:numId w:val="1"/>
              </w:numPr>
              <w:spacing w:after="0" w:line="240" w:lineRule="auto"/>
            </w:pPr>
            <w:r>
              <w:t>Read. Circle vocabulary and underline key details.</w:t>
            </w:r>
          </w:p>
          <w:p w:rsidR="00370C67" w:rsidRDefault="00370C67" w:rsidP="00CC2A8B">
            <w:pPr>
              <w:pStyle w:val="ListParagraph"/>
              <w:numPr>
                <w:ilvl w:val="1"/>
                <w:numId w:val="1"/>
              </w:numPr>
              <w:spacing w:after="0" w:line="360" w:lineRule="auto"/>
            </w:pPr>
            <w:r>
              <w:t>Read. Write questions and interpret concepts in the margins.</w:t>
            </w:r>
          </w:p>
          <w:p w:rsidR="00370C67" w:rsidRDefault="00370C67" w:rsidP="00CC2A8B">
            <w:pPr>
              <w:pStyle w:val="ListParagraph"/>
              <w:numPr>
                <w:ilvl w:val="0"/>
                <w:numId w:val="1"/>
              </w:numPr>
              <w:spacing w:after="0" w:line="240" w:lineRule="auto"/>
            </w:pPr>
            <w:r>
              <w:t>Collect all materials at the end of the session.</w:t>
            </w:r>
          </w:p>
          <w:p w:rsidR="00370C67" w:rsidRDefault="00370C67" w:rsidP="00370C67">
            <w:pPr>
              <w:pStyle w:val="Footer"/>
              <w:rPr>
                <w:b/>
                <w:sz w:val="18"/>
                <w:szCs w:val="18"/>
              </w:rPr>
            </w:pPr>
          </w:p>
          <w:p w:rsidR="00370C67" w:rsidRPr="00370C67" w:rsidRDefault="00370C67" w:rsidP="00370C67">
            <w:pPr>
              <w:pStyle w:val="Footer"/>
              <w:rPr>
                <w:sz w:val="16"/>
                <w:szCs w:val="16"/>
              </w:rPr>
            </w:pPr>
            <w:r w:rsidRPr="00370C67">
              <w:rPr>
                <w:b/>
                <w:sz w:val="16"/>
                <w:szCs w:val="16"/>
              </w:rPr>
              <w:t>Contributing Factors:</w:t>
            </w:r>
            <w:r w:rsidRPr="00370C67">
              <w:rPr>
                <w:sz w:val="16"/>
                <w:szCs w:val="16"/>
              </w:rPr>
              <w:t xml:space="preserve"> influence, impact, promote, aid, or support the learning.</w:t>
            </w:r>
          </w:p>
          <w:p w:rsidR="00370C67" w:rsidRDefault="00370C67" w:rsidP="00CE5C39">
            <w:pPr>
              <w:pStyle w:val="Footer"/>
              <w:rPr>
                <w:sz w:val="16"/>
                <w:szCs w:val="16"/>
              </w:rPr>
            </w:pPr>
            <w:r w:rsidRPr="00370C67">
              <w:rPr>
                <w:b/>
                <w:sz w:val="16"/>
                <w:szCs w:val="16"/>
              </w:rPr>
              <w:t>Critical Factors:</w:t>
            </w:r>
            <w:r w:rsidRPr="00370C67">
              <w:rPr>
                <w:sz w:val="16"/>
                <w:szCs w:val="16"/>
              </w:rPr>
              <w:t xml:space="preserve"> are significant, vital, important, essential, or key, necessary to facilitate the learning.</w:t>
            </w:r>
          </w:p>
          <w:p w:rsidR="00CE5C39" w:rsidRPr="00CE5C39" w:rsidRDefault="00CE5C39" w:rsidP="00CE5C39">
            <w:pPr>
              <w:pStyle w:val="Footer"/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</w:tbl>
    <w:p w:rsidR="00370C67" w:rsidRDefault="00370C67" w:rsidP="00CE5C39"/>
    <w:sectPr w:rsidR="00370C67" w:rsidSect="00276AF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572EC"/>
    <w:multiLevelType w:val="hybridMultilevel"/>
    <w:tmpl w:val="15AA71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FC72FD"/>
    <w:multiLevelType w:val="hybridMultilevel"/>
    <w:tmpl w:val="29AE3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7658BB"/>
    <w:multiLevelType w:val="hybridMultilevel"/>
    <w:tmpl w:val="1FD6AEC8"/>
    <w:lvl w:ilvl="0" w:tplc="AF165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832CB9"/>
    <w:multiLevelType w:val="hybridMultilevel"/>
    <w:tmpl w:val="6422CA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DE3DC4"/>
    <w:multiLevelType w:val="hybridMultilevel"/>
    <w:tmpl w:val="96DAB88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AFF"/>
    <w:rsid w:val="002517BF"/>
    <w:rsid w:val="00276AFF"/>
    <w:rsid w:val="00370C67"/>
    <w:rsid w:val="00CE5C39"/>
    <w:rsid w:val="00FF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70C6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AF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70C6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370C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0C6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70C67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70C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70C67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70C6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70C6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AF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70C6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le">
    <w:name w:val="Title"/>
    <w:basedOn w:val="Normal"/>
    <w:link w:val="TitleChar"/>
    <w:qFormat/>
    <w:rsid w:val="00370C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370C6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370C67"/>
    <w:pPr>
      <w:ind w:left="720"/>
      <w:contextualSpacing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70C6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370C67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70C6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Catchings, Stacy</dc:creator>
  <cp:lastModifiedBy>Catchings, Stacy</cp:lastModifiedBy>
  <cp:revision>2</cp:revision>
  <dcterms:created xsi:type="dcterms:W3CDTF">2014-05-23T14:15:00Z</dcterms:created>
  <dcterms:modified xsi:type="dcterms:W3CDTF">2014-05-23T14:15:00Z</dcterms:modified>
</cp:coreProperties>
</file>