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E8637" w14:textId="56C090DA" w:rsidR="003B240D" w:rsidRDefault="001366E6" w:rsidP="003B240D">
      <w:pPr>
        <w:jc w:val="center"/>
        <w:rPr>
          <w:b/>
          <w:sz w:val="20"/>
          <w:szCs w:val="20"/>
        </w:rPr>
      </w:pPr>
      <w:r>
        <w:rPr>
          <w:b/>
          <w:sz w:val="20"/>
          <w:szCs w:val="20"/>
        </w:rPr>
        <w:t>Model Monitoring Calendar</w:t>
      </w:r>
    </w:p>
    <w:p w14:paraId="09713310" w14:textId="6DE61C4C" w:rsidR="001366E6" w:rsidRDefault="001366E6" w:rsidP="001366E6">
      <w:pPr>
        <w:rPr>
          <w:sz w:val="20"/>
          <w:szCs w:val="20"/>
        </w:rPr>
      </w:pPr>
      <w:r>
        <w:rPr>
          <w:sz w:val="20"/>
          <w:szCs w:val="20"/>
        </w:rPr>
        <w:t>Overview: C</w:t>
      </w:r>
      <w:r w:rsidRPr="001366E6">
        <w:rPr>
          <w:sz w:val="20"/>
          <w:szCs w:val="20"/>
        </w:rPr>
        <w:t xml:space="preserve">harter school authorizers conduct annual reviews of schools in order to gather the information that they will need to make high-stakes accountability decisions at the end of the school’s contract. Over the course of the school year, this means that authorizers must gather academic, organizational, and financial information about all charter schools in their portfolio. The calendar below </w:t>
      </w:r>
      <w:r>
        <w:rPr>
          <w:sz w:val="20"/>
          <w:szCs w:val="20"/>
        </w:rPr>
        <w:t>shows the points at which the Louisiana Department of Education gathers this information.</w:t>
      </w:r>
    </w:p>
    <w:p w14:paraId="0A509F97" w14:textId="77777777" w:rsidR="00C25FD7" w:rsidRDefault="00C25FD7" w:rsidP="001366E6">
      <w:pPr>
        <w:rPr>
          <w:sz w:val="20"/>
          <w:szCs w:val="20"/>
        </w:rPr>
      </w:pPr>
    </w:p>
    <w:p w14:paraId="52072C29" w14:textId="00ADC65A" w:rsidR="00C25FD7" w:rsidRPr="001366E6" w:rsidRDefault="00C25FD7" w:rsidP="001366E6">
      <w:pPr>
        <w:rPr>
          <w:sz w:val="20"/>
          <w:szCs w:val="20"/>
        </w:rPr>
      </w:pPr>
      <w:r>
        <w:rPr>
          <w:sz w:val="20"/>
          <w:szCs w:val="20"/>
        </w:rPr>
        <w:t xml:space="preserve">Note that the standards below are those included in the LDOE’s Charter School Performance Compact. Districts may adopt the LDOE’s model CSPC or create their own. </w:t>
      </w:r>
    </w:p>
    <w:p w14:paraId="7603D8B8" w14:textId="77777777" w:rsidR="003B240D" w:rsidRDefault="003B240D" w:rsidP="006B3A07">
      <w:pPr>
        <w:rPr>
          <w:b/>
          <w:sz w:val="20"/>
          <w:szCs w:val="20"/>
          <w:u w:val="single"/>
        </w:rPr>
      </w:pPr>
    </w:p>
    <w:p w14:paraId="53C7CCB6" w14:textId="77777777" w:rsidR="006E593B" w:rsidRPr="006B3A07" w:rsidRDefault="006E593B" w:rsidP="006B3A07">
      <w:pPr>
        <w:rPr>
          <w:i/>
          <w:sz w:val="20"/>
          <w:szCs w:val="20"/>
          <w:u w:val="single"/>
        </w:rPr>
      </w:pPr>
    </w:p>
    <w:tbl>
      <w:tblPr>
        <w:tblStyle w:val="TableGrid"/>
        <w:tblW w:w="14598" w:type="dxa"/>
        <w:tblLook w:val="04A0" w:firstRow="1" w:lastRow="0" w:firstColumn="1" w:lastColumn="0" w:noHBand="0" w:noVBand="1"/>
      </w:tblPr>
      <w:tblGrid>
        <w:gridCol w:w="5058"/>
        <w:gridCol w:w="5490"/>
        <w:gridCol w:w="4050"/>
      </w:tblGrid>
      <w:tr w:rsidR="001366E6" w:rsidRPr="006B3A07" w14:paraId="522B3B0B" w14:textId="5991B0E4" w:rsidTr="001366E6">
        <w:trPr>
          <w:trHeight w:val="194"/>
        </w:trPr>
        <w:tc>
          <w:tcPr>
            <w:tcW w:w="5058" w:type="dxa"/>
            <w:shd w:val="clear" w:color="auto" w:fill="B8CCE4" w:themeFill="accent1" w:themeFillTint="66"/>
            <w:vAlign w:val="center"/>
          </w:tcPr>
          <w:p w14:paraId="61BE5B20" w14:textId="036FAB7C" w:rsidR="001366E6" w:rsidRPr="001B1F32" w:rsidRDefault="001366E6" w:rsidP="001366E6">
            <w:pPr>
              <w:spacing w:before="120" w:after="120"/>
              <w:rPr>
                <w:b/>
                <w:sz w:val="20"/>
                <w:szCs w:val="20"/>
              </w:rPr>
            </w:pPr>
            <w:r>
              <w:rPr>
                <w:b/>
                <w:sz w:val="20"/>
                <w:szCs w:val="20"/>
              </w:rPr>
              <w:t>Academic Standard</w:t>
            </w:r>
          </w:p>
        </w:tc>
        <w:tc>
          <w:tcPr>
            <w:tcW w:w="5490" w:type="dxa"/>
            <w:shd w:val="clear" w:color="auto" w:fill="B8CCE4" w:themeFill="accent1" w:themeFillTint="66"/>
            <w:vAlign w:val="center"/>
          </w:tcPr>
          <w:p w14:paraId="5EBAB762" w14:textId="77777777" w:rsidR="001366E6" w:rsidRPr="001B1F32" w:rsidRDefault="001366E6" w:rsidP="001366E6">
            <w:pPr>
              <w:spacing w:before="120" w:after="120"/>
              <w:rPr>
                <w:b/>
                <w:sz w:val="20"/>
                <w:szCs w:val="20"/>
              </w:rPr>
            </w:pPr>
            <w:r w:rsidRPr="001B1F32">
              <w:rPr>
                <w:b/>
                <w:sz w:val="20"/>
                <w:szCs w:val="20"/>
              </w:rPr>
              <w:t>Indicator</w:t>
            </w:r>
          </w:p>
        </w:tc>
        <w:tc>
          <w:tcPr>
            <w:tcW w:w="4050" w:type="dxa"/>
            <w:shd w:val="clear" w:color="auto" w:fill="B8CCE4" w:themeFill="accent1" w:themeFillTint="66"/>
            <w:vAlign w:val="center"/>
          </w:tcPr>
          <w:p w14:paraId="3C1A25DC" w14:textId="5D3FF725" w:rsidR="001366E6" w:rsidRPr="001B1F32" w:rsidRDefault="001366E6" w:rsidP="001366E6">
            <w:pPr>
              <w:spacing w:before="120" w:after="120"/>
              <w:rPr>
                <w:b/>
                <w:sz w:val="20"/>
                <w:szCs w:val="20"/>
              </w:rPr>
            </w:pPr>
            <w:r>
              <w:rPr>
                <w:b/>
                <w:sz w:val="20"/>
                <w:szCs w:val="20"/>
              </w:rPr>
              <w:t>When Reviewed</w:t>
            </w:r>
          </w:p>
        </w:tc>
      </w:tr>
      <w:tr w:rsidR="001366E6" w:rsidRPr="006B3A07" w14:paraId="74AB9DE3" w14:textId="287C51EA" w:rsidTr="001366E6">
        <w:trPr>
          <w:trHeight w:val="71"/>
        </w:trPr>
        <w:tc>
          <w:tcPr>
            <w:tcW w:w="5058" w:type="dxa"/>
            <w:vMerge w:val="restart"/>
            <w:vAlign w:val="center"/>
          </w:tcPr>
          <w:p w14:paraId="5F84F1D5" w14:textId="6A5DC133" w:rsidR="001366E6" w:rsidRPr="006B3A07" w:rsidRDefault="001366E6" w:rsidP="001366E6">
            <w:pPr>
              <w:spacing w:before="120" w:after="120"/>
              <w:rPr>
                <w:sz w:val="20"/>
                <w:szCs w:val="20"/>
              </w:rPr>
            </w:pPr>
            <w:r w:rsidRPr="006B3A07">
              <w:rPr>
                <w:sz w:val="20"/>
                <w:szCs w:val="20"/>
              </w:rPr>
              <w:t>All students, regardless of background, need, or ability, are afforded an educational environment that provides them with opportunities for academic growth and achievement.</w:t>
            </w:r>
          </w:p>
        </w:tc>
        <w:tc>
          <w:tcPr>
            <w:tcW w:w="5490" w:type="dxa"/>
            <w:vAlign w:val="center"/>
          </w:tcPr>
          <w:p w14:paraId="0A3E543F" w14:textId="1DC1EEC9" w:rsidR="001366E6" w:rsidRPr="006B3A07" w:rsidRDefault="001366E6" w:rsidP="001366E6">
            <w:pPr>
              <w:spacing w:before="120" w:after="120"/>
              <w:rPr>
                <w:sz w:val="20"/>
                <w:szCs w:val="20"/>
              </w:rPr>
            </w:pPr>
            <w:r>
              <w:rPr>
                <w:sz w:val="20"/>
                <w:szCs w:val="20"/>
              </w:rPr>
              <w:t>School Performance Score</w:t>
            </w:r>
            <w:r w:rsidRPr="006B3A07">
              <w:rPr>
                <w:sz w:val="20"/>
                <w:szCs w:val="20"/>
              </w:rPr>
              <w:t xml:space="preserve"> </w:t>
            </w:r>
          </w:p>
        </w:tc>
        <w:tc>
          <w:tcPr>
            <w:tcW w:w="4050" w:type="dxa"/>
            <w:vAlign w:val="center"/>
          </w:tcPr>
          <w:p w14:paraId="14329C87" w14:textId="2FBEBD86" w:rsidR="001366E6" w:rsidRPr="006B3A07" w:rsidRDefault="001366E6" w:rsidP="001366E6">
            <w:pPr>
              <w:spacing w:before="120" w:after="120"/>
              <w:rPr>
                <w:sz w:val="20"/>
                <w:szCs w:val="20"/>
              </w:rPr>
            </w:pPr>
            <w:r>
              <w:rPr>
                <w:sz w:val="20"/>
                <w:szCs w:val="20"/>
              </w:rPr>
              <w:t>October/November</w:t>
            </w:r>
          </w:p>
        </w:tc>
      </w:tr>
      <w:tr w:rsidR="001366E6" w:rsidRPr="006B3A07" w14:paraId="60CB9027" w14:textId="77777777" w:rsidTr="001366E6">
        <w:trPr>
          <w:trHeight w:val="71"/>
        </w:trPr>
        <w:tc>
          <w:tcPr>
            <w:tcW w:w="5058" w:type="dxa"/>
            <w:vMerge/>
            <w:vAlign w:val="center"/>
          </w:tcPr>
          <w:p w14:paraId="3963DF40" w14:textId="77777777" w:rsidR="001366E6" w:rsidRPr="006B3A07" w:rsidRDefault="001366E6" w:rsidP="001366E6">
            <w:pPr>
              <w:spacing w:before="120" w:after="120"/>
              <w:rPr>
                <w:sz w:val="20"/>
                <w:szCs w:val="20"/>
              </w:rPr>
            </w:pPr>
          </w:p>
        </w:tc>
        <w:tc>
          <w:tcPr>
            <w:tcW w:w="5490" w:type="dxa"/>
            <w:vAlign w:val="center"/>
          </w:tcPr>
          <w:p w14:paraId="47787A88" w14:textId="5B6A8915" w:rsidR="001366E6" w:rsidRDefault="001366E6" w:rsidP="00AF5CF9">
            <w:pPr>
              <w:spacing w:before="120" w:after="120"/>
              <w:rPr>
                <w:sz w:val="20"/>
                <w:szCs w:val="20"/>
              </w:rPr>
            </w:pPr>
            <w:r>
              <w:rPr>
                <w:sz w:val="20"/>
                <w:szCs w:val="20"/>
              </w:rPr>
              <w:t xml:space="preserve">Leadership </w:t>
            </w:r>
            <w:r w:rsidR="00AF5CF9">
              <w:rPr>
                <w:sz w:val="20"/>
                <w:szCs w:val="20"/>
              </w:rPr>
              <w:t>conversation</w:t>
            </w:r>
          </w:p>
        </w:tc>
        <w:tc>
          <w:tcPr>
            <w:tcW w:w="4050" w:type="dxa"/>
            <w:vAlign w:val="center"/>
          </w:tcPr>
          <w:p w14:paraId="7CED4087" w14:textId="33F27212" w:rsidR="001366E6" w:rsidRPr="006B3A07" w:rsidRDefault="001366E6" w:rsidP="001366E6">
            <w:pPr>
              <w:spacing w:before="120" w:after="120"/>
              <w:rPr>
                <w:sz w:val="20"/>
                <w:szCs w:val="20"/>
              </w:rPr>
            </w:pPr>
            <w:r>
              <w:rPr>
                <w:sz w:val="20"/>
                <w:szCs w:val="20"/>
              </w:rPr>
              <w:t>Annual Visit</w:t>
            </w:r>
          </w:p>
        </w:tc>
      </w:tr>
      <w:tr w:rsidR="001366E6" w:rsidRPr="006B3A07" w14:paraId="4C9335D2" w14:textId="77777777" w:rsidTr="001366E6">
        <w:trPr>
          <w:trHeight w:val="71"/>
        </w:trPr>
        <w:tc>
          <w:tcPr>
            <w:tcW w:w="5058" w:type="dxa"/>
            <w:vMerge/>
            <w:vAlign w:val="center"/>
          </w:tcPr>
          <w:p w14:paraId="0F5EED27" w14:textId="77777777" w:rsidR="001366E6" w:rsidRPr="006B3A07" w:rsidRDefault="001366E6" w:rsidP="001366E6">
            <w:pPr>
              <w:spacing w:before="120" w:after="120"/>
              <w:rPr>
                <w:sz w:val="20"/>
                <w:szCs w:val="20"/>
              </w:rPr>
            </w:pPr>
          </w:p>
        </w:tc>
        <w:tc>
          <w:tcPr>
            <w:tcW w:w="5490" w:type="dxa"/>
            <w:vAlign w:val="center"/>
          </w:tcPr>
          <w:p w14:paraId="47BCB86D" w14:textId="7550B8BA" w:rsidR="001366E6" w:rsidRDefault="001366E6" w:rsidP="00AF5CF9">
            <w:pPr>
              <w:spacing w:before="120" w:after="120"/>
              <w:rPr>
                <w:sz w:val="20"/>
                <w:szCs w:val="20"/>
              </w:rPr>
            </w:pPr>
            <w:r>
              <w:rPr>
                <w:sz w:val="20"/>
                <w:szCs w:val="20"/>
              </w:rPr>
              <w:t xml:space="preserve">Classroom </w:t>
            </w:r>
            <w:r w:rsidR="00AF5CF9">
              <w:rPr>
                <w:sz w:val="20"/>
                <w:szCs w:val="20"/>
              </w:rPr>
              <w:t>observations</w:t>
            </w:r>
          </w:p>
        </w:tc>
        <w:tc>
          <w:tcPr>
            <w:tcW w:w="4050" w:type="dxa"/>
            <w:vAlign w:val="center"/>
          </w:tcPr>
          <w:p w14:paraId="3737D68F" w14:textId="12346E41" w:rsidR="001366E6" w:rsidRDefault="001366E6" w:rsidP="001366E6">
            <w:pPr>
              <w:spacing w:before="120" w:after="120"/>
              <w:rPr>
                <w:sz w:val="20"/>
                <w:szCs w:val="20"/>
              </w:rPr>
            </w:pPr>
            <w:r>
              <w:rPr>
                <w:sz w:val="20"/>
                <w:szCs w:val="20"/>
              </w:rPr>
              <w:t>Annual Visit</w:t>
            </w:r>
          </w:p>
        </w:tc>
      </w:tr>
    </w:tbl>
    <w:p w14:paraId="741D38B0" w14:textId="77777777" w:rsidR="006B3A07" w:rsidRDefault="006B3A07" w:rsidP="006B3A07">
      <w:pPr>
        <w:rPr>
          <w:sz w:val="20"/>
          <w:szCs w:val="20"/>
          <w:u w:val="single"/>
        </w:rPr>
      </w:pPr>
    </w:p>
    <w:p w14:paraId="323A5A7E" w14:textId="77777777" w:rsidR="00C25FD7" w:rsidRDefault="00C25FD7" w:rsidP="006B3A07">
      <w:pPr>
        <w:rPr>
          <w:b/>
          <w:sz w:val="20"/>
          <w:szCs w:val="20"/>
          <w:u w:val="single"/>
        </w:rPr>
      </w:pPr>
    </w:p>
    <w:tbl>
      <w:tblPr>
        <w:tblStyle w:val="TableGrid"/>
        <w:tblW w:w="14598" w:type="dxa"/>
        <w:tblLook w:val="04A0" w:firstRow="1" w:lastRow="0" w:firstColumn="1" w:lastColumn="0" w:noHBand="0" w:noVBand="1"/>
      </w:tblPr>
      <w:tblGrid>
        <w:gridCol w:w="5058"/>
        <w:gridCol w:w="5490"/>
        <w:gridCol w:w="4050"/>
      </w:tblGrid>
      <w:tr w:rsidR="00C25FD7" w:rsidRPr="001B1F32" w14:paraId="7111D20F" w14:textId="77777777" w:rsidTr="00C25FD7">
        <w:trPr>
          <w:trHeight w:val="194"/>
        </w:trPr>
        <w:tc>
          <w:tcPr>
            <w:tcW w:w="5058" w:type="dxa"/>
            <w:shd w:val="clear" w:color="auto" w:fill="B8CCE4" w:themeFill="accent1" w:themeFillTint="66"/>
            <w:vAlign w:val="center"/>
          </w:tcPr>
          <w:p w14:paraId="54C71C2E" w14:textId="58CAA5E0" w:rsidR="00C25FD7" w:rsidRPr="001B1F32" w:rsidRDefault="00C25FD7" w:rsidP="00C25FD7">
            <w:pPr>
              <w:spacing w:before="120" w:after="120"/>
              <w:rPr>
                <w:b/>
                <w:sz w:val="20"/>
                <w:szCs w:val="20"/>
              </w:rPr>
            </w:pPr>
            <w:r>
              <w:rPr>
                <w:b/>
                <w:sz w:val="20"/>
                <w:szCs w:val="20"/>
              </w:rPr>
              <w:t>Organizational Standard</w:t>
            </w:r>
          </w:p>
        </w:tc>
        <w:tc>
          <w:tcPr>
            <w:tcW w:w="5490" w:type="dxa"/>
            <w:shd w:val="clear" w:color="auto" w:fill="B8CCE4" w:themeFill="accent1" w:themeFillTint="66"/>
            <w:vAlign w:val="center"/>
          </w:tcPr>
          <w:p w14:paraId="759104FF" w14:textId="77777777" w:rsidR="00C25FD7" w:rsidRPr="001B1F32" w:rsidRDefault="00C25FD7" w:rsidP="00C25FD7">
            <w:pPr>
              <w:spacing w:before="120" w:after="120"/>
              <w:rPr>
                <w:b/>
                <w:sz w:val="20"/>
                <w:szCs w:val="20"/>
              </w:rPr>
            </w:pPr>
            <w:r w:rsidRPr="001B1F32">
              <w:rPr>
                <w:b/>
                <w:sz w:val="20"/>
                <w:szCs w:val="20"/>
              </w:rPr>
              <w:t>Indicator</w:t>
            </w:r>
          </w:p>
        </w:tc>
        <w:tc>
          <w:tcPr>
            <w:tcW w:w="4050" w:type="dxa"/>
            <w:shd w:val="clear" w:color="auto" w:fill="B8CCE4" w:themeFill="accent1" w:themeFillTint="66"/>
            <w:vAlign w:val="center"/>
          </w:tcPr>
          <w:p w14:paraId="5779A73E" w14:textId="77777777" w:rsidR="00C25FD7" w:rsidRPr="001B1F32" w:rsidRDefault="00C25FD7" w:rsidP="00C25FD7">
            <w:pPr>
              <w:spacing w:before="120" w:after="120"/>
              <w:rPr>
                <w:b/>
                <w:sz w:val="20"/>
                <w:szCs w:val="20"/>
              </w:rPr>
            </w:pPr>
            <w:r>
              <w:rPr>
                <w:b/>
                <w:sz w:val="20"/>
                <w:szCs w:val="20"/>
              </w:rPr>
              <w:t>When Reviewed</w:t>
            </w:r>
          </w:p>
        </w:tc>
      </w:tr>
      <w:tr w:rsidR="00C25FD7" w:rsidRPr="006B3A07" w14:paraId="379821B1" w14:textId="77777777" w:rsidTr="007847EC">
        <w:trPr>
          <w:trHeight w:val="521"/>
        </w:trPr>
        <w:tc>
          <w:tcPr>
            <w:tcW w:w="5058" w:type="dxa"/>
            <w:vMerge w:val="restart"/>
            <w:vAlign w:val="center"/>
          </w:tcPr>
          <w:p w14:paraId="53B46FCD" w14:textId="2E950275" w:rsidR="00C25FD7" w:rsidRPr="006B3A07" w:rsidRDefault="00C25FD7" w:rsidP="00C25FD7">
            <w:pPr>
              <w:spacing w:before="120" w:after="120"/>
              <w:rPr>
                <w:sz w:val="20"/>
                <w:szCs w:val="20"/>
              </w:rPr>
            </w:pPr>
            <w:r>
              <w:rPr>
                <w:sz w:val="20"/>
                <w:szCs w:val="20"/>
              </w:rPr>
              <w:t xml:space="preserve">Enrollment Standard: </w:t>
            </w:r>
            <w:r w:rsidRPr="006B3A07">
              <w:rPr>
                <w:sz w:val="20"/>
                <w:szCs w:val="20"/>
              </w:rPr>
              <w:t>Schools enroll and serv</w:t>
            </w:r>
            <w:r>
              <w:rPr>
                <w:sz w:val="20"/>
                <w:szCs w:val="20"/>
              </w:rPr>
              <w:t>e</w:t>
            </w:r>
            <w:r w:rsidRPr="006B3A07">
              <w:rPr>
                <w:sz w:val="20"/>
                <w:szCs w:val="20"/>
              </w:rPr>
              <w:t xml:space="preserve"> all students through prioritizing equity in their enrollment and discipline policies and procedures.</w:t>
            </w:r>
          </w:p>
        </w:tc>
        <w:tc>
          <w:tcPr>
            <w:tcW w:w="5490" w:type="dxa"/>
            <w:vAlign w:val="center"/>
          </w:tcPr>
          <w:p w14:paraId="4C31EA1B" w14:textId="0A5A5F7B" w:rsidR="00C25FD7" w:rsidRPr="00AF5CF9" w:rsidRDefault="00C25FD7" w:rsidP="00C25FD7">
            <w:pPr>
              <w:spacing w:before="120" w:after="120"/>
              <w:rPr>
                <w:sz w:val="20"/>
                <w:szCs w:val="20"/>
              </w:rPr>
            </w:pPr>
            <w:r w:rsidRPr="00AF5CF9">
              <w:rPr>
                <w:rFonts w:eastAsia="Times New Roman" w:cs="Times New Roman"/>
                <w:sz w:val="20"/>
                <w:szCs w:val="20"/>
              </w:rPr>
              <w:t>Student At-Risk/SWD percentage</w:t>
            </w:r>
            <w:r w:rsidR="007847EC" w:rsidRPr="00AF5CF9">
              <w:rPr>
                <w:rFonts w:eastAsia="Times New Roman" w:cs="Times New Roman"/>
                <w:sz w:val="20"/>
                <w:szCs w:val="20"/>
              </w:rPr>
              <w:t xml:space="preserve"> compared to district and state averages</w:t>
            </w:r>
          </w:p>
        </w:tc>
        <w:tc>
          <w:tcPr>
            <w:tcW w:w="4050" w:type="dxa"/>
            <w:vAlign w:val="center"/>
          </w:tcPr>
          <w:p w14:paraId="31EEF775" w14:textId="3B848938" w:rsidR="00C25FD7" w:rsidRPr="006B3A07" w:rsidRDefault="00C25FD7" w:rsidP="00C25FD7">
            <w:pPr>
              <w:spacing w:before="120" w:after="120"/>
              <w:rPr>
                <w:sz w:val="20"/>
                <w:szCs w:val="20"/>
              </w:rPr>
            </w:pPr>
            <w:r>
              <w:rPr>
                <w:sz w:val="20"/>
                <w:szCs w:val="20"/>
              </w:rPr>
              <w:t>April/May</w:t>
            </w:r>
          </w:p>
        </w:tc>
      </w:tr>
      <w:tr w:rsidR="00C25FD7" w:rsidRPr="006B3A07" w14:paraId="4EC376F1" w14:textId="77777777" w:rsidTr="00C25FD7">
        <w:trPr>
          <w:trHeight w:val="71"/>
        </w:trPr>
        <w:tc>
          <w:tcPr>
            <w:tcW w:w="5058" w:type="dxa"/>
            <w:vMerge/>
            <w:vAlign w:val="center"/>
          </w:tcPr>
          <w:p w14:paraId="62514323" w14:textId="77777777" w:rsidR="00C25FD7" w:rsidRPr="006B3A07" w:rsidRDefault="00C25FD7" w:rsidP="00C25FD7">
            <w:pPr>
              <w:spacing w:before="120" w:after="120"/>
              <w:rPr>
                <w:sz w:val="20"/>
                <w:szCs w:val="20"/>
              </w:rPr>
            </w:pPr>
          </w:p>
        </w:tc>
        <w:tc>
          <w:tcPr>
            <w:tcW w:w="5490" w:type="dxa"/>
            <w:vAlign w:val="center"/>
          </w:tcPr>
          <w:p w14:paraId="62898CA0" w14:textId="556B243F" w:rsidR="00C25FD7" w:rsidRPr="00AF5CF9" w:rsidRDefault="00C25FD7" w:rsidP="00C25FD7">
            <w:pPr>
              <w:spacing w:before="120" w:after="120"/>
              <w:rPr>
                <w:sz w:val="20"/>
                <w:szCs w:val="20"/>
              </w:rPr>
            </w:pPr>
            <w:r w:rsidRPr="00AF5CF9">
              <w:rPr>
                <w:rFonts w:eastAsia="Times New Roman" w:cs="Times New Roman"/>
                <w:sz w:val="20"/>
                <w:szCs w:val="20"/>
              </w:rPr>
              <w:t>Re-enrollment of students, overall and subgroup persiste</w:t>
            </w:r>
            <w:r w:rsidR="007847EC" w:rsidRPr="00AF5CF9">
              <w:rPr>
                <w:rFonts w:eastAsia="Times New Roman" w:cs="Times New Roman"/>
                <w:sz w:val="20"/>
                <w:szCs w:val="20"/>
              </w:rPr>
              <w:t>nce compared to district and state averages</w:t>
            </w:r>
          </w:p>
        </w:tc>
        <w:tc>
          <w:tcPr>
            <w:tcW w:w="4050" w:type="dxa"/>
            <w:vAlign w:val="center"/>
          </w:tcPr>
          <w:p w14:paraId="51E4BA14" w14:textId="63006195" w:rsidR="00C25FD7" w:rsidRPr="006B3A07" w:rsidRDefault="00C25FD7" w:rsidP="00C25FD7">
            <w:pPr>
              <w:spacing w:before="120" w:after="120"/>
              <w:rPr>
                <w:sz w:val="20"/>
                <w:szCs w:val="20"/>
              </w:rPr>
            </w:pPr>
            <w:r>
              <w:rPr>
                <w:rFonts w:eastAsia="Times New Roman" w:cs="Times New Roman"/>
                <w:sz w:val="20"/>
                <w:szCs w:val="20"/>
              </w:rPr>
              <w:t>April/May</w:t>
            </w:r>
          </w:p>
        </w:tc>
      </w:tr>
      <w:tr w:rsidR="00C25FD7" w14:paraId="1E1B8932" w14:textId="77777777" w:rsidTr="00C25FD7">
        <w:trPr>
          <w:trHeight w:val="71"/>
        </w:trPr>
        <w:tc>
          <w:tcPr>
            <w:tcW w:w="5058" w:type="dxa"/>
            <w:vMerge/>
            <w:vAlign w:val="center"/>
          </w:tcPr>
          <w:p w14:paraId="3BB6E80C" w14:textId="77777777" w:rsidR="00C25FD7" w:rsidRPr="006B3A07" w:rsidRDefault="00C25FD7" w:rsidP="00C25FD7">
            <w:pPr>
              <w:spacing w:before="120" w:after="120"/>
              <w:rPr>
                <w:sz w:val="20"/>
                <w:szCs w:val="20"/>
              </w:rPr>
            </w:pPr>
          </w:p>
        </w:tc>
        <w:tc>
          <w:tcPr>
            <w:tcW w:w="5490" w:type="dxa"/>
            <w:vAlign w:val="center"/>
          </w:tcPr>
          <w:p w14:paraId="72F0EECC" w14:textId="385FFC9F" w:rsidR="00C25FD7" w:rsidRPr="00AF5CF9" w:rsidRDefault="00C25FD7" w:rsidP="00C25FD7">
            <w:pPr>
              <w:spacing w:before="120" w:after="120"/>
              <w:rPr>
                <w:sz w:val="20"/>
                <w:szCs w:val="20"/>
              </w:rPr>
            </w:pPr>
            <w:r w:rsidRPr="00AF5CF9">
              <w:rPr>
                <w:rFonts w:eastAsia="Times New Roman" w:cs="Times New Roman"/>
                <w:sz w:val="20"/>
                <w:szCs w:val="20"/>
              </w:rPr>
              <w:t>Suspension rate, length, rates by subgroup, rate by grade (in school and out of school)</w:t>
            </w:r>
            <w:r w:rsidR="007847EC" w:rsidRPr="00AF5CF9">
              <w:rPr>
                <w:rFonts w:eastAsia="Times New Roman" w:cs="Times New Roman"/>
                <w:sz w:val="20"/>
                <w:szCs w:val="20"/>
              </w:rPr>
              <w:t xml:space="preserve"> compared to district and state averages</w:t>
            </w:r>
          </w:p>
        </w:tc>
        <w:tc>
          <w:tcPr>
            <w:tcW w:w="4050" w:type="dxa"/>
            <w:vAlign w:val="center"/>
          </w:tcPr>
          <w:p w14:paraId="2005EB2B" w14:textId="14567DD3" w:rsidR="00C25FD7" w:rsidRDefault="00C25FD7" w:rsidP="00C25FD7">
            <w:pPr>
              <w:spacing w:before="120" w:after="120"/>
              <w:rPr>
                <w:sz w:val="20"/>
                <w:szCs w:val="20"/>
              </w:rPr>
            </w:pPr>
            <w:r>
              <w:rPr>
                <w:sz w:val="20"/>
                <w:szCs w:val="20"/>
              </w:rPr>
              <w:t>April/May</w:t>
            </w:r>
          </w:p>
        </w:tc>
      </w:tr>
      <w:tr w:rsidR="00C25FD7" w14:paraId="4C2AA738" w14:textId="77777777" w:rsidTr="00C25FD7">
        <w:trPr>
          <w:trHeight w:val="71"/>
        </w:trPr>
        <w:tc>
          <w:tcPr>
            <w:tcW w:w="5058" w:type="dxa"/>
            <w:vMerge/>
            <w:vAlign w:val="center"/>
          </w:tcPr>
          <w:p w14:paraId="370A555A" w14:textId="77777777" w:rsidR="00C25FD7" w:rsidRPr="006B3A07" w:rsidRDefault="00C25FD7" w:rsidP="00C25FD7">
            <w:pPr>
              <w:spacing w:before="120" w:after="120"/>
              <w:rPr>
                <w:sz w:val="20"/>
                <w:szCs w:val="20"/>
              </w:rPr>
            </w:pPr>
          </w:p>
        </w:tc>
        <w:tc>
          <w:tcPr>
            <w:tcW w:w="5490" w:type="dxa"/>
            <w:vAlign w:val="center"/>
          </w:tcPr>
          <w:p w14:paraId="227932E4" w14:textId="56C0E43D" w:rsidR="00C25FD7" w:rsidRPr="00AF5CF9" w:rsidRDefault="00C25FD7" w:rsidP="00C25FD7">
            <w:pPr>
              <w:spacing w:before="120" w:after="120"/>
              <w:rPr>
                <w:sz w:val="20"/>
                <w:szCs w:val="20"/>
              </w:rPr>
            </w:pPr>
            <w:r w:rsidRPr="00AF5CF9">
              <w:rPr>
                <w:rFonts w:eastAsia="Times New Roman" w:cs="Times New Roman"/>
                <w:sz w:val="20"/>
                <w:szCs w:val="20"/>
              </w:rPr>
              <w:t>Expulsion rate, rate by subgroup</w:t>
            </w:r>
            <w:r w:rsidR="007847EC" w:rsidRPr="00AF5CF9">
              <w:rPr>
                <w:rFonts w:eastAsia="Times New Roman" w:cs="Times New Roman"/>
                <w:sz w:val="20"/>
                <w:szCs w:val="20"/>
              </w:rPr>
              <w:t xml:space="preserve"> compared to district and state averages</w:t>
            </w:r>
          </w:p>
        </w:tc>
        <w:tc>
          <w:tcPr>
            <w:tcW w:w="4050" w:type="dxa"/>
            <w:vAlign w:val="center"/>
          </w:tcPr>
          <w:p w14:paraId="1EA21C76" w14:textId="5525CC96" w:rsidR="00C25FD7" w:rsidRDefault="00C25FD7" w:rsidP="00C25FD7">
            <w:pPr>
              <w:spacing w:before="120" w:after="120"/>
              <w:rPr>
                <w:sz w:val="20"/>
                <w:szCs w:val="20"/>
              </w:rPr>
            </w:pPr>
            <w:r>
              <w:rPr>
                <w:sz w:val="20"/>
                <w:szCs w:val="20"/>
              </w:rPr>
              <w:t>April/May</w:t>
            </w:r>
          </w:p>
        </w:tc>
      </w:tr>
      <w:tr w:rsidR="00C25FD7" w14:paraId="04E5D157" w14:textId="77777777" w:rsidTr="00C25FD7">
        <w:trPr>
          <w:trHeight w:val="71"/>
        </w:trPr>
        <w:tc>
          <w:tcPr>
            <w:tcW w:w="5058" w:type="dxa"/>
            <w:vMerge/>
            <w:vAlign w:val="center"/>
          </w:tcPr>
          <w:p w14:paraId="4F07ACC6" w14:textId="77777777" w:rsidR="00C25FD7" w:rsidRPr="006B3A07" w:rsidRDefault="00C25FD7" w:rsidP="00C25FD7">
            <w:pPr>
              <w:spacing w:before="120" w:after="120"/>
              <w:rPr>
                <w:sz w:val="20"/>
                <w:szCs w:val="20"/>
              </w:rPr>
            </w:pPr>
          </w:p>
        </w:tc>
        <w:tc>
          <w:tcPr>
            <w:tcW w:w="5490" w:type="dxa"/>
            <w:vAlign w:val="center"/>
          </w:tcPr>
          <w:p w14:paraId="747C17F2" w14:textId="4100DC44" w:rsidR="00C25FD7" w:rsidRPr="00AF5CF9" w:rsidRDefault="00C25FD7" w:rsidP="00C25FD7">
            <w:pPr>
              <w:spacing w:before="120" w:after="120"/>
              <w:rPr>
                <w:sz w:val="20"/>
                <w:szCs w:val="20"/>
              </w:rPr>
            </w:pPr>
            <w:r w:rsidRPr="00AF5CF9">
              <w:rPr>
                <w:rFonts w:ascii="Calibri" w:eastAsia="Times New Roman" w:hAnsi="Calibri" w:cs="Times New Roman"/>
                <w:color w:val="000000"/>
                <w:sz w:val="20"/>
                <w:szCs w:val="20"/>
              </w:rPr>
              <w:t>Review of Student Handbook/Discipline Manual</w:t>
            </w:r>
            <w:r w:rsidR="007847EC" w:rsidRPr="00AF5CF9">
              <w:rPr>
                <w:rFonts w:ascii="Calibri" w:eastAsia="Times New Roman" w:hAnsi="Calibri" w:cs="Times New Roman"/>
                <w:color w:val="000000"/>
                <w:sz w:val="20"/>
                <w:szCs w:val="20"/>
              </w:rPr>
              <w:t xml:space="preserve"> to ensure compliance with law and policy</w:t>
            </w:r>
          </w:p>
        </w:tc>
        <w:tc>
          <w:tcPr>
            <w:tcW w:w="4050" w:type="dxa"/>
            <w:vAlign w:val="center"/>
          </w:tcPr>
          <w:p w14:paraId="57AF8DF5" w14:textId="26267487" w:rsidR="00C25FD7" w:rsidRDefault="00C25FD7" w:rsidP="00C25FD7">
            <w:pPr>
              <w:spacing w:before="120" w:after="120"/>
              <w:rPr>
                <w:sz w:val="20"/>
                <w:szCs w:val="20"/>
              </w:rPr>
            </w:pPr>
            <w:r>
              <w:rPr>
                <w:sz w:val="20"/>
                <w:szCs w:val="20"/>
              </w:rPr>
              <w:t>September</w:t>
            </w:r>
          </w:p>
        </w:tc>
      </w:tr>
      <w:tr w:rsidR="00C25FD7" w14:paraId="06D3C7CF" w14:textId="77777777" w:rsidTr="00C25FD7">
        <w:trPr>
          <w:trHeight w:val="71"/>
        </w:trPr>
        <w:tc>
          <w:tcPr>
            <w:tcW w:w="5058" w:type="dxa"/>
            <w:vMerge/>
            <w:vAlign w:val="center"/>
          </w:tcPr>
          <w:p w14:paraId="11FB00D1" w14:textId="77777777" w:rsidR="00C25FD7" w:rsidRPr="006B3A07" w:rsidRDefault="00C25FD7" w:rsidP="00C25FD7">
            <w:pPr>
              <w:spacing w:before="120" w:after="120"/>
              <w:rPr>
                <w:sz w:val="20"/>
                <w:szCs w:val="20"/>
              </w:rPr>
            </w:pPr>
          </w:p>
        </w:tc>
        <w:tc>
          <w:tcPr>
            <w:tcW w:w="5490" w:type="dxa"/>
            <w:vAlign w:val="center"/>
          </w:tcPr>
          <w:p w14:paraId="655AFE82" w14:textId="19184162" w:rsidR="00C25FD7" w:rsidRPr="00AF5CF9" w:rsidRDefault="00C25FD7" w:rsidP="00C25FD7">
            <w:pPr>
              <w:spacing w:before="120" w:after="120"/>
              <w:rPr>
                <w:sz w:val="20"/>
                <w:szCs w:val="20"/>
              </w:rPr>
            </w:pPr>
            <w:r w:rsidRPr="00AF5CF9">
              <w:rPr>
                <w:rFonts w:ascii="Calibri" w:eastAsia="Times New Roman" w:hAnsi="Calibri" w:cs="Times New Roman"/>
                <w:color w:val="000000"/>
                <w:sz w:val="20"/>
                <w:szCs w:val="20"/>
              </w:rPr>
              <w:t xml:space="preserve">Review of </w:t>
            </w:r>
            <w:r w:rsidR="007847EC" w:rsidRPr="00AF5CF9">
              <w:rPr>
                <w:rFonts w:ascii="Calibri" w:eastAsia="Times New Roman" w:hAnsi="Calibri" w:cs="Times New Roman"/>
                <w:color w:val="000000"/>
                <w:sz w:val="20"/>
                <w:szCs w:val="20"/>
              </w:rPr>
              <w:t>charter school w</w:t>
            </w:r>
            <w:r w:rsidRPr="00AF5CF9">
              <w:rPr>
                <w:rFonts w:ascii="Calibri" w:eastAsia="Times New Roman" w:hAnsi="Calibri" w:cs="Times New Roman"/>
                <w:color w:val="000000"/>
                <w:sz w:val="20"/>
                <w:szCs w:val="20"/>
              </w:rPr>
              <w:t>ebsite</w:t>
            </w:r>
          </w:p>
        </w:tc>
        <w:tc>
          <w:tcPr>
            <w:tcW w:w="4050" w:type="dxa"/>
            <w:vAlign w:val="center"/>
          </w:tcPr>
          <w:p w14:paraId="6EE29DFC" w14:textId="2C51374F" w:rsidR="00C25FD7" w:rsidRDefault="00C25FD7" w:rsidP="00C25FD7">
            <w:pPr>
              <w:spacing w:before="120" w:after="120"/>
              <w:rPr>
                <w:sz w:val="20"/>
                <w:szCs w:val="20"/>
              </w:rPr>
            </w:pPr>
            <w:r>
              <w:rPr>
                <w:sz w:val="20"/>
                <w:szCs w:val="20"/>
              </w:rPr>
              <w:t>September</w:t>
            </w:r>
          </w:p>
        </w:tc>
      </w:tr>
      <w:tr w:rsidR="00C25FD7" w14:paraId="06896464" w14:textId="77777777" w:rsidTr="00C25FD7">
        <w:trPr>
          <w:trHeight w:val="71"/>
        </w:trPr>
        <w:tc>
          <w:tcPr>
            <w:tcW w:w="5058" w:type="dxa"/>
            <w:vMerge/>
            <w:vAlign w:val="center"/>
          </w:tcPr>
          <w:p w14:paraId="3074814C" w14:textId="77777777" w:rsidR="00C25FD7" w:rsidRPr="006B3A07" w:rsidRDefault="00C25FD7" w:rsidP="00C25FD7">
            <w:pPr>
              <w:spacing w:before="120" w:after="120"/>
              <w:rPr>
                <w:sz w:val="20"/>
                <w:szCs w:val="20"/>
              </w:rPr>
            </w:pPr>
          </w:p>
        </w:tc>
        <w:tc>
          <w:tcPr>
            <w:tcW w:w="5490" w:type="dxa"/>
            <w:vAlign w:val="center"/>
          </w:tcPr>
          <w:p w14:paraId="00911A4E" w14:textId="2647C075" w:rsidR="00C25FD7" w:rsidRDefault="00C25FD7" w:rsidP="00C25FD7">
            <w:pPr>
              <w:spacing w:before="120" w:after="120"/>
              <w:rPr>
                <w:sz w:val="20"/>
                <w:szCs w:val="20"/>
              </w:rPr>
            </w:pPr>
            <w:r>
              <w:rPr>
                <w:rFonts w:ascii="Calibri" w:eastAsia="Times New Roman" w:hAnsi="Calibri" w:cs="Times New Roman"/>
                <w:color w:val="000000"/>
                <w:sz w:val="20"/>
                <w:szCs w:val="20"/>
              </w:rPr>
              <w:t>Review of Recruitment/Enrollment Procedures</w:t>
            </w:r>
          </w:p>
        </w:tc>
        <w:tc>
          <w:tcPr>
            <w:tcW w:w="4050" w:type="dxa"/>
            <w:vAlign w:val="center"/>
          </w:tcPr>
          <w:p w14:paraId="59AABFB5" w14:textId="42C3AA7D" w:rsidR="00C25FD7" w:rsidRDefault="00C25FD7" w:rsidP="00C25FD7">
            <w:pPr>
              <w:spacing w:before="120" w:after="120"/>
              <w:rPr>
                <w:sz w:val="20"/>
                <w:szCs w:val="20"/>
              </w:rPr>
            </w:pPr>
            <w:r>
              <w:rPr>
                <w:sz w:val="20"/>
                <w:szCs w:val="20"/>
              </w:rPr>
              <w:t>July/August</w:t>
            </w:r>
          </w:p>
        </w:tc>
      </w:tr>
      <w:tr w:rsidR="00C25FD7" w14:paraId="788CC582" w14:textId="77777777" w:rsidTr="00C25FD7">
        <w:trPr>
          <w:trHeight w:val="71"/>
        </w:trPr>
        <w:tc>
          <w:tcPr>
            <w:tcW w:w="5058" w:type="dxa"/>
            <w:vMerge/>
            <w:vAlign w:val="center"/>
          </w:tcPr>
          <w:p w14:paraId="03AD7C32" w14:textId="77777777" w:rsidR="00C25FD7" w:rsidRPr="006B3A07" w:rsidRDefault="00C25FD7" w:rsidP="00C25FD7">
            <w:pPr>
              <w:spacing w:before="120" w:after="120"/>
              <w:rPr>
                <w:sz w:val="20"/>
                <w:szCs w:val="20"/>
              </w:rPr>
            </w:pPr>
          </w:p>
        </w:tc>
        <w:tc>
          <w:tcPr>
            <w:tcW w:w="5490" w:type="dxa"/>
            <w:vAlign w:val="center"/>
          </w:tcPr>
          <w:p w14:paraId="31823373" w14:textId="05C07F68" w:rsidR="00C25FD7" w:rsidRDefault="00C25FD7" w:rsidP="00AF5CF9">
            <w:pPr>
              <w:spacing w:before="120" w:after="120"/>
              <w:rPr>
                <w:sz w:val="20"/>
                <w:szCs w:val="20"/>
              </w:rPr>
            </w:pPr>
            <w:r>
              <w:rPr>
                <w:rFonts w:ascii="Calibri" w:eastAsia="Times New Roman" w:hAnsi="Calibri" w:cs="Times New Roman"/>
                <w:color w:val="000000"/>
                <w:sz w:val="20"/>
                <w:szCs w:val="20"/>
              </w:rPr>
              <w:t xml:space="preserve">Community </w:t>
            </w:r>
            <w:r w:rsidR="00AF5CF9">
              <w:rPr>
                <w:rFonts w:ascii="Calibri" w:eastAsia="Times New Roman" w:hAnsi="Calibri" w:cs="Times New Roman"/>
                <w:color w:val="000000"/>
                <w:sz w:val="20"/>
                <w:szCs w:val="20"/>
              </w:rPr>
              <w:t>concerns</w:t>
            </w:r>
          </w:p>
        </w:tc>
        <w:tc>
          <w:tcPr>
            <w:tcW w:w="4050" w:type="dxa"/>
            <w:vAlign w:val="center"/>
          </w:tcPr>
          <w:p w14:paraId="6AFC9FD6" w14:textId="6770609D" w:rsidR="00C25FD7" w:rsidRDefault="00C25FD7" w:rsidP="00C25FD7">
            <w:pPr>
              <w:spacing w:before="120" w:after="120"/>
              <w:rPr>
                <w:sz w:val="20"/>
                <w:szCs w:val="20"/>
              </w:rPr>
            </w:pPr>
            <w:r>
              <w:rPr>
                <w:sz w:val="20"/>
                <w:szCs w:val="20"/>
              </w:rPr>
              <w:t>Upon Receipt</w:t>
            </w:r>
          </w:p>
        </w:tc>
      </w:tr>
      <w:tr w:rsidR="00C25FD7" w14:paraId="583C1B94" w14:textId="77777777" w:rsidTr="00AF5CF9">
        <w:trPr>
          <w:trHeight w:val="71"/>
        </w:trPr>
        <w:tc>
          <w:tcPr>
            <w:tcW w:w="5058" w:type="dxa"/>
            <w:vMerge w:val="restart"/>
            <w:vAlign w:val="center"/>
          </w:tcPr>
          <w:p w14:paraId="0181E5DC" w14:textId="77777777" w:rsidR="00C25FD7" w:rsidRDefault="00C25FD7" w:rsidP="00AF5CF9">
            <w:pPr>
              <w:spacing w:before="120" w:after="120"/>
              <w:rPr>
                <w:sz w:val="20"/>
                <w:szCs w:val="20"/>
              </w:rPr>
            </w:pPr>
          </w:p>
          <w:p w14:paraId="6F5BCCCF" w14:textId="77777777" w:rsidR="00C25FD7" w:rsidRDefault="00C25FD7" w:rsidP="00AF5CF9">
            <w:pPr>
              <w:spacing w:before="120" w:after="120"/>
              <w:rPr>
                <w:sz w:val="20"/>
                <w:szCs w:val="20"/>
              </w:rPr>
            </w:pPr>
          </w:p>
          <w:p w14:paraId="2FCD21A1" w14:textId="77777777" w:rsidR="00C25FD7" w:rsidRDefault="00C25FD7" w:rsidP="00AF5CF9">
            <w:pPr>
              <w:spacing w:before="120" w:after="120"/>
              <w:rPr>
                <w:sz w:val="20"/>
                <w:szCs w:val="20"/>
              </w:rPr>
            </w:pPr>
          </w:p>
          <w:p w14:paraId="6B8FE93D" w14:textId="77777777" w:rsidR="00C25FD7" w:rsidRDefault="00C25FD7" w:rsidP="00AF5CF9">
            <w:pPr>
              <w:spacing w:before="120" w:after="120"/>
              <w:rPr>
                <w:sz w:val="20"/>
                <w:szCs w:val="20"/>
              </w:rPr>
            </w:pPr>
          </w:p>
          <w:p w14:paraId="0AF3BB81" w14:textId="77777777" w:rsidR="00C25FD7" w:rsidRDefault="00C25FD7" w:rsidP="00AF5CF9">
            <w:pPr>
              <w:spacing w:before="120" w:after="120"/>
              <w:rPr>
                <w:sz w:val="20"/>
                <w:szCs w:val="20"/>
              </w:rPr>
            </w:pPr>
          </w:p>
          <w:p w14:paraId="436CFE88" w14:textId="77777777" w:rsidR="00C25FD7" w:rsidRDefault="00C25FD7" w:rsidP="00AF5CF9">
            <w:pPr>
              <w:spacing w:before="120" w:after="120"/>
              <w:rPr>
                <w:sz w:val="20"/>
                <w:szCs w:val="20"/>
              </w:rPr>
            </w:pPr>
          </w:p>
          <w:p w14:paraId="0CE1B3C0" w14:textId="7187D5BB" w:rsidR="00C25FD7" w:rsidRPr="006B3A07" w:rsidRDefault="00C25FD7" w:rsidP="00AF5CF9">
            <w:pPr>
              <w:spacing w:before="120" w:after="120"/>
              <w:rPr>
                <w:sz w:val="20"/>
                <w:szCs w:val="20"/>
              </w:rPr>
            </w:pPr>
            <w:r>
              <w:rPr>
                <w:sz w:val="20"/>
                <w:szCs w:val="20"/>
              </w:rPr>
              <w:t>Special Populations Standard:</w:t>
            </w:r>
            <w:r w:rsidRPr="006B3A07">
              <w:rPr>
                <w:sz w:val="20"/>
                <w:szCs w:val="20"/>
              </w:rPr>
              <w:t xml:space="preserve"> All special student populations receiv</w:t>
            </w:r>
            <w:r>
              <w:rPr>
                <w:sz w:val="20"/>
                <w:szCs w:val="20"/>
              </w:rPr>
              <w:t>e</w:t>
            </w:r>
            <w:r w:rsidRPr="006B3A07">
              <w:rPr>
                <w:sz w:val="20"/>
                <w:szCs w:val="20"/>
              </w:rPr>
              <w:t xml:space="preserve"> the services and supports they need to ensure academic success in accordance with applicable law and policy.</w:t>
            </w:r>
          </w:p>
        </w:tc>
        <w:tc>
          <w:tcPr>
            <w:tcW w:w="5490" w:type="dxa"/>
            <w:vAlign w:val="center"/>
          </w:tcPr>
          <w:p w14:paraId="49B97476" w14:textId="11F321CB" w:rsidR="00C25FD7" w:rsidRPr="006B3A07" w:rsidRDefault="00C25FD7" w:rsidP="00C25FD7">
            <w:pPr>
              <w:spacing w:before="120" w:after="120"/>
              <w:rPr>
                <w:rFonts w:eastAsia="Times New Roman" w:cs="Times New Roman"/>
                <w:sz w:val="20"/>
                <w:szCs w:val="20"/>
              </w:rPr>
            </w:pPr>
            <w:r>
              <w:rPr>
                <w:sz w:val="20"/>
                <w:szCs w:val="20"/>
              </w:rPr>
              <w:t>Subgroup SPS</w:t>
            </w:r>
          </w:p>
        </w:tc>
        <w:tc>
          <w:tcPr>
            <w:tcW w:w="4050" w:type="dxa"/>
            <w:vAlign w:val="center"/>
          </w:tcPr>
          <w:p w14:paraId="6AB5B70B" w14:textId="69715C3F" w:rsidR="00C25FD7" w:rsidRDefault="00C25FD7" w:rsidP="00C25FD7">
            <w:pPr>
              <w:spacing w:before="120" w:after="120"/>
              <w:rPr>
                <w:sz w:val="20"/>
                <w:szCs w:val="20"/>
              </w:rPr>
            </w:pPr>
            <w:r>
              <w:rPr>
                <w:sz w:val="20"/>
                <w:szCs w:val="20"/>
              </w:rPr>
              <w:t>October/November</w:t>
            </w:r>
          </w:p>
        </w:tc>
      </w:tr>
      <w:tr w:rsidR="00C25FD7" w14:paraId="66AF813F" w14:textId="77777777" w:rsidTr="00C25FD7">
        <w:trPr>
          <w:trHeight w:val="71"/>
        </w:trPr>
        <w:tc>
          <w:tcPr>
            <w:tcW w:w="5058" w:type="dxa"/>
            <w:vMerge/>
            <w:vAlign w:val="center"/>
          </w:tcPr>
          <w:p w14:paraId="43034909" w14:textId="77777777" w:rsidR="00C25FD7" w:rsidRDefault="00C25FD7" w:rsidP="00C25FD7">
            <w:pPr>
              <w:spacing w:before="120" w:after="120"/>
              <w:rPr>
                <w:sz w:val="20"/>
                <w:szCs w:val="20"/>
              </w:rPr>
            </w:pPr>
          </w:p>
        </w:tc>
        <w:tc>
          <w:tcPr>
            <w:tcW w:w="5490" w:type="dxa"/>
            <w:vAlign w:val="center"/>
          </w:tcPr>
          <w:p w14:paraId="7015A620" w14:textId="3764115C" w:rsidR="00C25FD7" w:rsidRPr="006B3A07" w:rsidRDefault="00C25FD7" w:rsidP="00C25FD7">
            <w:pPr>
              <w:spacing w:before="120" w:after="120"/>
              <w:rPr>
                <w:rFonts w:eastAsia="Times New Roman" w:cs="Times New Roman"/>
                <w:sz w:val="20"/>
                <w:szCs w:val="20"/>
              </w:rPr>
            </w:pPr>
            <w:r>
              <w:rPr>
                <w:sz w:val="20"/>
                <w:szCs w:val="20"/>
              </w:rPr>
              <w:t>Evaluation timeline compliance</w:t>
            </w:r>
          </w:p>
        </w:tc>
        <w:tc>
          <w:tcPr>
            <w:tcW w:w="4050" w:type="dxa"/>
            <w:vAlign w:val="center"/>
          </w:tcPr>
          <w:p w14:paraId="0992FAE3" w14:textId="3CECD778" w:rsidR="00C25FD7" w:rsidRDefault="00C25FD7" w:rsidP="00C25FD7">
            <w:pPr>
              <w:spacing w:before="120" w:after="120"/>
              <w:rPr>
                <w:sz w:val="20"/>
                <w:szCs w:val="20"/>
              </w:rPr>
            </w:pPr>
            <w:r>
              <w:rPr>
                <w:sz w:val="20"/>
                <w:szCs w:val="20"/>
              </w:rPr>
              <w:t>January/February</w:t>
            </w:r>
          </w:p>
        </w:tc>
      </w:tr>
      <w:tr w:rsidR="00C25FD7" w14:paraId="06EE5978" w14:textId="77777777" w:rsidTr="00C25FD7">
        <w:trPr>
          <w:trHeight w:val="71"/>
        </w:trPr>
        <w:tc>
          <w:tcPr>
            <w:tcW w:w="5058" w:type="dxa"/>
            <w:vMerge/>
            <w:vAlign w:val="center"/>
          </w:tcPr>
          <w:p w14:paraId="63E52C84" w14:textId="77777777" w:rsidR="00C25FD7" w:rsidRDefault="00C25FD7" w:rsidP="00C25FD7">
            <w:pPr>
              <w:spacing w:before="120" w:after="120"/>
              <w:rPr>
                <w:sz w:val="20"/>
                <w:szCs w:val="20"/>
              </w:rPr>
            </w:pPr>
          </w:p>
        </w:tc>
        <w:tc>
          <w:tcPr>
            <w:tcW w:w="5490" w:type="dxa"/>
            <w:vAlign w:val="center"/>
          </w:tcPr>
          <w:p w14:paraId="69E9BDDC" w14:textId="14FABB22" w:rsidR="00C25FD7" w:rsidRPr="006B3A07" w:rsidRDefault="00C25FD7" w:rsidP="00C25FD7">
            <w:pPr>
              <w:spacing w:before="120" w:after="120"/>
              <w:rPr>
                <w:rFonts w:eastAsia="Times New Roman" w:cs="Times New Roman"/>
                <w:sz w:val="20"/>
                <w:szCs w:val="20"/>
              </w:rPr>
            </w:pPr>
            <w:r>
              <w:rPr>
                <w:sz w:val="20"/>
                <w:szCs w:val="20"/>
              </w:rPr>
              <w:t>IEP compliance in SER, current year February 1</w:t>
            </w:r>
          </w:p>
        </w:tc>
        <w:tc>
          <w:tcPr>
            <w:tcW w:w="4050" w:type="dxa"/>
            <w:vAlign w:val="center"/>
          </w:tcPr>
          <w:p w14:paraId="47258F11" w14:textId="6512F6BA" w:rsidR="00C25FD7" w:rsidRDefault="00C25FD7" w:rsidP="00C25FD7">
            <w:pPr>
              <w:spacing w:before="120" w:after="120"/>
              <w:rPr>
                <w:sz w:val="20"/>
                <w:szCs w:val="20"/>
              </w:rPr>
            </w:pPr>
            <w:r>
              <w:rPr>
                <w:sz w:val="20"/>
                <w:szCs w:val="20"/>
              </w:rPr>
              <w:t>July/August</w:t>
            </w:r>
          </w:p>
        </w:tc>
      </w:tr>
      <w:tr w:rsidR="00C25FD7" w14:paraId="59EFB34B" w14:textId="77777777" w:rsidTr="00C25FD7">
        <w:trPr>
          <w:trHeight w:val="71"/>
        </w:trPr>
        <w:tc>
          <w:tcPr>
            <w:tcW w:w="5058" w:type="dxa"/>
            <w:vMerge/>
            <w:vAlign w:val="center"/>
          </w:tcPr>
          <w:p w14:paraId="5900AEA4" w14:textId="77777777" w:rsidR="00C25FD7" w:rsidRDefault="00C25FD7" w:rsidP="00C25FD7">
            <w:pPr>
              <w:spacing w:before="120" w:after="120"/>
              <w:rPr>
                <w:sz w:val="20"/>
                <w:szCs w:val="20"/>
              </w:rPr>
            </w:pPr>
          </w:p>
        </w:tc>
        <w:tc>
          <w:tcPr>
            <w:tcW w:w="5490" w:type="dxa"/>
            <w:vAlign w:val="center"/>
          </w:tcPr>
          <w:p w14:paraId="0A38AB5D" w14:textId="77CA0EAD" w:rsidR="00C25FD7" w:rsidRPr="00AF5CF9" w:rsidRDefault="007847EC" w:rsidP="00C25FD7">
            <w:pPr>
              <w:spacing w:before="120" w:after="120"/>
              <w:rPr>
                <w:rFonts w:eastAsia="Times New Roman" w:cs="Times New Roman"/>
                <w:sz w:val="20"/>
                <w:szCs w:val="20"/>
              </w:rPr>
            </w:pPr>
            <w:r w:rsidRPr="00AF5CF9">
              <w:rPr>
                <w:rFonts w:ascii="Calibri" w:eastAsia="Times New Roman" w:hAnsi="Calibri" w:cs="Times New Roman"/>
                <w:color w:val="000000"/>
                <w:sz w:val="20"/>
                <w:szCs w:val="20"/>
              </w:rPr>
              <w:t xml:space="preserve">On-site </w:t>
            </w:r>
            <w:r w:rsidR="00C25FD7" w:rsidRPr="00AF5CF9">
              <w:rPr>
                <w:rFonts w:ascii="Calibri" w:eastAsia="Times New Roman" w:hAnsi="Calibri" w:cs="Times New Roman"/>
                <w:color w:val="000000"/>
                <w:sz w:val="20"/>
                <w:szCs w:val="20"/>
              </w:rPr>
              <w:t>SWD folder compliance spot check</w:t>
            </w:r>
          </w:p>
        </w:tc>
        <w:tc>
          <w:tcPr>
            <w:tcW w:w="4050" w:type="dxa"/>
            <w:vAlign w:val="center"/>
          </w:tcPr>
          <w:p w14:paraId="3B12C3D6" w14:textId="23901922" w:rsidR="00C25FD7" w:rsidRDefault="00C25FD7" w:rsidP="00C25FD7">
            <w:pPr>
              <w:spacing w:before="120" w:after="120"/>
              <w:rPr>
                <w:sz w:val="20"/>
                <w:szCs w:val="20"/>
              </w:rPr>
            </w:pPr>
            <w:r>
              <w:rPr>
                <w:sz w:val="20"/>
                <w:szCs w:val="20"/>
              </w:rPr>
              <w:t>Annual Visit</w:t>
            </w:r>
          </w:p>
        </w:tc>
      </w:tr>
      <w:tr w:rsidR="00C25FD7" w14:paraId="0EA95252" w14:textId="77777777" w:rsidTr="00C25FD7">
        <w:trPr>
          <w:trHeight w:val="71"/>
        </w:trPr>
        <w:tc>
          <w:tcPr>
            <w:tcW w:w="5058" w:type="dxa"/>
            <w:vMerge/>
            <w:vAlign w:val="center"/>
          </w:tcPr>
          <w:p w14:paraId="51507E11" w14:textId="77777777" w:rsidR="00C25FD7" w:rsidRDefault="00C25FD7" w:rsidP="00C25FD7">
            <w:pPr>
              <w:spacing w:before="120" w:after="120"/>
              <w:rPr>
                <w:sz w:val="20"/>
                <w:szCs w:val="20"/>
              </w:rPr>
            </w:pPr>
          </w:p>
        </w:tc>
        <w:tc>
          <w:tcPr>
            <w:tcW w:w="5490" w:type="dxa"/>
            <w:vAlign w:val="center"/>
          </w:tcPr>
          <w:p w14:paraId="18013409" w14:textId="68C6B936" w:rsidR="00C25FD7" w:rsidRPr="00AF5CF9" w:rsidRDefault="007847EC" w:rsidP="00C25FD7">
            <w:pPr>
              <w:spacing w:before="120" w:after="120"/>
              <w:rPr>
                <w:rFonts w:eastAsia="Times New Roman" w:cs="Times New Roman"/>
                <w:sz w:val="20"/>
                <w:szCs w:val="20"/>
              </w:rPr>
            </w:pPr>
            <w:r w:rsidRPr="00AF5CF9">
              <w:rPr>
                <w:rFonts w:ascii="Calibri" w:eastAsia="Times New Roman" w:hAnsi="Calibri" w:cs="Times New Roman"/>
                <w:color w:val="000000"/>
                <w:sz w:val="20"/>
                <w:szCs w:val="20"/>
              </w:rPr>
              <w:t>Identification rates of SWD</w:t>
            </w:r>
          </w:p>
        </w:tc>
        <w:tc>
          <w:tcPr>
            <w:tcW w:w="4050" w:type="dxa"/>
            <w:vAlign w:val="center"/>
          </w:tcPr>
          <w:p w14:paraId="0135F94B" w14:textId="6A2105D7" w:rsidR="00C25FD7" w:rsidRDefault="00C25FD7" w:rsidP="00C25FD7">
            <w:pPr>
              <w:spacing w:before="120" w:after="120"/>
              <w:rPr>
                <w:sz w:val="20"/>
                <w:szCs w:val="20"/>
              </w:rPr>
            </w:pPr>
            <w:r>
              <w:rPr>
                <w:sz w:val="20"/>
                <w:szCs w:val="20"/>
              </w:rPr>
              <w:t>January/February</w:t>
            </w:r>
          </w:p>
        </w:tc>
      </w:tr>
      <w:tr w:rsidR="00C25FD7" w14:paraId="0BD4EFBE" w14:textId="77777777" w:rsidTr="00C25FD7">
        <w:trPr>
          <w:trHeight w:val="71"/>
        </w:trPr>
        <w:tc>
          <w:tcPr>
            <w:tcW w:w="5058" w:type="dxa"/>
            <w:vMerge/>
            <w:vAlign w:val="center"/>
          </w:tcPr>
          <w:p w14:paraId="16AC636C" w14:textId="77777777" w:rsidR="00C25FD7" w:rsidRDefault="00C25FD7" w:rsidP="00C25FD7">
            <w:pPr>
              <w:spacing w:before="120" w:after="120"/>
              <w:rPr>
                <w:sz w:val="20"/>
                <w:szCs w:val="20"/>
              </w:rPr>
            </w:pPr>
          </w:p>
        </w:tc>
        <w:tc>
          <w:tcPr>
            <w:tcW w:w="5490" w:type="dxa"/>
            <w:vAlign w:val="center"/>
          </w:tcPr>
          <w:p w14:paraId="6E6ED390" w14:textId="1426CE1D" w:rsidR="00C25FD7" w:rsidRPr="00AF5CF9" w:rsidRDefault="00C25FD7" w:rsidP="007847EC">
            <w:pPr>
              <w:spacing w:before="120" w:after="120"/>
              <w:rPr>
                <w:rFonts w:eastAsia="Times New Roman" w:cs="Times New Roman"/>
                <w:sz w:val="20"/>
                <w:szCs w:val="20"/>
              </w:rPr>
            </w:pPr>
            <w:r w:rsidRPr="00AF5CF9">
              <w:rPr>
                <w:rFonts w:ascii="Calibri" w:eastAsia="Times New Roman" w:hAnsi="Calibri" w:cs="Times New Roman"/>
                <w:color w:val="000000"/>
                <w:sz w:val="20"/>
                <w:szCs w:val="20"/>
              </w:rPr>
              <w:t xml:space="preserve">Enrollment by </w:t>
            </w:r>
            <w:r w:rsidR="007847EC" w:rsidRPr="00AF5CF9">
              <w:rPr>
                <w:rFonts w:ascii="Calibri" w:eastAsia="Times New Roman" w:hAnsi="Calibri" w:cs="Times New Roman"/>
                <w:color w:val="000000"/>
                <w:sz w:val="20"/>
                <w:szCs w:val="20"/>
              </w:rPr>
              <w:t>IDEA disability category</w:t>
            </w:r>
          </w:p>
        </w:tc>
        <w:tc>
          <w:tcPr>
            <w:tcW w:w="4050" w:type="dxa"/>
          </w:tcPr>
          <w:p w14:paraId="2CB73765" w14:textId="0FE9F6CE" w:rsidR="00C25FD7" w:rsidRDefault="00C25FD7" w:rsidP="00C25FD7">
            <w:pPr>
              <w:spacing w:before="120" w:after="120"/>
              <w:rPr>
                <w:sz w:val="20"/>
                <w:szCs w:val="20"/>
              </w:rPr>
            </w:pPr>
            <w:r w:rsidRPr="001F0CE3">
              <w:rPr>
                <w:sz w:val="20"/>
                <w:szCs w:val="20"/>
              </w:rPr>
              <w:t>January/February</w:t>
            </w:r>
          </w:p>
        </w:tc>
      </w:tr>
      <w:tr w:rsidR="00C25FD7" w14:paraId="0EA92E06" w14:textId="77777777" w:rsidTr="00C25FD7">
        <w:trPr>
          <w:trHeight w:val="71"/>
        </w:trPr>
        <w:tc>
          <w:tcPr>
            <w:tcW w:w="5058" w:type="dxa"/>
            <w:vMerge/>
            <w:vAlign w:val="center"/>
          </w:tcPr>
          <w:p w14:paraId="3C72B55B" w14:textId="77777777" w:rsidR="00C25FD7" w:rsidRDefault="00C25FD7" w:rsidP="00C25FD7">
            <w:pPr>
              <w:spacing w:before="120" w:after="120"/>
              <w:rPr>
                <w:sz w:val="20"/>
                <w:szCs w:val="20"/>
              </w:rPr>
            </w:pPr>
          </w:p>
        </w:tc>
        <w:tc>
          <w:tcPr>
            <w:tcW w:w="5490" w:type="dxa"/>
            <w:vAlign w:val="center"/>
          </w:tcPr>
          <w:p w14:paraId="17A447F1" w14:textId="4F98EC36" w:rsidR="00C25FD7" w:rsidRPr="00AF5CF9" w:rsidRDefault="00C25FD7" w:rsidP="00C25FD7">
            <w:pPr>
              <w:spacing w:before="120" w:after="120"/>
              <w:rPr>
                <w:rFonts w:eastAsia="Times New Roman" w:cs="Times New Roman"/>
                <w:sz w:val="20"/>
                <w:szCs w:val="20"/>
              </w:rPr>
            </w:pPr>
            <w:r w:rsidRPr="00AF5CF9">
              <w:rPr>
                <w:rFonts w:ascii="Calibri" w:eastAsia="Times New Roman" w:hAnsi="Calibri" w:cs="Times New Roman"/>
                <w:color w:val="000000"/>
                <w:sz w:val="20"/>
                <w:szCs w:val="20"/>
              </w:rPr>
              <w:t xml:space="preserve">Percent of students in general </w:t>
            </w:r>
            <w:proofErr w:type="spellStart"/>
            <w:r w:rsidRPr="00AF5CF9">
              <w:rPr>
                <w:rFonts w:ascii="Calibri" w:eastAsia="Times New Roman" w:hAnsi="Calibri" w:cs="Times New Roman"/>
                <w:color w:val="000000"/>
                <w:sz w:val="20"/>
                <w:szCs w:val="20"/>
              </w:rPr>
              <w:t>ed</w:t>
            </w:r>
            <w:proofErr w:type="spellEnd"/>
            <w:r w:rsidRPr="00AF5CF9">
              <w:rPr>
                <w:rFonts w:ascii="Calibri" w:eastAsia="Times New Roman" w:hAnsi="Calibri" w:cs="Times New Roman"/>
                <w:color w:val="000000"/>
                <w:sz w:val="20"/>
                <w:szCs w:val="20"/>
              </w:rPr>
              <w:t xml:space="preserve"> more than 80% of day (LRE)</w:t>
            </w:r>
          </w:p>
        </w:tc>
        <w:tc>
          <w:tcPr>
            <w:tcW w:w="4050" w:type="dxa"/>
          </w:tcPr>
          <w:p w14:paraId="1468AC5D" w14:textId="1DADED51" w:rsidR="00C25FD7" w:rsidRDefault="00C25FD7" w:rsidP="00C25FD7">
            <w:pPr>
              <w:spacing w:before="120" w:after="120"/>
              <w:rPr>
                <w:sz w:val="20"/>
                <w:szCs w:val="20"/>
              </w:rPr>
            </w:pPr>
            <w:r>
              <w:rPr>
                <w:sz w:val="20"/>
                <w:szCs w:val="20"/>
              </w:rPr>
              <w:t>July/August</w:t>
            </w:r>
          </w:p>
        </w:tc>
      </w:tr>
      <w:tr w:rsidR="00C25FD7" w14:paraId="5E057CC0" w14:textId="77777777" w:rsidTr="00C25FD7">
        <w:trPr>
          <w:trHeight w:val="71"/>
        </w:trPr>
        <w:tc>
          <w:tcPr>
            <w:tcW w:w="5058" w:type="dxa"/>
            <w:vMerge/>
            <w:vAlign w:val="center"/>
          </w:tcPr>
          <w:p w14:paraId="0FA08518" w14:textId="77777777" w:rsidR="00C25FD7" w:rsidRDefault="00C25FD7" w:rsidP="00C25FD7">
            <w:pPr>
              <w:spacing w:before="120" w:after="120"/>
              <w:rPr>
                <w:sz w:val="20"/>
                <w:szCs w:val="20"/>
              </w:rPr>
            </w:pPr>
          </w:p>
        </w:tc>
        <w:tc>
          <w:tcPr>
            <w:tcW w:w="5490" w:type="dxa"/>
            <w:vAlign w:val="center"/>
          </w:tcPr>
          <w:p w14:paraId="1C1E969A" w14:textId="2A574F74" w:rsidR="00C25FD7" w:rsidRPr="00AF5CF9" w:rsidRDefault="00C25FD7" w:rsidP="00A94D9F">
            <w:pPr>
              <w:spacing w:before="120" w:after="120"/>
              <w:rPr>
                <w:rFonts w:eastAsia="Times New Roman" w:cs="Times New Roman"/>
                <w:sz w:val="20"/>
                <w:szCs w:val="20"/>
              </w:rPr>
            </w:pPr>
            <w:r w:rsidRPr="00AF5CF9">
              <w:rPr>
                <w:rFonts w:ascii="Calibri" w:eastAsia="Times New Roman" w:hAnsi="Calibri" w:cs="Times New Roman"/>
                <w:color w:val="000000"/>
                <w:sz w:val="20"/>
                <w:szCs w:val="20"/>
              </w:rPr>
              <w:t>On-site review</w:t>
            </w:r>
            <w:r w:rsidR="00A94D9F" w:rsidRPr="00AF5CF9">
              <w:rPr>
                <w:rFonts w:ascii="Calibri" w:eastAsia="Times New Roman" w:hAnsi="Calibri" w:cs="Times New Roman"/>
                <w:color w:val="000000"/>
                <w:sz w:val="20"/>
                <w:szCs w:val="20"/>
              </w:rPr>
              <w:t xml:space="preserve"> of SWD programming</w:t>
            </w:r>
          </w:p>
        </w:tc>
        <w:tc>
          <w:tcPr>
            <w:tcW w:w="4050" w:type="dxa"/>
            <w:vAlign w:val="center"/>
          </w:tcPr>
          <w:p w14:paraId="5C846437" w14:textId="347603E9" w:rsidR="00C25FD7" w:rsidRDefault="00C25FD7" w:rsidP="00C25FD7">
            <w:pPr>
              <w:spacing w:before="120" w:after="120"/>
              <w:rPr>
                <w:sz w:val="20"/>
                <w:szCs w:val="20"/>
              </w:rPr>
            </w:pPr>
            <w:r>
              <w:rPr>
                <w:sz w:val="20"/>
                <w:szCs w:val="20"/>
              </w:rPr>
              <w:t>Annual Visit</w:t>
            </w:r>
          </w:p>
        </w:tc>
      </w:tr>
      <w:tr w:rsidR="00C25FD7" w14:paraId="0B7E7C42" w14:textId="77777777" w:rsidTr="00C25FD7">
        <w:trPr>
          <w:trHeight w:val="71"/>
        </w:trPr>
        <w:tc>
          <w:tcPr>
            <w:tcW w:w="5058" w:type="dxa"/>
            <w:vMerge/>
            <w:vAlign w:val="center"/>
          </w:tcPr>
          <w:p w14:paraId="7E60F488" w14:textId="77777777" w:rsidR="00C25FD7" w:rsidRDefault="00C25FD7" w:rsidP="00C25FD7">
            <w:pPr>
              <w:spacing w:before="120" w:after="120"/>
              <w:rPr>
                <w:sz w:val="20"/>
                <w:szCs w:val="20"/>
              </w:rPr>
            </w:pPr>
          </w:p>
        </w:tc>
        <w:tc>
          <w:tcPr>
            <w:tcW w:w="5490" w:type="dxa"/>
            <w:vAlign w:val="center"/>
          </w:tcPr>
          <w:p w14:paraId="68920F46" w14:textId="06C77370" w:rsidR="00C25FD7" w:rsidRPr="00AF5CF9" w:rsidRDefault="00C25FD7" w:rsidP="00C25FD7">
            <w:pPr>
              <w:spacing w:before="120" w:after="120"/>
              <w:rPr>
                <w:rFonts w:eastAsia="Times New Roman" w:cs="Times New Roman"/>
                <w:sz w:val="20"/>
                <w:szCs w:val="20"/>
              </w:rPr>
            </w:pPr>
            <w:r w:rsidRPr="00AF5CF9">
              <w:rPr>
                <w:rFonts w:ascii="Calibri" w:eastAsia="Times New Roman" w:hAnsi="Calibri" w:cs="Times New Roman"/>
                <w:color w:val="000000"/>
                <w:sz w:val="20"/>
                <w:szCs w:val="20"/>
              </w:rPr>
              <w:t>Other SPED Policies (Child Find, Discipline, RTI)</w:t>
            </w:r>
          </w:p>
        </w:tc>
        <w:tc>
          <w:tcPr>
            <w:tcW w:w="4050" w:type="dxa"/>
            <w:vAlign w:val="center"/>
          </w:tcPr>
          <w:p w14:paraId="4660D2A9" w14:textId="2E80C010" w:rsidR="00C25FD7" w:rsidRDefault="00C25FD7" w:rsidP="00C25FD7">
            <w:pPr>
              <w:spacing w:before="120" w:after="120"/>
              <w:rPr>
                <w:sz w:val="20"/>
                <w:szCs w:val="20"/>
              </w:rPr>
            </w:pPr>
            <w:r>
              <w:rPr>
                <w:sz w:val="20"/>
                <w:szCs w:val="20"/>
              </w:rPr>
              <w:t>September</w:t>
            </w:r>
          </w:p>
        </w:tc>
      </w:tr>
      <w:tr w:rsidR="00C25FD7" w14:paraId="3135BB2D" w14:textId="77777777" w:rsidTr="00C25FD7">
        <w:trPr>
          <w:trHeight w:val="71"/>
        </w:trPr>
        <w:tc>
          <w:tcPr>
            <w:tcW w:w="5058" w:type="dxa"/>
            <w:vMerge/>
            <w:vAlign w:val="center"/>
          </w:tcPr>
          <w:p w14:paraId="46252868" w14:textId="77777777" w:rsidR="00C25FD7" w:rsidRDefault="00C25FD7" w:rsidP="00C25FD7">
            <w:pPr>
              <w:spacing w:before="120" w:after="120"/>
              <w:rPr>
                <w:sz w:val="20"/>
                <w:szCs w:val="20"/>
              </w:rPr>
            </w:pPr>
          </w:p>
        </w:tc>
        <w:tc>
          <w:tcPr>
            <w:tcW w:w="5490" w:type="dxa"/>
            <w:vAlign w:val="center"/>
          </w:tcPr>
          <w:p w14:paraId="1A8BEA49" w14:textId="08B2A1D1" w:rsidR="00C25FD7" w:rsidRPr="00AF5CF9" w:rsidRDefault="00A94D9F" w:rsidP="00AF5CF9">
            <w:pPr>
              <w:spacing w:before="120" w:after="120"/>
              <w:rPr>
                <w:rFonts w:eastAsia="Times New Roman" w:cs="Times New Roman"/>
                <w:sz w:val="20"/>
                <w:szCs w:val="20"/>
              </w:rPr>
            </w:pPr>
            <w:r w:rsidRPr="00AF5CF9">
              <w:rPr>
                <w:rFonts w:ascii="Calibri" w:eastAsia="Times New Roman" w:hAnsi="Calibri" w:cs="Times New Roman"/>
                <w:color w:val="000000"/>
                <w:sz w:val="20"/>
                <w:szCs w:val="20"/>
              </w:rPr>
              <w:t>Annual Performance Report (APR)</w:t>
            </w:r>
            <w:r w:rsidR="00C25FD7" w:rsidRPr="00AF5CF9">
              <w:rPr>
                <w:rFonts w:ascii="Calibri" w:eastAsia="Times New Roman" w:hAnsi="Calibri" w:cs="Times New Roman"/>
                <w:color w:val="000000"/>
                <w:sz w:val="20"/>
                <w:szCs w:val="20"/>
              </w:rPr>
              <w:t xml:space="preserve"> </w:t>
            </w:r>
            <w:r w:rsidR="00AF5CF9">
              <w:rPr>
                <w:rFonts w:ascii="Calibri" w:eastAsia="Times New Roman" w:hAnsi="Calibri" w:cs="Times New Roman"/>
                <w:color w:val="000000"/>
                <w:sz w:val="20"/>
                <w:szCs w:val="20"/>
              </w:rPr>
              <w:t>data</w:t>
            </w:r>
          </w:p>
        </w:tc>
        <w:tc>
          <w:tcPr>
            <w:tcW w:w="4050" w:type="dxa"/>
            <w:vAlign w:val="center"/>
          </w:tcPr>
          <w:p w14:paraId="04A7B775" w14:textId="1C54E50E" w:rsidR="00C25FD7" w:rsidRDefault="00C25FD7" w:rsidP="00C25FD7">
            <w:pPr>
              <w:spacing w:before="120" w:after="120"/>
              <w:rPr>
                <w:sz w:val="20"/>
                <w:szCs w:val="20"/>
              </w:rPr>
            </w:pPr>
            <w:r>
              <w:rPr>
                <w:sz w:val="20"/>
                <w:szCs w:val="20"/>
              </w:rPr>
              <w:t>Annually</w:t>
            </w:r>
          </w:p>
        </w:tc>
      </w:tr>
      <w:tr w:rsidR="00C25FD7" w14:paraId="195E5010" w14:textId="77777777" w:rsidTr="00C25FD7">
        <w:trPr>
          <w:trHeight w:val="71"/>
        </w:trPr>
        <w:tc>
          <w:tcPr>
            <w:tcW w:w="5058" w:type="dxa"/>
            <w:vMerge/>
            <w:vAlign w:val="center"/>
          </w:tcPr>
          <w:p w14:paraId="41DFAB27" w14:textId="77777777" w:rsidR="00C25FD7" w:rsidRDefault="00C25FD7" w:rsidP="00C25FD7">
            <w:pPr>
              <w:spacing w:before="120" w:after="120"/>
              <w:rPr>
                <w:sz w:val="20"/>
                <w:szCs w:val="20"/>
              </w:rPr>
            </w:pPr>
          </w:p>
        </w:tc>
        <w:tc>
          <w:tcPr>
            <w:tcW w:w="5490" w:type="dxa"/>
            <w:vAlign w:val="center"/>
          </w:tcPr>
          <w:p w14:paraId="3CB5BC07" w14:textId="5959BF8B" w:rsidR="00C25FD7" w:rsidRPr="00AF5CF9" w:rsidRDefault="00A94D9F" w:rsidP="00AF5CF9">
            <w:pPr>
              <w:spacing w:before="120" w:after="120"/>
              <w:rPr>
                <w:rFonts w:eastAsia="Times New Roman" w:cs="Times New Roman"/>
                <w:sz w:val="20"/>
                <w:szCs w:val="20"/>
              </w:rPr>
            </w:pPr>
            <w:r w:rsidRPr="00AF5CF9">
              <w:rPr>
                <w:rFonts w:ascii="Calibri" w:eastAsia="Times New Roman" w:hAnsi="Calibri" w:cs="Times New Roman"/>
                <w:color w:val="000000"/>
                <w:sz w:val="20"/>
                <w:szCs w:val="20"/>
              </w:rPr>
              <w:t xml:space="preserve">Seclusion and </w:t>
            </w:r>
            <w:r w:rsidR="00AF5CF9">
              <w:rPr>
                <w:rFonts w:ascii="Calibri" w:eastAsia="Times New Roman" w:hAnsi="Calibri" w:cs="Times New Roman"/>
                <w:color w:val="000000"/>
                <w:sz w:val="20"/>
                <w:szCs w:val="20"/>
              </w:rPr>
              <w:t>restraint</w:t>
            </w:r>
            <w:r w:rsidR="00C25FD7" w:rsidRPr="00AF5CF9">
              <w:rPr>
                <w:rFonts w:ascii="Calibri" w:eastAsia="Times New Roman" w:hAnsi="Calibri" w:cs="Times New Roman"/>
                <w:color w:val="000000"/>
                <w:sz w:val="20"/>
                <w:szCs w:val="20"/>
              </w:rPr>
              <w:t xml:space="preserve"> data and policies</w:t>
            </w:r>
          </w:p>
        </w:tc>
        <w:tc>
          <w:tcPr>
            <w:tcW w:w="4050" w:type="dxa"/>
            <w:vAlign w:val="center"/>
          </w:tcPr>
          <w:p w14:paraId="22FB2F9D" w14:textId="7FE4093F" w:rsidR="00C25FD7" w:rsidRDefault="00C25FD7" w:rsidP="00C25FD7">
            <w:pPr>
              <w:spacing w:before="120" w:after="120"/>
              <w:rPr>
                <w:sz w:val="20"/>
                <w:szCs w:val="20"/>
              </w:rPr>
            </w:pPr>
            <w:r>
              <w:rPr>
                <w:sz w:val="20"/>
                <w:szCs w:val="20"/>
              </w:rPr>
              <w:t>Ad Hoc</w:t>
            </w:r>
          </w:p>
        </w:tc>
      </w:tr>
      <w:tr w:rsidR="00C25FD7" w14:paraId="2B73576E" w14:textId="77777777" w:rsidTr="00C25FD7">
        <w:trPr>
          <w:trHeight w:val="71"/>
        </w:trPr>
        <w:tc>
          <w:tcPr>
            <w:tcW w:w="5058" w:type="dxa"/>
            <w:vMerge/>
            <w:vAlign w:val="center"/>
          </w:tcPr>
          <w:p w14:paraId="62BDE631" w14:textId="77777777" w:rsidR="00C25FD7" w:rsidRDefault="00C25FD7" w:rsidP="00C25FD7">
            <w:pPr>
              <w:spacing w:before="120" w:after="120"/>
              <w:rPr>
                <w:sz w:val="20"/>
                <w:szCs w:val="20"/>
              </w:rPr>
            </w:pPr>
          </w:p>
        </w:tc>
        <w:tc>
          <w:tcPr>
            <w:tcW w:w="5490" w:type="dxa"/>
            <w:vAlign w:val="center"/>
          </w:tcPr>
          <w:p w14:paraId="2A34CE2D" w14:textId="0A6DFD70" w:rsidR="00C25FD7" w:rsidRPr="00AF5CF9" w:rsidRDefault="00A94D9F" w:rsidP="00AF5CF9">
            <w:pPr>
              <w:spacing w:before="120" w:after="120"/>
              <w:rPr>
                <w:rFonts w:eastAsia="Times New Roman" w:cs="Times New Roman"/>
                <w:sz w:val="20"/>
                <w:szCs w:val="20"/>
              </w:rPr>
            </w:pPr>
            <w:r w:rsidRPr="00AF5CF9">
              <w:rPr>
                <w:rFonts w:ascii="Calibri" w:eastAsia="Times New Roman" w:hAnsi="Calibri" w:cs="Times New Roman"/>
                <w:color w:val="000000"/>
                <w:sz w:val="20"/>
                <w:szCs w:val="20"/>
              </w:rPr>
              <w:t>Parent/</w:t>
            </w:r>
            <w:r w:rsidR="00AF5CF9">
              <w:rPr>
                <w:rFonts w:ascii="Calibri" w:eastAsia="Times New Roman" w:hAnsi="Calibri" w:cs="Times New Roman"/>
                <w:color w:val="000000"/>
                <w:sz w:val="20"/>
                <w:szCs w:val="20"/>
              </w:rPr>
              <w:t>community</w:t>
            </w:r>
            <w:r w:rsidR="00C25FD7" w:rsidRPr="00AF5CF9">
              <w:rPr>
                <w:rFonts w:ascii="Calibri" w:eastAsia="Times New Roman" w:hAnsi="Calibri" w:cs="Times New Roman"/>
                <w:color w:val="000000"/>
                <w:sz w:val="20"/>
                <w:szCs w:val="20"/>
              </w:rPr>
              <w:t xml:space="preserve"> </w:t>
            </w:r>
            <w:r w:rsidR="00AF5CF9">
              <w:rPr>
                <w:rFonts w:ascii="Calibri" w:eastAsia="Times New Roman" w:hAnsi="Calibri" w:cs="Times New Roman"/>
                <w:color w:val="000000"/>
                <w:sz w:val="20"/>
                <w:szCs w:val="20"/>
              </w:rPr>
              <w:t>concerns</w:t>
            </w:r>
          </w:p>
        </w:tc>
        <w:tc>
          <w:tcPr>
            <w:tcW w:w="4050" w:type="dxa"/>
            <w:vAlign w:val="center"/>
          </w:tcPr>
          <w:p w14:paraId="46D66F29" w14:textId="6A43BACF" w:rsidR="00C25FD7" w:rsidRDefault="00C25FD7" w:rsidP="00C25FD7">
            <w:pPr>
              <w:spacing w:before="120" w:after="120"/>
              <w:rPr>
                <w:sz w:val="20"/>
                <w:szCs w:val="20"/>
              </w:rPr>
            </w:pPr>
            <w:r>
              <w:rPr>
                <w:sz w:val="20"/>
                <w:szCs w:val="20"/>
              </w:rPr>
              <w:t>Upon Receipt</w:t>
            </w:r>
          </w:p>
        </w:tc>
      </w:tr>
      <w:tr w:rsidR="00C25FD7" w14:paraId="203444E9" w14:textId="77777777" w:rsidTr="00A94D9F">
        <w:trPr>
          <w:trHeight w:val="530"/>
        </w:trPr>
        <w:tc>
          <w:tcPr>
            <w:tcW w:w="5058" w:type="dxa"/>
            <w:vMerge w:val="restart"/>
            <w:vAlign w:val="center"/>
          </w:tcPr>
          <w:p w14:paraId="3E6CD921" w14:textId="3ADBF004" w:rsidR="00C25FD7" w:rsidRDefault="00C25FD7" w:rsidP="00C25FD7">
            <w:pPr>
              <w:spacing w:before="120" w:after="120"/>
              <w:rPr>
                <w:sz w:val="20"/>
                <w:szCs w:val="20"/>
              </w:rPr>
            </w:pPr>
            <w:r>
              <w:rPr>
                <w:sz w:val="20"/>
                <w:szCs w:val="20"/>
              </w:rPr>
              <w:t xml:space="preserve">Law and Compliance Standard: </w:t>
            </w:r>
            <w:r w:rsidRPr="006B3A07">
              <w:rPr>
                <w:rFonts w:ascii="Calibri" w:eastAsia="Times New Roman" w:hAnsi="Calibri" w:cs="Times New Roman"/>
                <w:color w:val="000000"/>
                <w:sz w:val="20"/>
                <w:szCs w:val="20"/>
              </w:rPr>
              <w:t>Schools and governing boards responsibly follow all laws, policies and contractual obligations.</w:t>
            </w:r>
          </w:p>
        </w:tc>
        <w:tc>
          <w:tcPr>
            <w:tcW w:w="5490" w:type="dxa"/>
            <w:vAlign w:val="center"/>
          </w:tcPr>
          <w:p w14:paraId="70D29224" w14:textId="63D7AAE9" w:rsidR="00C25FD7" w:rsidRPr="00AF5CF9" w:rsidRDefault="00A94D9F" w:rsidP="00A94D9F">
            <w:pPr>
              <w:spacing w:before="120" w:after="120"/>
              <w:rPr>
                <w:rFonts w:ascii="Calibri" w:eastAsia="Times New Roman" w:hAnsi="Calibri" w:cs="Times New Roman"/>
                <w:color w:val="000000"/>
                <w:sz w:val="20"/>
                <w:szCs w:val="20"/>
              </w:rPr>
            </w:pPr>
            <w:r w:rsidRPr="00AF5CF9">
              <w:rPr>
                <w:rFonts w:ascii="Calibri" w:eastAsia="Times New Roman" w:hAnsi="Calibri" w:cs="Times New Roman"/>
                <w:color w:val="000000"/>
                <w:sz w:val="20"/>
                <w:szCs w:val="20"/>
              </w:rPr>
              <w:t>Charter s</w:t>
            </w:r>
            <w:r w:rsidR="00C25FD7" w:rsidRPr="00AF5CF9">
              <w:rPr>
                <w:rFonts w:ascii="Calibri" w:eastAsia="Times New Roman" w:hAnsi="Calibri" w:cs="Times New Roman"/>
                <w:color w:val="000000"/>
                <w:sz w:val="20"/>
                <w:szCs w:val="20"/>
              </w:rPr>
              <w:t xml:space="preserve">chool </w:t>
            </w:r>
            <w:r w:rsidRPr="00AF5CF9">
              <w:rPr>
                <w:rFonts w:ascii="Calibri" w:eastAsia="Times New Roman" w:hAnsi="Calibri" w:cs="Times New Roman"/>
                <w:color w:val="000000"/>
                <w:sz w:val="20"/>
                <w:szCs w:val="20"/>
              </w:rPr>
              <w:t xml:space="preserve">completes annual assurances document </w:t>
            </w:r>
          </w:p>
        </w:tc>
        <w:tc>
          <w:tcPr>
            <w:tcW w:w="4050" w:type="dxa"/>
          </w:tcPr>
          <w:p w14:paraId="593D5009" w14:textId="21C6BD68" w:rsidR="00C25FD7" w:rsidRDefault="00C25FD7" w:rsidP="00C25FD7">
            <w:pPr>
              <w:spacing w:before="120" w:after="120"/>
              <w:rPr>
                <w:sz w:val="20"/>
                <w:szCs w:val="20"/>
              </w:rPr>
            </w:pPr>
            <w:r>
              <w:rPr>
                <w:sz w:val="20"/>
                <w:szCs w:val="20"/>
              </w:rPr>
              <w:t>September</w:t>
            </w:r>
          </w:p>
        </w:tc>
      </w:tr>
      <w:tr w:rsidR="00C25FD7" w14:paraId="3736BD78" w14:textId="77777777" w:rsidTr="00C25FD7">
        <w:trPr>
          <w:trHeight w:val="71"/>
        </w:trPr>
        <w:tc>
          <w:tcPr>
            <w:tcW w:w="5058" w:type="dxa"/>
            <w:vMerge/>
            <w:vAlign w:val="center"/>
          </w:tcPr>
          <w:p w14:paraId="326788DC" w14:textId="77777777" w:rsidR="00C25FD7" w:rsidRDefault="00C25FD7" w:rsidP="00C25FD7">
            <w:pPr>
              <w:spacing w:before="120" w:after="120"/>
              <w:rPr>
                <w:sz w:val="20"/>
                <w:szCs w:val="20"/>
              </w:rPr>
            </w:pPr>
          </w:p>
        </w:tc>
        <w:tc>
          <w:tcPr>
            <w:tcW w:w="5490" w:type="dxa"/>
            <w:vAlign w:val="center"/>
          </w:tcPr>
          <w:p w14:paraId="48FA242E" w14:textId="79F18979" w:rsidR="00C25FD7" w:rsidRPr="00AF5CF9" w:rsidRDefault="00C25FD7" w:rsidP="00AF5CF9">
            <w:pPr>
              <w:spacing w:before="120" w:after="120"/>
              <w:rPr>
                <w:rFonts w:ascii="Calibri" w:eastAsia="Times New Roman" w:hAnsi="Calibri" w:cs="Times New Roman"/>
                <w:color w:val="000000"/>
                <w:sz w:val="20"/>
                <w:szCs w:val="20"/>
              </w:rPr>
            </w:pPr>
            <w:r w:rsidRPr="00AF5CF9">
              <w:rPr>
                <w:rFonts w:ascii="Calibri" w:eastAsia="Times New Roman" w:hAnsi="Calibri" w:cs="Times New Roman"/>
                <w:color w:val="000000"/>
                <w:sz w:val="20"/>
                <w:szCs w:val="20"/>
              </w:rPr>
              <w:t xml:space="preserve">Facility </w:t>
            </w:r>
            <w:r w:rsidR="00AF5CF9" w:rsidRPr="00AF5CF9">
              <w:rPr>
                <w:rFonts w:ascii="Calibri" w:eastAsia="Times New Roman" w:hAnsi="Calibri" w:cs="Times New Roman"/>
                <w:color w:val="000000"/>
                <w:sz w:val="20"/>
                <w:szCs w:val="20"/>
              </w:rPr>
              <w:t>walkthrough</w:t>
            </w:r>
          </w:p>
        </w:tc>
        <w:tc>
          <w:tcPr>
            <w:tcW w:w="4050" w:type="dxa"/>
          </w:tcPr>
          <w:p w14:paraId="3F4AE4C2" w14:textId="605CF374" w:rsidR="00C25FD7" w:rsidRDefault="00C25FD7" w:rsidP="00C25FD7">
            <w:pPr>
              <w:spacing w:before="120" w:after="120"/>
              <w:rPr>
                <w:sz w:val="20"/>
                <w:szCs w:val="20"/>
              </w:rPr>
            </w:pPr>
            <w:r w:rsidRPr="00770F91">
              <w:rPr>
                <w:sz w:val="20"/>
                <w:szCs w:val="20"/>
              </w:rPr>
              <w:t>Annual Visit</w:t>
            </w:r>
          </w:p>
        </w:tc>
      </w:tr>
      <w:tr w:rsidR="00C25FD7" w14:paraId="47656442" w14:textId="77777777" w:rsidTr="00C25FD7">
        <w:trPr>
          <w:trHeight w:val="71"/>
        </w:trPr>
        <w:tc>
          <w:tcPr>
            <w:tcW w:w="5058" w:type="dxa"/>
            <w:vMerge/>
            <w:vAlign w:val="center"/>
          </w:tcPr>
          <w:p w14:paraId="0A27EFCF" w14:textId="77777777" w:rsidR="00C25FD7" w:rsidRDefault="00C25FD7" w:rsidP="00C25FD7">
            <w:pPr>
              <w:spacing w:before="120" w:after="120"/>
              <w:rPr>
                <w:sz w:val="20"/>
                <w:szCs w:val="20"/>
              </w:rPr>
            </w:pPr>
          </w:p>
        </w:tc>
        <w:tc>
          <w:tcPr>
            <w:tcW w:w="5490" w:type="dxa"/>
            <w:vAlign w:val="center"/>
          </w:tcPr>
          <w:p w14:paraId="39278D8D" w14:textId="0AE4F465" w:rsidR="00C25FD7" w:rsidRPr="00AF5CF9" w:rsidRDefault="00A94D9F" w:rsidP="00C25FD7">
            <w:pPr>
              <w:spacing w:before="120" w:after="120"/>
              <w:rPr>
                <w:rFonts w:ascii="Calibri" w:eastAsia="Times New Roman" w:hAnsi="Calibri" w:cs="Times New Roman"/>
                <w:color w:val="000000"/>
                <w:sz w:val="20"/>
                <w:szCs w:val="20"/>
              </w:rPr>
            </w:pPr>
            <w:r w:rsidRPr="00AF5CF9">
              <w:rPr>
                <w:rFonts w:ascii="Calibri" w:eastAsia="Times New Roman" w:hAnsi="Calibri" w:cs="Times New Roman"/>
                <w:color w:val="000000"/>
                <w:sz w:val="20"/>
                <w:szCs w:val="20"/>
              </w:rPr>
              <w:t>On-site LBCI background check a</w:t>
            </w:r>
            <w:r w:rsidR="00C25FD7" w:rsidRPr="00AF5CF9">
              <w:rPr>
                <w:rFonts w:ascii="Calibri" w:eastAsia="Times New Roman" w:hAnsi="Calibri" w:cs="Times New Roman"/>
                <w:color w:val="000000"/>
                <w:sz w:val="20"/>
                <w:szCs w:val="20"/>
              </w:rPr>
              <w:t>udit</w:t>
            </w:r>
          </w:p>
        </w:tc>
        <w:tc>
          <w:tcPr>
            <w:tcW w:w="4050" w:type="dxa"/>
          </w:tcPr>
          <w:p w14:paraId="3D6E3148" w14:textId="68F49D94" w:rsidR="00C25FD7" w:rsidRDefault="00C25FD7" w:rsidP="00C25FD7">
            <w:pPr>
              <w:spacing w:before="120" w:after="120"/>
              <w:rPr>
                <w:sz w:val="20"/>
                <w:szCs w:val="20"/>
              </w:rPr>
            </w:pPr>
            <w:r w:rsidRPr="00770F91">
              <w:rPr>
                <w:sz w:val="20"/>
                <w:szCs w:val="20"/>
              </w:rPr>
              <w:t>Annual Visit</w:t>
            </w:r>
          </w:p>
        </w:tc>
      </w:tr>
      <w:tr w:rsidR="00C25FD7" w14:paraId="3EA2C4C5" w14:textId="77777777" w:rsidTr="00C25FD7">
        <w:trPr>
          <w:trHeight w:val="71"/>
        </w:trPr>
        <w:tc>
          <w:tcPr>
            <w:tcW w:w="5058" w:type="dxa"/>
            <w:vMerge/>
            <w:vAlign w:val="center"/>
          </w:tcPr>
          <w:p w14:paraId="1DD171D2" w14:textId="77777777" w:rsidR="00C25FD7" w:rsidRDefault="00C25FD7" w:rsidP="00C25FD7">
            <w:pPr>
              <w:spacing w:before="120" w:after="120"/>
              <w:rPr>
                <w:sz w:val="20"/>
                <w:szCs w:val="20"/>
              </w:rPr>
            </w:pPr>
          </w:p>
        </w:tc>
        <w:tc>
          <w:tcPr>
            <w:tcW w:w="5490" w:type="dxa"/>
            <w:vAlign w:val="center"/>
          </w:tcPr>
          <w:p w14:paraId="0708425C" w14:textId="5B774A3B" w:rsidR="00C25FD7" w:rsidRPr="00AF5CF9" w:rsidRDefault="00C25FD7" w:rsidP="00AF5CF9">
            <w:pPr>
              <w:spacing w:before="120" w:after="120"/>
              <w:rPr>
                <w:rFonts w:ascii="Calibri" w:eastAsia="Times New Roman" w:hAnsi="Calibri" w:cs="Times New Roman"/>
                <w:color w:val="000000"/>
                <w:sz w:val="20"/>
                <w:szCs w:val="20"/>
              </w:rPr>
            </w:pPr>
            <w:r w:rsidRPr="00AF5CF9">
              <w:rPr>
                <w:rFonts w:ascii="Calibri" w:eastAsia="Times New Roman" w:hAnsi="Calibri" w:cs="Times New Roman"/>
                <w:color w:val="000000"/>
                <w:sz w:val="20"/>
                <w:szCs w:val="20"/>
              </w:rPr>
              <w:t xml:space="preserve">Test </w:t>
            </w:r>
            <w:r w:rsidR="00AF5CF9" w:rsidRPr="00AF5CF9">
              <w:rPr>
                <w:rFonts w:ascii="Calibri" w:eastAsia="Times New Roman" w:hAnsi="Calibri" w:cs="Times New Roman"/>
                <w:color w:val="000000"/>
                <w:sz w:val="20"/>
                <w:szCs w:val="20"/>
              </w:rPr>
              <w:t>monitoring and violations</w:t>
            </w:r>
          </w:p>
        </w:tc>
        <w:tc>
          <w:tcPr>
            <w:tcW w:w="4050" w:type="dxa"/>
            <w:vAlign w:val="center"/>
          </w:tcPr>
          <w:p w14:paraId="62E67852" w14:textId="0B4E1AF3" w:rsidR="00C25FD7" w:rsidRDefault="00C25FD7" w:rsidP="00C25FD7">
            <w:pPr>
              <w:spacing w:before="120" w:after="120"/>
              <w:rPr>
                <w:sz w:val="20"/>
                <w:szCs w:val="20"/>
              </w:rPr>
            </w:pPr>
            <w:r>
              <w:rPr>
                <w:sz w:val="20"/>
                <w:szCs w:val="20"/>
              </w:rPr>
              <w:t>April/May</w:t>
            </w:r>
          </w:p>
        </w:tc>
      </w:tr>
      <w:tr w:rsidR="00C25FD7" w14:paraId="1ED25372" w14:textId="77777777" w:rsidTr="00C25FD7">
        <w:trPr>
          <w:trHeight w:val="71"/>
        </w:trPr>
        <w:tc>
          <w:tcPr>
            <w:tcW w:w="5058" w:type="dxa"/>
            <w:vMerge/>
            <w:vAlign w:val="center"/>
          </w:tcPr>
          <w:p w14:paraId="54927DDA" w14:textId="77777777" w:rsidR="00C25FD7" w:rsidRDefault="00C25FD7" w:rsidP="00C25FD7">
            <w:pPr>
              <w:spacing w:before="120" w:after="120"/>
              <w:rPr>
                <w:sz w:val="20"/>
                <w:szCs w:val="20"/>
              </w:rPr>
            </w:pPr>
          </w:p>
        </w:tc>
        <w:tc>
          <w:tcPr>
            <w:tcW w:w="5490" w:type="dxa"/>
            <w:vAlign w:val="center"/>
          </w:tcPr>
          <w:p w14:paraId="12F2F06F" w14:textId="46B8301F" w:rsidR="00C25FD7" w:rsidRPr="00AF5CF9" w:rsidRDefault="00AF5CF9" w:rsidP="00AF5CF9">
            <w:pPr>
              <w:spacing w:before="120" w:after="120"/>
              <w:rPr>
                <w:rFonts w:ascii="Calibri" w:eastAsia="Times New Roman" w:hAnsi="Calibri" w:cs="Times New Roman"/>
                <w:color w:val="000000"/>
                <w:sz w:val="20"/>
                <w:szCs w:val="20"/>
              </w:rPr>
            </w:pPr>
            <w:r w:rsidRPr="00AF5CF9">
              <w:rPr>
                <w:rFonts w:ascii="Calibri" w:eastAsia="Times New Roman" w:hAnsi="Calibri" w:cs="Times New Roman"/>
                <w:color w:val="000000"/>
                <w:sz w:val="20"/>
                <w:szCs w:val="20"/>
              </w:rPr>
              <w:t>Parent/community concerns</w:t>
            </w:r>
            <w:r w:rsidR="00C25FD7" w:rsidRPr="00AF5CF9">
              <w:rPr>
                <w:rFonts w:ascii="Calibri" w:eastAsia="Times New Roman" w:hAnsi="Calibri" w:cs="Times New Roman"/>
                <w:color w:val="000000"/>
                <w:sz w:val="20"/>
                <w:szCs w:val="20"/>
              </w:rPr>
              <w:t xml:space="preserve"> </w:t>
            </w:r>
          </w:p>
        </w:tc>
        <w:tc>
          <w:tcPr>
            <w:tcW w:w="4050" w:type="dxa"/>
            <w:vAlign w:val="center"/>
          </w:tcPr>
          <w:p w14:paraId="0CFE9CCE" w14:textId="34FC1A7C" w:rsidR="00C25FD7" w:rsidRDefault="00C25FD7" w:rsidP="00C25FD7">
            <w:pPr>
              <w:spacing w:before="120" w:after="120"/>
              <w:rPr>
                <w:sz w:val="20"/>
                <w:szCs w:val="20"/>
              </w:rPr>
            </w:pPr>
            <w:r>
              <w:rPr>
                <w:sz w:val="20"/>
                <w:szCs w:val="20"/>
              </w:rPr>
              <w:t>Upon Receipt</w:t>
            </w:r>
          </w:p>
        </w:tc>
      </w:tr>
      <w:tr w:rsidR="00C25FD7" w14:paraId="57F4E02C" w14:textId="77777777" w:rsidTr="00C25FD7">
        <w:trPr>
          <w:trHeight w:val="71"/>
        </w:trPr>
        <w:tc>
          <w:tcPr>
            <w:tcW w:w="5058" w:type="dxa"/>
            <w:vMerge/>
            <w:vAlign w:val="center"/>
          </w:tcPr>
          <w:p w14:paraId="20389C12" w14:textId="77777777" w:rsidR="00C25FD7" w:rsidRDefault="00C25FD7" w:rsidP="00C25FD7">
            <w:pPr>
              <w:spacing w:before="120" w:after="120"/>
              <w:rPr>
                <w:sz w:val="20"/>
                <w:szCs w:val="20"/>
              </w:rPr>
            </w:pPr>
          </w:p>
        </w:tc>
        <w:tc>
          <w:tcPr>
            <w:tcW w:w="5490" w:type="dxa"/>
            <w:vAlign w:val="center"/>
          </w:tcPr>
          <w:p w14:paraId="36C818C2" w14:textId="439AC9D1" w:rsidR="00C25FD7" w:rsidRPr="00AF5CF9" w:rsidRDefault="00C25FD7" w:rsidP="00AF5CF9">
            <w:pPr>
              <w:spacing w:before="120" w:after="120"/>
              <w:rPr>
                <w:rFonts w:ascii="Calibri" w:eastAsia="Times New Roman" w:hAnsi="Calibri" w:cs="Times New Roman"/>
                <w:color w:val="000000"/>
                <w:sz w:val="20"/>
                <w:szCs w:val="20"/>
              </w:rPr>
            </w:pPr>
            <w:r w:rsidRPr="00AF5CF9">
              <w:rPr>
                <w:rFonts w:ascii="Calibri" w:eastAsia="Times New Roman" w:hAnsi="Calibri" w:cs="Times New Roman"/>
                <w:color w:val="000000"/>
                <w:sz w:val="20"/>
                <w:szCs w:val="20"/>
              </w:rPr>
              <w:t xml:space="preserve">Review of </w:t>
            </w:r>
            <w:r w:rsidR="00AF5CF9" w:rsidRPr="00AF5CF9">
              <w:rPr>
                <w:rFonts w:ascii="Calibri" w:eastAsia="Times New Roman" w:hAnsi="Calibri" w:cs="Times New Roman"/>
                <w:color w:val="000000"/>
                <w:sz w:val="20"/>
                <w:szCs w:val="20"/>
              </w:rPr>
              <w:t>ethics</w:t>
            </w:r>
            <w:r w:rsidRPr="00AF5CF9">
              <w:rPr>
                <w:rFonts w:ascii="Calibri" w:eastAsia="Times New Roman" w:hAnsi="Calibri" w:cs="Times New Roman"/>
                <w:color w:val="000000"/>
                <w:sz w:val="20"/>
                <w:szCs w:val="20"/>
              </w:rPr>
              <w:t xml:space="preserve"> board website</w:t>
            </w:r>
          </w:p>
        </w:tc>
        <w:tc>
          <w:tcPr>
            <w:tcW w:w="4050" w:type="dxa"/>
            <w:vAlign w:val="center"/>
          </w:tcPr>
          <w:p w14:paraId="356AA97D" w14:textId="4690E29C" w:rsidR="00C25FD7" w:rsidRDefault="00C25FD7" w:rsidP="00C25FD7">
            <w:pPr>
              <w:spacing w:before="120" w:after="120"/>
              <w:rPr>
                <w:sz w:val="20"/>
                <w:szCs w:val="20"/>
              </w:rPr>
            </w:pPr>
            <w:r>
              <w:rPr>
                <w:sz w:val="20"/>
                <w:szCs w:val="20"/>
              </w:rPr>
              <w:t>June/July</w:t>
            </w:r>
          </w:p>
        </w:tc>
      </w:tr>
      <w:tr w:rsidR="00C25FD7" w14:paraId="00F3636C" w14:textId="77777777" w:rsidTr="00C25FD7">
        <w:trPr>
          <w:trHeight w:val="71"/>
        </w:trPr>
        <w:tc>
          <w:tcPr>
            <w:tcW w:w="5058" w:type="dxa"/>
            <w:vMerge/>
            <w:vAlign w:val="center"/>
          </w:tcPr>
          <w:p w14:paraId="655F9889" w14:textId="77777777" w:rsidR="00C25FD7" w:rsidRDefault="00C25FD7" w:rsidP="00C25FD7">
            <w:pPr>
              <w:spacing w:before="120" w:after="120"/>
              <w:rPr>
                <w:sz w:val="20"/>
                <w:szCs w:val="20"/>
              </w:rPr>
            </w:pPr>
          </w:p>
        </w:tc>
        <w:tc>
          <w:tcPr>
            <w:tcW w:w="5490" w:type="dxa"/>
            <w:vAlign w:val="center"/>
          </w:tcPr>
          <w:p w14:paraId="1F6BAED1" w14:textId="59458F3B" w:rsidR="00C25FD7" w:rsidRPr="00AF5CF9" w:rsidRDefault="00C25FD7" w:rsidP="00AF5CF9">
            <w:pPr>
              <w:spacing w:before="120" w:after="120"/>
              <w:rPr>
                <w:rFonts w:ascii="Calibri" w:eastAsia="Times New Roman" w:hAnsi="Calibri" w:cs="Times New Roman"/>
                <w:color w:val="000000"/>
                <w:sz w:val="20"/>
                <w:szCs w:val="20"/>
              </w:rPr>
            </w:pPr>
            <w:r w:rsidRPr="00AF5CF9">
              <w:rPr>
                <w:rFonts w:ascii="Calibri" w:eastAsia="Times New Roman" w:hAnsi="Calibri" w:cs="Times New Roman"/>
                <w:color w:val="000000"/>
                <w:sz w:val="20"/>
                <w:szCs w:val="20"/>
              </w:rPr>
              <w:t xml:space="preserve">Review of DHH and </w:t>
            </w:r>
            <w:r w:rsidR="00AF5CF9" w:rsidRPr="00AF5CF9">
              <w:rPr>
                <w:rFonts w:ascii="Calibri" w:eastAsia="Times New Roman" w:hAnsi="Calibri" w:cs="Times New Roman"/>
                <w:color w:val="000000"/>
                <w:sz w:val="20"/>
                <w:szCs w:val="20"/>
              </w:rPr>
              <w:t>fire marshal</w:t>
            </w:r>
            <w:r w:rsidRPr="00AF5CF9">
              <w:rPr>
                <w:rFonts w:ascii="Calibri" w:eastAsia="Times New Roman" w:hAnsi="Calibri" w:cs="Times New Roman"/>
                <w:color w:val="000000"/>
                <w:sz w:val="20"/>
                <w:szCs w:val="20"/>
              </w:rPr>
              <w:t xml:space="preserve"> websites for reports</w:t>
            </w:r>
          </w:p>
        </w:tc>
        <w:tc>
          <w:tcPr>
            <w:tcW w:w="4050" w:type="dxa"/>
            <w:vAlign w:val="center"/>
          </w:tcPr>
          <w:p w14:paraId="011E42C0" w14:textId="3F52532A" w:rsidR="00C25FD7" w:rsidRDefault="00C25FD7" w:rsidP="00C25FD7">
            <w:pPr>
              <w:spacing w:before="120" w:after="120"/>
              <w:rPr>
                <w:sz w:val="20"/>
                <w:szCs w:val="20"/>
              </w:rPr>
            </w:pPr>
            <w:r>
              <w:rPr>
                <w:sz w:val="20"/>
                <w:szCs w:val="20"/>
              </w:rPr>
              <w:t>June/July</w:t>
            </w:r>
          </w:p>
        </w:tc>
      </w:tr>
      <w:tr w:rsidR="00C25FD7" w14:paraId="0DFC482F" w14:textId="77777777" w:rsidTr="00C25FD7">
        <w:trPr>
          <w:trHeight w:val="71"/>
        </w:trPr>
        <w:tc>
          <w:tcPr>
            <w:tcW w:w="5058" w:type="dxa"/>
            <w:vMerge/>
            <w:vAlign w:val="center"/>
          </w:tcPr>
          <w:p w14:paraId="73E63A1C" w14:textId="77777777" w:rsidR="00C25FD7" w:rsidRDefault="00C25FD7" w:rsidP="00C25FD7">
            <w:pPr>
              <w:spacing w:before="120" w:after="120"/>
              <w:rPr>
                <w:sz w:val="20"/>
                <w:szCs w:val="20"/>
              </w:rPr>
            </w:pPr>
          </w:p>
        </w:tc>
        <w:tc>
          <w:tcPr>
            <w:tcW w:w="5490" w:type="dxa"/>
            <w:vAlign w:val="center"/>
          </w:tcPr>
          <w:p w14:paraId="62502F21" w14:textId="479A5D0A" w:rsidR="00C25FD7" w:rsidRPr="00AF5CF9" w:rsidRDefault="00C25FD7" w:rsidP="00C25FD7">
            <w:pPr>
              <w:spacing w:before="120" w:after="120"/>
              <w:rPr>
                <w:rFonts w:ascii="Calibri" w:eastAsia="Times New Roman" w:hAnsi="Calibri" w:cs="Times New Roman"/>
                <w:color w:val="000000"/>
                <w:sz w:val="20"/>
                <w:szCs w:val="20"/>
              </w:rPr>
            </w:pPr>
            <w:r w:rsidRPr="00AF5CF9">
              <w:rPr>
                <w:rFonts w:ascii="Calibri" w:eastAsia="Times New Roman" w:hAnsi="Calibri" w:cs="Times New Roman"/>
                <w:color w:val="000000"/>
                <w:sz w:val="20"/>
                <w:szCs w:val="20"/>
              </w:rPr>
              <w:t>Emergency plans</w:t>
            </w:r>
          </w:p>
        </w:tc>
        <w:tc>
          <w:tcPr>
            <w:tcW w:w="4050" w:type="dxa"/>
            <w:vAlign w:val="center"/>
          </w:tcPr>
          <w:p w14:paraId="392CFD40" w14:textId="544D3997" w:rsidR="00C25FD7" w:rsidRDefault="00C25FD7" w:rsidP="00C25FD7">
            <w:pPr>
              <w:spacing w:before="120" w:after="120"/>
              <w:rPr>
                <w:sz w:val="20"/>
                <w:szCs w:val="20"/>
              </w:rPr>
            </w:pPr>
            <w:r>
              <w:rPr>
                <w:sz w:val="20"/>
                <w:szCs w:val="20"/>
              </w:rPr>
              <w:t>June/July</w:t>
            </w:r>
          </w:p>
        </w:tc>
      </w:tr>
      <w:tr w:rsidR="00C25FD7" w14:paraId="09C0B1F9" w14:textId="77777777" w:rsidTr="00C25FD7">
        <w:trPr>
          <w:trHeight w:val="71"/>
        </w:trPr>
        <w:tc>
          <w:tcPr>
            <w:tcW w:w="5058" w:type="dxa"/>
            <w:vMerge/>
            <w:vAlign w:val="center"/>
          </w:tcPr>
          <w:p w14:paraId="59D00B49" w14:textId="77777777" w:rsidR="00C25FD7" w:rsidRDefault="00C25FD7" w:rsidP="00C25FD7">
            <w:pPr>
              <w:spacing w:before="120" w:after="120"/>
              <w:rPr>
                <w:sz w:val="20"/>
                <w:szCs w:val="20"/>
              </w:rPr>
            </w:pPr>
          </w:p>
        </w:tc>
        <w:tc>
          <w:tcPr>
            <w:tcW w:w="5490" w:type="dxa"/>
            <w:vAlign w:val="center"/>
          </w:tcPr>
          <w:p w14:paraId="1D4DC9AA" w14:textId="79882C21" w:rsidR="00C25FD7" w:rsidRPr="00AF5CF9" w:rsidRDefault="00C25FD7" w:rsidP="00AF5CF9">
            <w:pPr>
              <w:spacing w:before="120" w:after="120"/>
              <w:rPr>
                <w:rFonts w:ascii="Calibri" w:eastAsia="Times New Roman" w:hAnsi="Calibri" w:cs="Times New Roman"/>
                <w:color w:val="000000"/>
                <w:sz w:val="20"/>
                <w:szCs w:val="20"/>
              </w:rPr>
            </w:pPr>
            <w:r w:rsidRPr="00AF5CF9">
              <w:rPr>
                <w:rFonts w:ascii="Calibri" w:eastAsia="Times New Roman" w:hAnsi="Calibri" w:cs="Times New Roman"/>
                <w:color w:val="000000"/>
                <w:sz w:val="20"/>
                <w:szCs w:val="20"/>
              </w:rPr>
              <w:t xml:space="preserve">Test </w:t>
            </w:r>
            <w:r w:rsidR="00AF5CF9" w:rsidRPr="00AF5CF9">
              <w:rPr>
                <w:rFonts w:ascii="Calibri" w:eastAsia="Times New Roman" w:hAnsi="Calibri" w:cs="Times New Roman"/>
                <w:color w:val="000000"/>
                <w:sz w:val="20"/>
                <w:szCs w:val="20"/>
              </w:rPr>
              <w:t>accommodations</w:t>
            </w:r>
          </w:p>
        </w:tc>
        <w:tc>
          <w:tcPr>
            <w:tcW w:w="4050" w:type="dxa"/>
            <w:vAlign w:val="center"/>
          </w:tcPr>
          <w:p w14:paraId="4C3E3694" w14:textId="31A72CB3" w:rsidR="00C25FD7" w:rsidRDefault="00C25FD7" w:rsidP="00C25FD7">
            <w:pPr>
              <w:spacing w:before="120" w:after="120"/>
              <w:rPr>
                <w:sz w:val="20"/>
                <w:szCs w:val="20"/>
              </w:rPr>
            </w:pPr>
            <w:r>
              <w:rPr>
                <w:sz w:val="20"/>
                <w:szCs w:val="20"/>
              </w:rPr>
              <w:t>June/July</w:t>
            </w:r>
          </w:p>
        </w:tc>
      </w:tr>
      <w:tr w:rsidR="00C25FD7" w14:paraId="1B730C96" w14:textId="77777777" w:rsidTr="00C25FD7">
        <w:trPr>
          <w:trHeight w:val="71"/>
        </w:trPr>
        <w:tc>
          <w:tcPr>
            <w:tcW w:w="5058" w:type="dxa"/>
            <w:vMerge/>
            <w:vAlign w:val="center"/>
          </w:tcPr>
          <w:p w14:paraId="67C7AF1F" w14:textId="77777777" w:rsidR="00C25FD7" w:rsidRDefault="00C25FD7" w:rsidP="00C25FD7">
            <w:pPr>
              <w:spacing w:before="120" w:after="120"/>
              <w:rPr>
                <w:sz w:val="20"/>
                <w:szCs w:val="20"/>
              </w:rPr>
            </w:pPr>
          </w:p>
        </w:tc>
        <w:tc>
          <w:tcPr>
            <w:tcW w:w="5490" w:type="dxa"/>
            <w:vAlign w:val="center"/>
          </w:tcPr>
          <w:p w14:paraId="72963910" w14:textId="21BDB543" w:rsidR="00C25FD7" w:rsidRPr="00AF5CF9" w:rsidRDefault="00C25FD7" w:rsidP="00C25FD7">
            <w:pPr>
              <w:spacing w:before="120" w:after="120"/>
              <w:rPr>
                <w:rFonts w:ascii="Calibri" w:eastAsia="Times New Roman" w:hAnsi="Calibri" w:cs="Times New Roman"/>
                <w:color w:val="000000"/>
                <w:sz w:val="20"/>
                <w:szCs w:val="20"/>
              </w:rPr>
            </w:pPr>
            <w:r w:rsidRPr="00AF5CF9">
              <w:rPr>
                <w:rFonts w:ascii="Calibri" w:eastAsia="Times New Roman" w:hAnsi="Calibri" w:cs="Times New Roman"/>
                <w:color w:val="000000"/>
                <w:sz w:val="20"/>
                <w:szCs w:val="20"/>
              </w:rPr>
              <w:t>Ethics training for boards</w:t>
            </w:r>
          </w:p>
        </w:tc>
        <w:tc>
          <w:tcPr>
            <w:tcW w:w="4050" w:type="dxa"/>
            <w:vAlign w:val="center"/>
          </w:tcPr>
          <w:p w14:paraId="0817FDDF" w14:textId="756A9682" w:rsidR="00C25FD7" w:rsidRDefault="00C25FD7" w:rsidP="00C25FD7">
            <w:pPr>
              <w:spacing w:before="120" w:after="120"/>
              <w:rPr>
                <w:sz w:val="20"/>
                <w:szCs w:val="20"/>
              </w:rPr>
            </w:pPr>
            <w:r>
              <w:rPr>
                <w:sz w:val="20"/>
                <w:szCs w:val="20"/>
              </w:rPr>
              <w:t>Annual Visit</w:t>
            </w:r>
          </w:p>
        </w:tc>
      </w:tr>
      <w:tr w:rsidR="00C25FD7" w14:paraId="4D5F0C2C" w14:textId="77777777" w:rsidTr="00C25FD7">
        <w:trPr>
          <w:trHeight w:val="71"/>
        </w:trPr>
        <w:tc>
          <w:tcPr>
            <w:tcW w:w="5058" w:type="dxa"/>
            <w:vMerge/>
            <w:vAlign w:val="center"/>
          </w:tcPr>
          <w:p w14:paraId="7A19EBD6" w14:textId="77777777" w:rsidR="00C25FD7" w:rsidRDefault="00C25FD7" w:rsidP="00C25FD7">
            <w:pPr>
              <w:spacing w:before="120" w:after="120"/>
              <w:rPr>
                <w:sz w:val="20"/>
                <w:szCs w:val="20"/>
              </w:rPr>
            </w:pPr>
          </w:p>
        </w:tc>
        <w:tc>
          <w:tcPr>
            <w:tcW w:w="5490" w:type="dxa"/>
            <w:vAlign w:val="center"/>
          </w:tcPr>
          <w:p w14:paraId="4F79755D" w14:textId="7D95F0F3" w:rsidR="00C25FD7" w:rsidRPr="00AF5CF9" w:rsidRDefault="00A94D9F" w:rsidP="00C25FD7">
            <w:pPr>
              <w:spacing w:before="120" w:after="120"/>
              <w:rPr>
                <w:rFonts w:ascii="Calibri" w:eastAsia="Times New Roman" w:hAnsi="Calibri" w:cs="Times New Roman"/>
                <w:color w:val="000000"/>
                <w:sz w:val="20"/>
                <w:szCs w:val="20"/>
              </w:rPr>
            </w:pPr>
            <w:r w:rsidRPr="00AF5CF9">
              <w:rPr>
                <w:rFonts w:ascii="Calibri" w:eastAsia="Times New Roman" w:hAnsi="Calibri" w:cs="Times New Roman"/>
                <w:color w:val="000000"/>
                <w:sz w:val="20"/>
                <w:szCs w:val="20"/>
              </w:rPr>
              <w:t>Review b</w:t>
            </w:r>
            <w:r w:rsidR="00C25FD7" w:rsidRPr="00AF5CF9">
              <w:rPr>
                <w:rFonts w:ascii="Calibri" w:eastAsia="Times New Roman" w:hAnsi="Calibri" w:cs="Times New Roman"/>
                <w:color w:val="000000"/>
                <w:sz w:val="20"/>
                <w:szCs w:val="20"/>
              </w:rPr>
              <w:t>oard financial disclosure</w:t>
            </w:r>
            <w:r w:rsidRPr="00AF5CF9">
              <w:rPr>
                <w:rFonts w:ascii="Calibri" w:eastAsia="Times New Roman" w:hAnsi="Calibri" w:cs="Times New Roman"/>
                <w:color w:val="000000"/>
                <w:sz w:val="20"/>
                <w:szCs w:val="20"/>
              </w:rPr>
              <w:t xml:space="preserve"> on SOS website</w:t>
            </w:r>
          </w:p>
        </w:tc>
        <w:tc>
          <w:tcPr>
            <w:tcW w:w="4050" w:type="dxa"/>
            <w:vAlign w:val="center"/>
          </w:tcPr>
          <w:p w14:paraId="01985E1C" w14:textId="151CDE02" w:rsidR="00C25FD7" w:rsidRDefault="00C25FD7" w:rsidP="00C25FD7">
            <w:pPr>
              <w:spacing w:before="120" w:after="120"/>
              <w:rPr>
                <w:sz w:val="20"/>
                <w:szCs w:val="20"/>
              </w:rPr>
            </w:pPr>
            <w:r>
              <w:rPr>
                <w:sz w:val="20"/>
                <w:szCs w:val="20"/>
              </w:rPr>
              <w:t>Annual Visit</w:t>
            </w:r>
          </w:p>
        </w:tc>
      </w:tr>
    </w:tbl>
    <w:p w14:paraId="03AE678C" w14:textId="77777777" w:rsidR="00C25FD7" w:rsidRPr="006E593B" w:rsidRDefault="00C25FD7" w:rsidP="006B3A07">
      <w:pPr>
        <w:rPr>
          <w:b/>
          <w:sz w:val="20"/>
          <w:szCs w:val="20"/>
          <w:u w:val="single"/>
        </w:rPr>
      </w:pPr>
    </w:p>
    <w:p w14:paraId="6C71C405" w14:textId="77777777" w:rsidR="006E593B" w:rsidRPr="006B3A07" w:rsidRDefault="006E593B" w:rsidP="006B3A07">
      <w:pPr>
        <w:rPr>
          <w:sz w:val="20"/>
          <w:szCs w:val="20"/>
          <w:u w:val="single"/>
        </w:rPr>
      </w:pPr>
    </w:p>
    <w:p w14:paraId="31715C05" w14:textId="77777777" w:rsidR="00F26D53" w:rsidRDefault="00F26D53" w:rsidP="006B3A07">
      <w:pPr>
        <w:rPr>
          <w:b/>
          <w:sz w:val="20"/>
          <w:szCs w:val="20"/>
          <w:u w:val="single"/>
        </w:rPr>
      </w:pPr>
    </w:p>
    <w:tbl>
      <w:tblPr>
        <w:tblStyle w:val="TableGrid"/>
        <w:tblW w:w="14598" w:type="dxa"/>
        <w:tblLook w:val="04A0" w:firstRow="1" w:lastRow="0" w:firstColumn="1" w:lastColumn="0" w:noHBand="0" w:noVBand="1"/>
      </w:tblPr>
      <w:tblGrid>
        <w:gridCol w:w="4968"/>
        <w:gridCol w:w="5580"/>
        <w:gridCol w:w="4050"/>
      </w:tblGrid>
      <w:tr w:rsidR="00C25FD7" w:rsidRPr="006B3A07" w14:paraId="6DFEB409" w14:textId="77777777" w:rsidTr="00C25FD7">
        <w:trPr>
          <w:trHeight w:val="194"/>
        </w:trPr>
        <w:tc>
          <w:tcPr>
            <w:tcW w:w="4968" w:type="dxa"/>
            <w:shd w:val="clear" w:color="auto" w:fill="B8CCE4" w:themeFill="accent1" w:themeFillTint="66"/>
            <w:vAlign w:val="center"/>
          </w:tcPr>
          <w:p w14:paraId="16996F3C" w14:textId="747812DE" w:rsidR="00C25FD7" w:rsidRPr="001B1F32" w:rsidRDefault="00C25FD7" w:rsidP="00C25FD7">
            <w:pPr>
              <w:spacing w:before="120" w:after="120"/>
              <w:rPr>
                <w:b/>
                <w:sz w:val="20"/>
                <w:szCs w:val="20"/>
              </w:rPr>
            </w:pPr>
            <w:r>
              <w:rPr>
                <w:b/>
                <w:sz w:val="20"/>
                <w:szCs w:val="20"/>
              </w:rPr>
              <w:t>Financial Standard</w:t>
            </w:r>
          </w:p>
        </w:tc>
        <w:tc>
          <w:tcPr>
            <w:tcW w:w="5580" w:type="dxa"/>
            <w:shd w:val="clear" w:color="auto" w:fill="B8CCE4" w:themeFill="accent1" w:themeFillTint="66"/>
            <w:vAlign w:val="center"/>
          </w:tcPr>
          <w:p w14:paraId="174D0300" w14:textId="77777777" w:rsidR="00C25FD7" w:rsidRPr="001B1F32" w:rsidRDefault="00C25FD7" w:rsidP="00C25FD7">
            <w:pPr>
              <w:spacing w:before="120" w:after="120"/>
              <w:rPr>
                <w:b/>
                <w:sz w:val="20"/>
                <w:szCs w:val="20"/>
              </w:rPr>
            </w:pPr>
            <w:r w:rsidRPr="001B1F32">
              <w:rPr>
                <w:b/>
                <w:sz w:val="20"/>
                <w:szCs w:val="20"/>
              </w:rPr>
              <w:t>Indicator</w:t>
            </w:r>
          </w:p>
        </w:tc>
        <w:tc>
          <w:tcPr>
            <w:tcW w:w="4050" w:type="dxa"/>
            <w:shd w:val="clear" w:color="auto" w:fill="B8CCE4" w:themeFill="accent1" w:themeFillTint="66"/>
            <w:vAlign w:val="center"/>
          </w:tcPr>
          <w:p w14:paraId="39018DB2" w14:textId="77777777" w:rsidR="00C25FD7" w:rsidRPr="001B1F32" w:rsidRDefault="00C25FD7" w:rsidP="00C25FD7">
            <w:pPr>
              <w:spacing w:before="120" w:after="120"/>
              <w:rPr>
                <w:b/>
                <w:sz w:val="20"/>
                <w:szCs w:val="20"/>
              </w:rPr>
            </w:pPr>
            <w:r>
              <w:rPr>
                <w:b/>
                <w:sz w:val="20"/>
                <w:szCs w:val="20"/>
              </w:rPr>
              <w:t>When Reviewed</w:t>
            </w:r>
          </w:p>
        </w:tc>
      </w:tr>
      <w:tr w:rsidR="00C25FD7" w:rsidRPr="006B3A07" w14:paraId="1C181AD1" w14:textId="77777777" w:rsidTr="00C25FD7">
        <w:trPr>
          <w:trHeight w:val="71"/>
        </w:trPr>
        <w:tc>
          <w:tcPr>
            <w:tcW w:w="4968" w:type="dxa"/>
            <w:vMerge w:val="restart"/>
            <w:vAlign w:val="center"/>
          </w:tcPr>
          <w:p w14:paraId="5F4DAC9D" w14:textId="42F65859" w:rsidR="00C25FD7" w:rsidRPr="006B3A07" w:rsidRDefault="00C25FD7" w:rsidP="00C25FD7">
            <w:pPr>
              <w:spacing w:before="120" w:after="120"/>
              <w:rPr>
                <w:sz w:val="20"/>
                <w:szCs w:val="20"/>
              </w:rPr>
            </w:pPr>
            <w:r w:rsidRPr="006B3A07">
              <w:rPr>
                <w:rFonts w:ascii="Calibri" w:eastAsia="Times New Roman" w:hAnsi="Calibri" w:cs="Times New Roman"/>
                <w:color w:val="000000"/>
                <w:sz w:val="20"/>
                <w:szCs w:val="20"/>
              </w:rPr>
              <w:t>Schools demonstrate strong financial practices resulting in fiscally viable and responsibly maintained institutions.</w:t>
            </w:r>
          </w:p>
        </w:tc>
        <w:tc>
          <w:tcPr>
            <w:tcW w:w="5580" w:type="dxa"/>
            <w:vAlign w:val="center"/>
          </w:tcPr>
          <w:p w14:paraId="41E3D9E1" w14:textId="566A0B61" w:rsidR="00C25FD7" w:rsidRPr="006B3A07" w:rsidRDefault="00C25FD7" w:rsidP="00C25FD7">
            <w:pPr>
              <w:spacing w:before="120" w:after="120"/>
              <w:rPr>
                <w:sz w:val="20"/>
                <w:szCs w:val="20"/>
              </w:rPr>
            </w:pPr>
            <w:r>
              <w:rPr>
                <w:sz w:val="20"/>
                <w:szCs w:val="20"/>
              </w:rPr>
              <w:t>LDE Fiscal Risk Assessment</w:t>
            </w:r>
          </w:p>
        </w:tc>
        <w:tc>
          <w:tcPr>
            <w:tcW w:w="4050" w:type="dxa"/>
            <w:vAlign w:val="center"/>
          </w:tcPr>
          <w:p w14:paraId="3BEDCD1F" w14:textId="0E73CE5B" w:rsidR="00C25FD7" w:rsidRPr="006B3A07" w:rsidRDefault="00C25FD7" w:rsidP="00C25FD7">
            <w:pPr>
              <w:spacing w:before="120" w:after="120"/>
              <w:rPr>
                <w:sz w:val="20"/>
                <w:szCs w:val="20"/>
              </w:rPr>
            </w:pPr>
            <w:r>
              <w:rPr>
                <w:sz w:val="20"/>
                <w:szCs w:val="20"/>
              </w:rPr>
              <w:t>August</w:t>
            </w:r>
          </w:p>
        </w:tc>
      </w:tr>
      <w:tr w:rsidR="00C25FD7" w:rsidRPr="006B3A07" w14:paraId="52BB9A77" w14:textId="77777777" w:rsidTr="00C25FD7">
        <w:trPr>
          <w:trHeight w:val="71"/>
        </w:trPr>
        <w:tc>
          <w:tcPr>
            <w:tcW w:w="4968" w:type="dxa"/>
            <w:vMerge/>
            <w:vAlign w:val="center"/>
          </w:tcPr>
          <w:p w14:paraId="63C97C1F" w14:textId="77777777" w:rsidR="00C25FD7" w:rsidRPr="006B3A07" w:rsidRDefault="00C25FD7" w:rsidP="00C25FD7">
            <w:pPr>
              <w:spacing w:before="120" w:after="120"/>
              <w:rPr>
                <w:sz w:val="20"/>
                <w:szCs w:val="20"/>
              </w:rPr>
            </w:pPr>
          </w:p>
        </w:tc>
        <w:tc>
          <w:tcPr>
            <w:tcW w:w="5580" w:type="dxa"/>
            <w:vAlign w:val="center"/>
          </w:tcPr>
          <w:p w14:paraId="43AB93F1" w14:textId="0A48FEB8" w:rsidR="00C25FD7" w:rsidRPr="006B3A07" w:rsidRDefault="00C25FD7" w:rsidP="00C25FD7">
            <w:pPr>
              <w:spacing w:before="120" w:after="120"/>
              <w:rPr>
                <w:sz w:val="20"/>
                <w:szCs w:val="20"/>
              </w:rPr>
            </w:pPr>
            <w:r>
              <w:rPr>
                <w:sz w:val="20"/>
                <w:szCs w:val="20"/>
              </w:rPr>
              <w:t>External Audit Review</w:t>
            </w:r>
          </w:p>
        </w:tc>
        <w:tc>
          <w:tcPr>
            <w:tcW w:w="4050" w:type="dxa"/>
            <w:vAlign w:val="center"/>
          </w:tcPr>
          <w:p w14:paraId="3C11C563" w14:textId="63A6BB7E" w:rsidR="00C25FD7" w:rsidRPr="006B3A07" w:rsidRDefault="00C25FD7" w:rsidP="00C25FD7">
            <w:pPr>
              <w:spacing w:before="120" w:after="120"/>
              <w:rPr>
                <w:sz w:val="20"/>
                <w:szCs w:val="20"/>
              </w:rPr>
            </w:pPr>
            <w:r>
              <w:rPr>
                <w:sz w:val="20"/>
                <w:szCs w:val="20"/>
              </w:rPr>
              <w:t>August</w:t>
            </w:r>
          </w:p>
        </w:tc>
      </w:tr>
      <w:tr w:rsidR="00C25FD7" w:rsidRPr="006B3A07" w14:paraId="709509BB" w14:textId="77777777" w:rsidTr="00C25FD7">
        <w:trPr>
          <w:trHeight w:val="71"/>
        </w:trPr>
        <w:tc>
          <w:tcPr>
            <w:tcW w:w="4968" w:type="dxa"/>
            <w:vMerge/>
            <w:vAlign w:val="center"/>
          </w:tcPr>
          <w:p w14:paraId="0221AB0A" w14:textId="77777777" w:rsidR="00C25FD7" w:rsidRPr="006B3A07" w:rsidRDefault="00C25FD7" w:rsidP="00C25FD7">
            <w:pPr>
              <w:spacing w:before="120" w:after="120"/>
              <w:rPr>
                <w:sz w:val="20"/>
                <w:szCs w:val="20"/>
              </w:rPr>
            </w:pPr>
          </w:p>
        </w:tc>
        <w:tc>
          <w:tcPr>
            <w:tcW w:w="5580" w:type="dxa"/>
            <w:vAlign w:val="center"/>
          </w:tcPr>
          <w:p w14:paraId="60AB5002" w14:textId="11E7FAB7" w:rsidR="00C25FD7" w:rsidRPr="006B3A07" w:rsidRDefault="00C25FD7" w:rsidP="00C25FD7">
            <w:pPr>
              <w:spacing w:before="120" w:after="120"/>
              <w:rPr>
                <w:sz w:val="20"/>
                <w:szCs w:val="20"/>
              </w:rPr>
            </w:pPr>
            <w:r>
              <w:rPr>
                <w:sz w:val="20"/>
                <w:szCs w:val="20"/>
              </w:rPr>
              <w:t>Federal grant monitoring</w:t>
            </w:r>
          </w:p>
        </w:tc>
        <w:tc>
          <w:tcPr>
            <w:tcW w:w="4050" w:type="dxa"/>
            <w:vAlign w:val="center"/>
          </w:tcPr>
          <w:p w14:paraId="772732EB" w14:textId="03B5A639" w:rsidR="00C25FD7" w:rsidRPr="006B3A07" w:rsidRDefault="00C25FD7" w:rsidP="00C25FD7">
            <w:pPr>
              <w:spacing w:before="120" w:after="120"/>
              <w:rPr>
                <w:sz w:val="20"/>
                <w:szCs w:val="20"/>
              </w:rPr>
            </w:pPr>
            <w:r>
              <w:rPr>
                <w:sz w:val="20"/>
                <w:szCs w:val="20"/>
              </w:rPr>
              <w:t>As available</w:t>
            </w:r>
          </w:p>
        </w:tc>
      </w:tr>
      <w:tr w:rsidR="00C25FD7" w:rsidRPr="006B3A07" w14:paraId="5C98D2F9" w14:textId="77777777" w:rsidTr="00C25FD7">
        <w:trPr>
          <w:trHeight w:val="71"/>
        </w:trPr>
        <w:tc>
          <w:tcPr>
            <w:tcW w:w="4968" w:type="dxa"/>
            <w:vMerge/>
            <w:vAlign w:val="center"/>
          </w:tcPr>
          <w:p w14:paraId="20A345AB" w14:textId="77777777" w:rsidR="00C25FD7" w:rsidRPr="006B3A07" w:rsidRDefault="00C25FD7" w:rsidP="00C25FD7">
            <w:pPr>
              <w:spacing w:before="120" w:after="120"/>
              <w:rPr>
                <w:sz w:val="20"/>
                <w:szCs w:val="20"/>
              </w:rPr>
            </w:pPr>
          </w:p>
        </w:tc>
        <w:tc>
          <w:tcPr>
            <w:tcW w:w="5580" w:type="dxa"/>
            <w:vAlign w:val="center"/>
          </w:tcPr>
          <w:p w14:paraId="32B478FA" w14:textId="683C5820" w:rsidR="00C25FD7" w:rsidRPr="006B3A07" w:rsidRDefault="00C25FD7" w:rsidP="00C25FD7">
            <w:pPr>
              <w:spacing w:before="120" w:after="120"/>
              <w:rPr>
                <w:sz w:val="20"/>
                <w:szCs w:val="20"/>
              </w:rPr>
            </w:pPr>
            <w:r>
              <w:rPr>
                <w:sz w:val="20"/>
                <w:szCs w:val="20"/>
              </w:rPr>
              <w:t>Quarterly budget review</w:t>
            </w:r>
          </w:p>
        </w:tc>
        <w:tc>
          <w:tcPr>
            <w:tcW w:w="4050" w:type="dxa"/>
            <w:vAlign w:val="center"/>
          </w:tcPr>
          <w:p w14:paraId="09B40044" w14:textId="2FB82FF0" w:rsidR="00C25FD7" w:rsidRPr="006B3A07" w:rsidRDefault="00C25FD7" w:rsidP="00C25FD7">
            <w:pPr>
              <w:spacing w:before="120" w:after="120"/>
              <w:rPr>
                <w:sz w:val="20"/>
                <w:szCs w:val="20"/>
              </w:rPr>
            </w:pPr>
            <w:r>
              <w:rPr>
                <w:sz w:val="20"/>
                <w:szCs w:val="20"/>
              </w:rPr>
              <w:t>Quarterly</w:t>
            </w:r>
          </w:p>
        </w:tc>
      </w:tr>
    </w:tbl>
    <w:p w14:paraId="260B6F88" w14:textId="77777777" w:rsidR="006B3A07" w:rsidRPr="006B3A07" w:rsidRDefault="006B3A07" w:rsidP="006B3A07">
      <w:pPr>
        <w:rPr>
          <w:rFonts w:ascii="Calibri" w:hAnsi="Calibri" w:cs="Calibri"/>
          <w:b/>
          <w:sz w:val="20"/>
          <w:szCs w:val="20"/>
        </w:rPr>
      </w:pPr>
    </w:p>
    <w:p w14:paraId="1657DBD3" w14:textId="7811DB9B" w:rsidR="00A66304" w:rsidRPr="00A66304" w:rsidRDefault="00A66304" w:rsidP="00AF5CF9">
      <w:pPr>
        <w:pStyle w:val="ListParagraph"/>
        <w:ind w:left="1080"/>
        <w:rPr>
          <w:sz w:val="20"/>
          <w:szCs w:val="20"/>
        </w:rPr>
      </w:pPr>
      <w:bookmarkStart w:id="0" w:name="_GoBack"/>
      <w:bookmarkEnd w:id="0"/>
      <w:r>
        <w:rPr>
          <w:sz w:val="20"/>
          <w:szCs w:val="20"/>
        </w:rPr>
        <w:t xml:space="preserve"> </w:t>
      </w:r>
    </w:p>
    <w:sectPr w:rsidR="00A66304" w:rsidRPr="00A66304" w:rsidSect="007A2AED">
      <w:pgSz w:w="15840" w:h="12240" w:orient="landscape"/>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8D15B1" w15:done="0"/>
  <w15:commentEx w15:paraId="52910240" w15:done="0"/>
  <w15:commentEx w15:paraId="093BBAA1" w15:done="0"/>
  <w15:commentEx w15:paraId="0C807467" w15:done="0"/>
  <w15:commentEx w15:paraId="2B9E16D4" w15:done="0"/>
  <w15:commentEx w15:paraId="2A1B98B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6CBE"/>
    <w:multiLevelType w:val="hybridMultilevel"/>
    <w:tmpl w:val="0FF0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D6ECB"/>
    <w:multiLevelType w:val="hybridMultilevel"/>
    <w:tmpl w:val="517C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C648D"/>
    <w:multiLevelType w:val="hybridMultilevel"/>
    <w:tmpl w:val="6D0E1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CC711E"/>
    <w:multiLevelType w:val="hybridMultilevel"/>
    <w:tmpl w:val="3CA87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20386C"/>
    <w:multiLevelType w:val="hybridMultilevel"/>
    <w:tmpl w:val="7FA0AB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9660B6"/>
    <w:multiLevelType w:val="hybridMultilevel"/>
    <w:tmpl w:val="037A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F05E7"/>
    <w:multiLevelType w:val="hybridMultilevel"/>
    <w:tmpl w:val="6026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A63691"/>
    <w:multiLevelType w:val="hybridMultilevel"/>
    <w:tmpl w:val="18C6E916"/>
    <w:lvl w:ilvl="0" w:tplc="82E0586A">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3A54229"/>
    <w:multiLevelType w:val="hybridMultilevel"/>
    <w:tmpl w:val="E08AC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3A72A8"/>
    <w:multiLevelType w:val="hybridMultilevel"/>
    <w:tmpl w:val="CA5E35F4"/>
    <w:lvl w:ilvl="0" w:tplc="21CE2430">
      <w:start w:val="1"/>
      <w:numFmt w:val="bullet"/>
      <w:lvlText w:val="•"/>
      <w:lvlJc w:val="left"/>
      <w:pPr>
        <w:tabs>
          <w:tab w:val="num" w:pos="720"/>
        </w:tabs>
        <w:ind w:left="720" w:hanging="360"/>
      </w:pPr>
      <w:rPr>
        <w:rFonts w:ascii="Arial" w:hAnsi="Arial" w:hint="default"/>
      </w:rPr>
    </w:lvl>
    <w:lvl w:ilvl="1" w:tplc="ADEE0A70">
      <w:numFmt w:val="bullet"/>
      <w:lvlText w:val="•"/>
      <w:lvlJc w:val="left"/>
      <w:pPr>
        <w:tabs>
          <w:tab w:val="num" w:pos="1440"/>
        </w:tabs>
        <w:ind w:left="1440" w:hanging="360"/>
      </w:pPr>
      <w:rPr>
        <w:rFonts w:ascii="Arial" w:hAnsi="Arial" w:hint="default"/>
      </w:rPr>
    </w:lvl>
    <w:lvl w:ilvl="2" w:tplc="B3DEC91A" w:tentative="1">
      <w:start w:val="1"/>
      <w:numFmt w:val="bullet"/>
      <w:lvlText w:val="•"/>
      <w:lvlJc w:val="left"/>
      <w:pPr>
        <w:tabs>
          <w:tab w:val="num" w:pos="2160"/>
        </w:tabs>
        <w:ind w:left="2160" w:hanging="360"/>
      </w:pPr>
      <w:rPr>
        <w:rFonts w:ascii="Arial" w:hAnsi="Arial" w:hint="default"/>
      </w:rPr>
    </w:lvl>
    <w:lvl w:ilvl="3" w:tplc="6D6C674C" w:tentative="1">
      <w:start w:val="1"/>
      <w:numFmt w:val="bullet"/>
      <w:lvlText w:val="•"/>
      <w:lvlJc w:val="left"/>
      <w:pPr>
        <w:tabs>
          <w:tab w:val="num" w:pos="2880"/>
        </w:tabs>
        <w:ind w:left="2880" w:hanging="360"/>
      </w:pPr>
      <w:rPr>
        <w:rFonts w:ascii="Arial" w:hAnsi="Arial" w:hint="default"/>
      </w:rPr>
    </w:lvl>
    <w:lvl w:ilvl="4" w:tplc="57C6B65A" w:tentative="1">
      <w:start w:val="1"/>
      <w:numFmt w:val="bullet"/>
      <w:lvlText w:val="•"/>
      <w:lvlJc w:val="left"/>
      <w:pPr>
        <w:tabs>
          <w:tab w:val="num" w:pos="3600"/>
        </w:tabs>
        <w:ind w:left="3600" w:hanging="360"/>
      </w:pPr>
      <w:rPr>
        <w:rFonts w:ascii="Arial" w:hAnsi="Arial" w:hint="default"/>
      </w:rPr>
    </w:lvl>
    <w:lvl w:ilvl="5" w:tplc="1714D5BA" w:tentative="1">
      <w:start w:val="1"/>
      <w:numFmt w:val="bullet"/>
      <w:lvlText w:val="•"/>
      <w:lvlJc w:val="left"/>
      <w:pPr>
        <w:tabs>
          <w:tab w:val="num" w:pos="4320"/>
        </w:tabs>
        <w:ind w:left="4320" w:hanging="360"/>
      </w:pPr>
      <w:rPr>
        <w:rFonts w:ascii="Arial" w:hAnsi="Arial" w:hint="default"/>
      </w:rPr>
    </w:lvl>
    <w:lvl w:ilvl="6" w:tplc="CCDE0CB0" w:tentative="1">
      <w:start w:val="1"/>
      <w:numFmt w:val="bullet"/>
      <w:lvlText w:val="•"/>
      <w:lvlJc w:val="left"/>
      <w:pPr>
        <w:tabs>
          <w:tab w:val="num" w:pos="5040"/>
        </w:tabs>
        <w:ind w:left="5040" w:hanging="360"/>
      </w:pPr>
      <w:rPr>
        <w:rFonts w:ascii="Arial" w:hAnsi="Arial" w:hint="default"/>
      </w:rPr>
    </w:lvl>
    <w:lvl w:ilvl="7" w:tplc="3944395C" w:tentative="1">
      <w:start w:val="1"/>
      <w:numFmt w:val="bullet"/>
      <w:lvlText w:val="•"/>
      <w:lvlJc w:val="left"/>
      <w:pPr>
        <w:tabs>
          <w:tab w:val="num" w:pos="5760"/>
        </w:tabs>
        <w:ind w:left="5760" w:hanging="360"/>
      </w:pPr>
      <w:rPr>
        <w:rFonts w:ascii="Arial" w:hAnsi="Arial" w:hint="default"/>
      </w:rPr>
    </w:lvl>
    <w:lvl w:ilvl="8" w:tplc="E832834A" w:tentative="1">
      <w:start w:val="1"/>
      <w:numFmt w:val="bullet"/>
      <w:lvlText w:val="•"/>
      <w:lvlJc w:val="left"/>
      <w:pPr>
        <w:tabs>
          <w:tab w:val="num" w:pos="6480"/>
        </w:tabs>
        <w:ind w:left="6480" w:hanging="360"/>
      </w:pPr>
      <w:rPr>
        <w:rFonts w:ascii="Arial" w:hAnsi="Arial" w:hint="default"/>
      </w:rPr>
    </w:lvl>
  </w:abstractNum>
  <w:abstractNum w:abstractNumId="10">
    <w:nsid w:val="4DAE4A1E"/>
    <w:multiLevelType w:val="hybridMultilevel"/>
    <w:tmpl w:val="4B2E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B56640"/>
    <w:multiLevelType w:val="hybridMultilevel"/>
    <w:tmpl w:val="2B72F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BC432E"/>
    <w:multiLevelType w:val="hybridMultilevel"/>
    <w:tmpl w:val="CDF02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E5C2FEE"/>
    <w:multiLevelType w:val="hybridMultilevel"/>
    <w:tmpl w:val="18BEBA66"/>
    <w:lvl w:ilvl="0" w:tplc="F448FF2C">
      <w:start w:val="1"/>
      <w:numFmt w:val="bullet"/>
      <w:lvlText w:val="o"/>
      <w:lvlJc w:val="left"/>
      <w:pPr>
        <w:ind w:left="1080" w:hanging="360"/>
      </w:pPr>
      <w:rPr>
        <w:rFonts w:ascii="Wingdings" w:hAnsi="Wingdings" w:hint="default"/>
        <w:sz w:val="26"/>
        <w:szCs w:val="26"/>
      </w:rPr>
    </w:lvl>
    <w:lvl w:ilvl="1" w:tplc="04090003" w:tentative="1">
      <w:start w:val="1"/>
      <w:numFmt w:val="bullet"/>
      <w:lvlText w:val="o"/>
      <w:lvlJc w:val="left"/>
      <w:pPr>
        <w:ind w:left="2664" w:hanging="360"/>
      </w:pPr>
      <w:rPr>
        <w:rFonts w:ascii="Courier New" w:hAnsi="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4">
    <w:nsid w:val="62151E01"/>
    <w:multiLevelType w:val="hybridMultilevel"/>
    <w:tmpl w:val="8A30E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064283"/>
    <w:multiLevelType w:val="hybridMultilevel"/>
    <w:tmpl w:val="6CE27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8FD03BF"/>
    <w:multiLevelType w:val="hybridMultilevel"/>
    <w:tmpl w:val="7D5A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453FBA"/>
    <w:multiLevelType w:val="hybridMultilevel"/>
    <w:tmpl w:val="E2DC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8F4089"/>
    <w:multiLevelType w:val="hybridMultilevel"/>
    <w:tmpl w:val="0F34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972353"/>
    <w:multiLevelType w:val="hybridMultilevel"/>
    <w:tmpl w:val="C728E34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4"/>
  </w:num>
  <w:num w:numId="3">
    <w:abstractNumId w:val="15"/>
  </w:num>
  <w:num w:numId="4">
    <w:abstractNumId w:val="2"/>
  </w:num>
  <w:num w:numId="5">
    <w:abstractNumId w:val="12"/>
  </w:num>
  <w:num w:numId="6">
    <w:abstractNumId w:val="3"/>
  </w:num>
  <w:num w:numId="7">
    <w:abstractNumId w:val="8"/>
  </w:num>
  <w:num w:numId="8">
    <w:abstractNumId w:val="9"/>
  </w:num>
  <w:num w:numId="9">
    <w:abstractNumId w:val="16"/>
  </w:num>
  <w:num w:numId="10">
    <w:abstractNumId w:val="1"/>
  </w:num>
  <w:num w:numId="11">
    <w:abstractNumId w:val="4"/>
  </w:num>
  <w:num w:numId="12">
    <w:abstractNumId w:val="5"/>
  </w:num>
  <w:num w:numId="13">
    <w:abstractNumId w:val="10"/>
  </w:num>
  <w:num w:numId="14">
    <w:abstractNumId w:val="17"/>
  </w:num>
  <w:num w:numId="15">
    <w:abstractNumId w:val="18"/>
  </w:num>
  <w:num w:numId="16">
    <w:abstractNumId w:val="19"/>
  </w:num>
  <w:num w:numId="17">
    <w:abstractNumId w:val="6"/>
  </w:num>
  <w:num w:numId="18">
    <w:abstractNumId w:val="11"/>
  </w:num>
  <w:num w:numId="19">
    <w:abstractNumId w:val="13"/>
  </w:num>
  <w:num w:numId="20">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4A"/>
    <w:rsid w:val="00027F70"/>
    <w:rsid w:val="000612A3"/>
    <w:rsid w:val="00080A60"/>
    <w:rsid w:val="000B1D62"/>
    <w:rsid w:val="000D5051"/>
    <w:rsid w:val="000D7373"/>
    <w:rsid w:val="00117838"/>
    <w:rsid w:val="0012143D"/>
    <w:rsid w:val="001366E6"/>
    <w:rsid w:val="0014672F"/>
    <w:rsid w:val="00173397"/>
    <w:rsid w:val="00191E03"/>
    <w:rsid w:val="001B1F32"/>
    <w:rsid w:val="001E43E6"/>
    <w:rsid w:val="00211C33"/>
    <w:rsid w:val="00220E3C"/>
    <w:rsid w:val="00222B6B"/>
    <w:rsid w:val="00224B8D"/>
    <w:rsid w:val="00261D15"/>
    <w:rsid w:val="00285CFA"/>
    <w:rsid w:val="002B6E39"/>
    <w:rsid w:val="002C11F3"/>
    <w:rsid w:val="002D4E93"/>
    <w:rsid w:val="002E55C7"/>
    <w:rsid w:val="00300AF4"/>
    <w:rsid w:val="003021D2"/>
    <w:rsid w:val="003917A2"/>
    <w:rsid w:val="0039323B"/>
    <w:rsid w:val="003B240D"/>
    <w:rsid w:val="003B75C3"/>
    <w:rsid w:val="003C14A3"/>
    <w:rsid w:val="003D1530"/>
    <w:rsid w:val="003F4F71"/>
    <w:rsid w:val="00420486"/>
    <w:rsid w:val="00425A40"/>
    <w:rsid w:val="004439CF"/>
    <w:rsid w:val="00446CD5"/>
    <w:rsid w:val="004573A1"/>
    <w:rsid w:val="004735F8"/>
    <w:rsid w:val="00495F0D"/>
    <w:rsid w:val="004E698C"/>
    <w:rsid w:val="004F32E3"/>
    <w:rsid w:val="005025EB"/>
    <w:rsid w:val="005026C0"/>
    <w:rsid w:val="00505E26"/>
    <w:rsid w:val="00520022"/>
    <w:rsid w:val="00583951"/>
    <w:rsid w:val="00584817"/>
    <w:rsid w:val="0058725E"/>
    <w:rsid w:val="0059526B"/>
    <w:rsid w:val="00596600"/>
    <w:rsid w:val="005D62DB"/>
    <w:rsid w:val="005E0666"/>
    <w:rsid w:val="005E3AF9"/>
    <w:rsid w:val="006001C0"/>
    <w:rsid w:val="0063077B"/>
    <w:rsid w:val="00634B1C"/>
    <w:rsid w:val="00641615"/>
    <w:rsid w:val="006439F3"/>
    <w:rsid w:val="00674F3B"/>
    <w:rsid w:val="00676153"/>
    <w:rsid w:val="006A34ED"/>
    <w:rsid w:val="006B3A07"/>
    <w:rsid w:val="006C6919"/>
    <w:rsid w:val="006E593B"/>
    <w:rsid w:val="00705D4A"/>
    <w:rsid w:val="007322A6"/>
    <w:rsid w:val="007617B4"/>
    <w:rsid w:val="007847EC"/>
    <w:rsid w:val="007A2AED"/>
    <w:rsid w:val="007B2C52"/>
    <w:rsid w:val="00821AFC"/>
    <w:rsid w:val="0082643B"/>
    <w:rsid w:val="008318E2"/>
    <w:rsid w:val="00870033"/>
    <w:rsid w:val="00872A83"/>
    <w:rsid w:val="0087770B"/>
    <w:rsid w:val="00877A51"/>
    <w:rsid w:val="0088646D"/>
    <w:rsid w:val="008A225D"/>
    <w:rsid w:val="008A312A"/>
    <w:rsid w:val="008A5957"/>
    <w:rsid w:val="008A61D9"/>
    <w:rsid w:val="008C2B60"/>
    <w:rsid w:val="008D502B"/>
    <w:rsid w:val="009009AE"/>
    <w:rsid w:val="00912B25"/>
    <w:rsid w:val="009667FF"/>
    <w:rsid w:val="00987897"/>
    <w:rsid w:val="009A4B8B"/>
    <w:rsid w:val="009A54D9"/>
    <w:rsid w:val="00A2001D"/>
    <w:rsid w:val="00A66304"/>
    <w:rsid w:val="00A80D3C"/>
    <w:rsid w:val="00A859B7"/>
    <w:rsid w:val="00A94D9F"/>
    <w:rsid w:val="00AB41A9"/>
    <w:rsid w:val="00AF5CF9"/>
    <w:rsid w:val="00AF5EEF"/>
    <w:rsid w:val="00B03D53"/>
    <w:rsid w:val="00B27489"/>
    <w:rsid w:val="00B54BFB"/>
    <w:rsid w:val="00B804BC"/>
    <w:rsid w:val="00B86E05"/>
    <w:rsid w:val="00BC076C"/>
    <w:rsid w:val="00BC69AC"/>
    <w:rsid w:val="00BD4069"/>
    <w:rsid w:val="00BD6B0F"/>
    <w:rsid w:val="00BE2728"/>
    <w:rsid w:val="00C17707"/>
    <w:rsid w:val="00C25FD7"/>
    <w:rsid w:val="00C43376"/>
    <w:rsid w:val="00C61825"/>
    <w:rsid w:val="00C66CD5"/>
    <w:rsid w:val="00CE5453"/>
    <w:rsid w:val="00D111C4"/>
    <w:rsid w:val="00D16A35"/>
    <w:rsid w:val="00D227D4"/>
    <w:rsid w:val="00D42DAF"/>
    <w:rsid w:val="00D72A21"/>
    <w:rsid w:val="00DA3BC0"/>
    <w:rsid w:val="00DB5B72"/>
    <w:rsid w:val="00DD4C4A"/>
    <w:rsid w:val="00DE15F6"/>
    <w:rsid w:val="00DF00A2"/>
    <w:rsid w:val="00E24BFD"/>
    <w:rsid w:val="00E2569D"/>
    <w:rsid w:val="00E55F74"/>
    <w:rsid w:val="00EB2E4A"/>
    <w:rsid w:val="00EB5D07"/>
    <w:rsid w:val="00F05F7D"/>
    <w:rsid w:val="00F13456"/>
    <w:rsid w:val="00F26D53"/>
    <w:rsid w:val="00F4265D"/>
    <w:rsid w:val="00F53B20"/>
    <w:rsid w:val="00F56340"/>
    <w:rsid w:val="00F932A8"/>
    <w:rsid w:val="00FC1D33"/>
    <w:rsid w:val="00FE6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9DA6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C4A"/>
    <w:rPr>
      <w:rFonts w:asciiTheme="majorHAnsi" w:hAnsiTheme="majorHAnsi"/>
      <w:sz w:val="22"/>
      <w:szCs w:val="22"/>
    </w:rPr>
  </w:style>
  <w:style w:type="paragraph" w:styleId="Heading2">
    <w:name w:val="heading 2"/>
    <w:basedOn w:val="Normal"/>
    <w:link w:val="Heading2Char"/>
    <w:uiPriority w:val="1"/>
    <w:qFormat/>
    <w:rsid w:val="00DD4C4A"/>
    <w:pPr>
      <w:widowControl w:val="0"/>
      <w:ind w:left="127"/>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C4A"/>
    <w:pPr>
      <w:ind w:left="720"/>
      <w:contextualSpacing/>
    </w:pPr>
  </w:style>
  <w:style w:type="character" w:styleId="CommentReference">
    <w:name w:val="annotation reference"/>
    <w:basedOn w:val="DefaultParagraphFont"/>
    <w:uiPriority w:val="99"/>
    <w:semiHidden/>
    <w:unhideWhenUsed/>
    <w:rsid w:val="00DD4C4A"/>
    <w:rPr>
      <w:sz w:val="18"/>
      <w:szCs w:val="18"/>
    </w:rPr>
  </w:style>
  <w:style w:type="paragraph" w:styleId="CommentText">
    <w:name w:val="annotation text"/>
    <w:basedOn w:val="Normal"/>
    <w:link w:val="CommentTextChar"/>
    <w:uiPriority w:val="99"/>
    <w:semiHidden/>
    <w:unhideWhenUsed/>
    <w:rsid w:val="00DD4C4A"/>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DD4C4A"/>
  </w:style>
  <w:style w:type="paragraph" w:styleId="BalloonText">
    <w:name w:val="Balloon Text"/>
    <w:basedOn w:val="Normal"/>
    <w:link w:val="BalloonTextChar"/>
    <w:uiPriority w:val="99"/>
    <w:semiHidden/>
    <w:unhideWhenUsed/>
    <w:rsid w:val="00DD4C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4C4A"/>
    <w:rPr>
      <w:rFonts w:ascii="Lucida Grande" w:hAnsi="Lucida Grande" w:cs="Lucida Grande"/>
      <w:sz w:val="18"/>
      <w:szCs w:val="18"/>
    </w:rPr>
  </w:style>
  <w:style w:type="character" w:customStyle="1" w:styleId="Heading2Char">
    <w:name w:val="Heading 2 Char"/>
    <w:basedOn w:val="DefaultParagraphFont"/>
    <w:link w:val="Heading2"/>
    <w:uiPriority w:val="1"/>
    <w:rsid w:val="00DD4C4A"/>
    <w:rPr>
      <w:rFonts w:ascii="Calibri" w:eastAsia="Calibri" w:hAnsi="Calibri"/>
      <w:b/>
      <w:bCs/>
      <w:sz w:val="22"/>
      <w:szCs w:val="22"/>
    </w:rPr>
  </w:style>
  <w:style w:type="table" w:styleId="TableGrid">
    <w:name w:val="Table Grid"/>
    <w:basedOn w:val="TableNormal"/>
    <w:uiPriority w:val="59"/>
    <w:rsid w:val="00F4265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27489"/>
    <w:rPr>
      <w:rFonts w:asciiTheme="majorHAnsi" w:hAnsiTheme="majorHAnsi"/>
      <w:b/>
      <w:bCs/>
      <w:sz w:val="20"/>
      <w:szCs w:val="20"/>
    </w:rPr>
  </w:style>
  <w:style w:type="character" w:customStyle="1" w:styleId="CommentSubjectChar">
    <w:name w:val="Comment Subject Char"/>
    <w:basedOn w:val="CommentTextChar"/>
    <w:link w:val="CommentSubject"/>
    <w:uiPriority w:val="99"/>
    <w:semiHidden/>
    <w:rsid w:val="00B27489"/>
    <w:rPr>
      <w:rFonts w:asciiTheme="majorHAnsi" w:hAnsiTheme="majorHAnsi"/>
      <w:b/>
      <w:bCs/>
      <w:sz w:val="20"/>
      <w:szCs w:val="20"/>
    </w:rPr>
  </w:style>
  <w:style w:type="paragraph" w:styleId="Revision">
    <w:name w:val="Revision"/>
    <w:hidden/>
    <w:uiPriority w:val="99"/>
    <w:semiHidden/>
    <w:rsid w:val="00DE15F6"/>
    <w:rPr>
      <w:rFonts w:asciiTheme="majorHAnsi" w:hAnsiTheme="maj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C4A"/>
    <w:rPr>
      <w:rFonts w:asciiTheme="majorHAnsi" w:hAnsiTheme="majorHAnsi"/>
      <w:sz w:val="22"/>
      <w:szCs w:val="22"/>
    </w:rPr>
  </w:style>
  <w:style w:type="paragraph" w:styleId="Heading2">
    <w:name w:val="heading 2"/>
    <w:basedOn w:val="Normal"/>
    <w:link w:val="Heading2Char"/>
    <w:uiPriority w:val="1"/>
    <w:qFormat/>
    <w:rsid w:val="00DD4C4A"/>
    <w:pPr>
      <w:widowControl w:val="0"/>
      <w:ind w:left="127"/>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C4A"/>
    <w:pPr>
      <w:ind w:left="720"/>
      <w:contextualSpacing/>
    </w:pPr>
  </w:style>
  <w:style w:type="character" w:styleId="CommentReference">
    <w:name w:val="annotation reference"/>
    <w:basedOn w:val="DefaultParagraphFont"/>
    <w:uiPriority w:val="99"/>
    <w:semiHidden/>
    <w:unhideWhenUsed/>
    <w:rsid w:val="00DD4C4A"/>
    <w:rPr>
      <w:sz w:val="18"/>
      <w:szCs w:val="18"/>
    </w:rPr>
  </w:style>
  <w:style w:type="paragraph" w:styleId="CommentText">
    <w:name w:val="annotation text"/>
    <w:basedOn w:val="Normal"/>
    <w:link w:val="CommentTextChar"/>
    <w:uiPriority w:val="99"/>
    <w:semiHidden/>
    <w:unhideWhenUsed/>
    <w:rsid w:val="00DD4C4A"/>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DD4C4A"/>
  </w:style>
  <w:style w:type="paragraph" w:styleId="BalloonText">
    <w:name w:val="Balloon Text"/>
    <w:basedOn w:val="Normal"/>
    <w:link w:val="BalloonTextChar"/>
    <w:uiPriority w:val="99"/>
    <w:semiHidden/>
    <w:unhideWhenUsed/>
    <w:rsid w:val="00DD4C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4C4A"/>
    <w:rPr>
      <w:rFonts w:ascii="Lucida Grande" w:hAnsi="Lucida Grande" w:cs="Lucida Grande"/>
      <w:sz w:val="18"/>
      <w:szCs w:val="18"/>
    </w:rPr>
  </w:style>
  <w:style w:type="character" w:customStyle="1" w:styleId="Heading2Char">
    <w:name w:val="Heading 2 Char"/>
    <w:basedOn w:val="DefaultParagraphFont"/>
    <w:link w:val="Heading2"/>
    <w:uiPriority w:val="1"/>
    <w:rsid w:val="00DD4C4A"/>
    <w:rPr>
      <w:rFonts w:ascii="Calibri" w:eastAsia="Calibri" w:hAnsi="Calibri"/>
      <w:b/>
      <w:bCs/>
      <w:sz w:val="22"/>
      <w:szCs w:val="22"/>
    </w:rPr>
  </w:style>
  <w:style w:type="table" w:styleId="TableGrid">
    <w:name w:val="Table Grid"/>
    <w:basedOn w:val="TableNormal"/>
    <w:uiPriority w:val="59"/>
    <w:rsid w:val="00F4265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27489"/>
    <w:rPr>
      <w:rFonts w:asciiTheme="majorHAnsi" w:hAnsiTheme="majorHAnsi"/>
      <w:b/>
      <w:bCs/>
      <w:sz w:val="20"/>
      <w:szCs w:val="20"/>
    </w:rPr>
  </w:style>
  <w:style w:type="character" w:customStyle="1" w:styleId="CommentSubjectChar">
    <w:name w:val="Comment Subject Char"/>
    <w:basedOn w:val="CommentTextChar"/>
    <w:link w:val="CommentSubject"/>
    <w:uiPriority w:val="99"/>
    <w:semiHidden/>
    <w:rsid w:val="00B27489"/>
    <w:rPr>
      <w:rFonts w:asciiTheme="majorHAnsi" w:hAnsiTheme="majorHAnsi"/>
      <w:b/>
      <w:bCs/>
      <w:sz w:val="20"/>
      <w:szCs w:val="20"/>
    </w:rPr>
  </w:style>
  <w:style w:type="paragraph" w:styleId="Revision">
    <w:name w:val="Revision"/>
    <w:hidden/>
    <w:uiPriority w:val="99"/>
    <w:semiHidden/>
    <w:rsid w:val="00DE15F6"/>
    <w:rPr>
      <w:rFonts w:asciiTheme="majorHAnsi" w:hAnsiTheme="maj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94879">
      <w:bodyDiv w:val="1"/>
      <w:marLeft w:val="0"/>
      <w:marRight w:val="0"/>
      <w:marTop w:val="0"/>
      <w:marBottom w:val="0"/>
      <w:divBdr>
        <w:top w:val="none" w:sz="0" w:space="0" w:color="auto"/>
        <w:left w:val="none" w:sz="0" w:space="0" w:color="auto"/>
        <w:bottom w:val="none" w:sz="0" w:space="0" w:color="auto"/>
        <w:right w:val="none" w:sz="0" w:space="0" w:color="auto"/>
      </w:divBdr>
    </w:div>
    <w:div w:id="2013948349">
      <w:bodyDiv w:val="1"/>
      <w:marLeft w:val="0"/>
      <w:marRight w:val="0"/>
      <w:marTop w:val="0"/>
      <w:marBottom w:val="0"/>
      <w:divBdr>
        <w:top w:val="none" w:sz="0" w:space="0" w:color="auto"/>
        <w:left w:val="none" w:sz="0" w:space="0" w:color="auto"/>
        <w:bottom w:val="none" w:sz="0" w:space="0" w:color="auto"/>
        <w:right w:val="none" w:sz="0" w:space="0" w:color="auto"/>
      </w:divBdr>
      <w:divsChild>
        <w:div w:id="611132001">
          <w:marLeft w:val="446"/>
          <w:marRight w:val="0"/>
          <w:marTop w:val="0"/>
          <w:marBottom w:val="160"/>
          <w:divBdr>
            <w:top w:val="none" w:sz="0" w:space="0" w:color="auto"/>
            <w:left w:val="none" w:sz="0" w:space="0" w:color="auto"/>
            <w:bottom w:val="none" w:sz="0" w:space="0" w:color="auto"/>
            <w:right w:val="none" w:sz="0" w:space="0" w:color="auto"/>
          </w:divBdr>
        </w:div>
        <w:div w:id="837500465">
          <w:marLeft w:val="446"/>
          <w:marRight w:val="0"/>
          <w:marTop w:val="0"/>
          <w:marBottom w:val="160"/>
          <w:divBdr>
            <w:top w:val="none" w:sz="0" w:space="0" w:color="auto"/>
            <w:left w:val="none" w:sz="0" w:space="0" w:color="auto"/>
            <w:bottom w:val="none" w:sz="0" w:space="0" w:color="auto"/>
            <w:right w:val="none" w:sz="0" w:space="0" w:color="auto"/>
          </w:divBdr>
        </w:div>
        <w:div w:id="572396806">
          <w:marLeft w:val="446"/>
          <w:marRight w:val="0"/>
          <w:marTop w:val="0"/>
          <w:marBottom w:val="160"/>
          <w:divBdr>
            <w:top w:val="none" w:sz="0" w:space="0" w:color="auto"/>
            <w:left w:val="none" w:sz="0" w:space="0" w:color="auto"/>
            <w:bottom w:val="none" w:sz="0" w:space="0" w:color="auto"/>
            <w:right w:val="none" w:sz="0" w:space="0" w:color="auto"/>
          </w:divBdr>
        </w:div>
        <w:div w:id="1194804080">
          <w:marLeft w:val="1166"/>
          <w:marRight w:val="0"/>
          <w:marTop w:val="0"/>
          <w:marBottom w:val="160"/>
          <w:divBdr>
            <w:top w:val="none" w:sz="0" w:space="0" w:color="auto"/>
            <w:left w:val="none" w:sz="0" w:space="0" w:color="auto"/>
            <w:bottom w:val="none" w:sz="0" w:space="0" w:color="auto"/>
            <w:right w:val="none" w:sz="0" w:space="0" w:color="auto"/>
          </w:divBdr>
        </w:div>
        <w:div w:id="391973776">
          <w:marLeft w:val="1166"/>
          <w:marRight w:val="0"/>
          <w:marTop w:val="0"/>
          <w:marBottom w:val="160"/>
          <w:divBdr>
            <w:top w:val="none" w:sz="0" w:space="0" w:color="auto"/>
            <w:left w:val="none" w:sz="0" w:space="0" w:color="auto"/>
            <w:bottom w:val="none" w:sz="0" w:space="0" w:color="auto"/>
            <w:right w:val="none" w:sz="0" w:space="0" w:color="auto"/>
          </w:divBdr>
        </w:div>
        <w:div w:id="926305338">
          <w:marLeft w:val="1166"/>
          <w:marRight w:val="0"/>
          <w:marTop w:val="0"/>
          <w:marBottom w:val="16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541</Words>
  <Characters>3088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Barker</dc:creator>
  <cp:lastModifiedBy>Freddi Wicker</cp:lastModifiedBy>
  <cp:revision>2</cp:revision>
  <dcterms:created xsi:type="dcterms:W3CDTF">2018-02-20T22:15:00Z</dcterms:created>
  <dcterms:modified xsi:type="dcterms:W3CDTF">2018-02-20T22:15:00Z</dcterms:modified>
</cp:coreProperties>
</file>