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0A5BA1" w14:textId="77777777" w:rsidR="00415DC4" w:rsidRDefault="00000000">
      <w:pPr>
        <w:bidi/>
        <w:spacing w:line="240" w:lineRule="auto"/>
        <w:rPr>
          <w:color w:val="4D4D4F"/>
        </w:rPr>
      </w:pPr>
      <w:r>
        <w:pict w14:anchorId="70AF9205">
          <v:rect id="_x0000_i1025" style="width:0;height:1.5pt" o:hralign="center" o:hrstd="t" o:hr="t" fillcolor="#a0a0a0" stroked="f"/>
        </w:pict>
      </w:r>
    </w:p>
    <w:p w14:paraId="706A2892" w14:textId="77777777" w:rsidR="00415DC4" w:rsidRDefault="0006556A">
      <w:pPr>
        <w:bidi/>
        <w:spacing w:after="0" w:line="240" w:lineRule="auto"/>
        <w:jc w:val="both"/>
      </w:pPr>
      <w:bookmarkStart w:id="0" w:name="_gjdgxs" w:colFirst="0" w:colLast="0"/>
      <w:bookmarkEnd w:id="0"/>
      <w:r>
        <w:rPr>
          <w:rtl/>
          <w:lang w:bidi="ar"/>
        </w:rPr>
        <w:t>تحدد هذه الوثيقة فئات طلبات المنح الخاصة لتخصيص الأموال للسنة المالية الفيدرالية (</w:t>
      </w:r>
      <w:r>
        <w:t>FFY 24</w:t>
      </w:r>
      <w:r>
        <w:rPr>
          <w:rtl/>
          <w:lang w:bidi="ar"/>
        </w:rPr>
        <w:t>)، ومسودة طلب الحصول على منح قانون تعليم الأفراد ذوي الإعاقة (</w:t>
      </w:r>
      <w:r>
        <w:t>IDEA</w:t>
      </w:r>
      <w:r>
        <w:rPr>
          <w:rtl/>
          <w:lang w:bidi="ar"/>
        </w:rPr>
        <w:t xml:space="preserve">)، والأنشطة المقابلة التي سيتم دعمها في كل فئة، واحتياجات التمويل المقترحة لكل فئة. تستجيب الأنشطة المبينة في هذه الوثيقة لاحتياجات الطلاب والمعلمين والعائلات في ولاية لويزيانا وتدعم أولوياتها وأفضل الممارسات فيها لجعل الرحلة التعليمية للطلاب ذوي الإعاقة عالية الجودة وشاملة. </w:t>
      </w:r>
    </w:p>
    <w:p w14:paraId="33A35742" w14:textId="77777777" w:rsidR="00415DC4" w:rsidRDefault="00415DC4">
      <w:pPr>
        <w:spacing w:after="0" w:line="240" w:lineRule="auto"/>
      </w:pPr>
      <w:bookmarkStart w:id="1" w:name="_bfjt4mqsxwqg" w:colFirst="0" w:colLast="0"/>
      <w:bookmarkEnd w:id="1"/>
    </w:p>
    <w:p w14:paraId="1C576050" w14:textId="5FE6A737" w:rsidR="00415DC4" w:rsidRDefault="0006556A">
      <w:pPr>
        <w:bidi/>
        <w:spacing w:after="0" w:line="240" w:lineRule="auto"/>
      </w:pPr>
      <w:bookmarkStart w:id="2" w:name="_o9xzqm1tp0iy" w:colFirst="0" w:colLast="0"/>
      <w:bookmarkEnd w:id="2"/>
      <w:r>
        <w:rPr>
          <w:rtl/>
          <w:lang w:bidi="ar"/>
        </w:rPr>
        <w:t>في الوقت الذي لم تتلق فيه إدارة التعليم في لويزيانا مخصصات من مكتب برامج التعليم الخاص (</w:t>
      </w:r>
      <w:r>
        <w:t>OSEP</w:t>
      </w:r>
      <w:r>
        <w:rPr>
          <w:rtl/>
          <w:lang w:bidi="ar"/>
        </w:rPr>
        <w:t>)، و</w:t>
      </w:r>
      <w:bookmarkStart w:id="3" w:name="_Hlk165044484"/>
      <w:r>
        <w:rPr>
          <w:rtl/>
          <w:lang w:bidi="ar"/>
        </w:rPr>
        <w:t>جّه</w:t>
      </w:r>
      <w:bookmarkEnd w:id="3"/>
      <w:r>
        <w:rPr>
          <w:rtl/>
          <w:lang w:bidi="ar"/>
        </w:rPr>
        <w:t xml:space="preserve"> المكتب </w:t>
      </w:r>
      <w:r>
        <w:t>OSEP</w:t>
      </w:r>
      <w:r>
        <w:rPr>
          <w:rtl/>
          <w:lang w:bidi="ar"/>
        </w:rPr>
        <w:t xml:space="preserve"> الولايات لإعداد مشروع الأنشطة مبدئيًا باستخدام مخصصات من</w:t>
      </w:r>
      <w:r w:rsidR="006466A1">
        <w:t xml:space="preserve"> </w:t>
      </w:r>
      <w:r w:rsidR="006466A1">
        <w:rPr>
          <w:rFonts w:hint="cs"/>
          <w:rtl/>
        </w:rPr>
        <w:t xml:space="preserve"> السنة </w:t>
      </w:r>
      <w:r w:rsidR="006466A1">
        <w:t>FFY 23</w:t>
      </w:r>
      <w:r>
        <w:rPr>
          <w:rtl/>
          <w:lang w:bidi="ar"/>
        </w:rPr>
        <w:t xml:space="preserve"> </w:t>
      </w:r>
      <w:r w:rsidR="006466A1">
        <w:rPr>
          <w:rFonts w:hint="cs"/>
          <w:rtl/>
        </w:rPr>
        <w:t>(</w:t>
      </w:r>
      <w:r w:rsidR="006466A1" w:rsidRPr="006466A1">
        <w:rPr>
          <w:rFonts w:cs="Times New Roman"/>
          <w:rtl/>
        </w:rPr>
        <w:t xml:space="preserve">4,610,639 </w:t>
      </w:r>
      <w:r>
        <w:rPr>
          <w:rtl/>
          <w:lang w:bidi="ar"/>
        </w:rPr>
        <w:t xml:space="preserve">دولارا للإدارة </w:t>
      </w:r>
      <w:r w:rsidR="006466A1" w:rsidRPr="006466A1">
        <w:rPr>
          <w:rtl/>
          <w:lang w:bidi="ar"/>
        </w:rPr>
        <w:t xml:space="preserve"> </w:t>
      </w:r>
      <w:r w:rsidR="006466A1">
        <w:rPr>
          <w:rtl/>
          <w:lang w:bidi="ar"/>
        </w:rPr>
        <w:t>و  26,15</w:t>
      </w:r>
      <w:r>
        <w:rPr>
          <w:rtl/>
          <w:lang w:bidi="ar"/>
        </w:rPr>
        <w:t xml:space="preserve">,696 دولارا للتخصيص) وتحديث المبالغ بالدولار عند استلام جداول التخصيص </w:t>
      </w:r>
      <w:r>
        <w:t>FFY 24</w:t>
      </w:r>
      <w:r>
        <w:rPr>
          <w:rtl/>
          <w:lang w:bidi="ar"/>
        </w:rPr>
        <w:t xml:space="preserve"> لتتماشى مع مجموع مخصصات السنة </w:t>
      </w:r>
      <w:r>
        <w:t>FFY 24</w:t>
      </w:r>
      <w:r>
        <w:rPr>
          <w:rtl/>
          <w:lang w:bidi="ar"/>
        </w:rPr>
        <w:t xml:space="preserve"> قبل تقديم الطلب النهائي.</w:t>
      </w:r>
    </w:p>
    <w:p w14:paraId="5F168EAA" w14:textId="77777777" w:rsidR="00415DC4" w:rsidRDefault="00415DC4">
      <w:pPr>
        <w:spacing w:line="240" w:lineRule="auto"/>
      </w:pPr>
    </w:p>
    <w:p w14:paraId="7F6BF309" w14:textId="77777777" w:rsidR="00415DC4" w:rsidRDefault="00415DC4">
      <w:pPr>
        <w:spacing w:after="0" w:line="240" w:lineRule="auto"/>
        <w:rPr>
          <w:rFonts w:ascii="Calibri" w:eastAsia="Calibri" w:hAnsi="Calibri" w:cs="Calibri"/>
          <w:color w:val="000000"/>
        </w:rPr>
      </w:pPr>
      <w:bookmarkStart w:id="4" w:name="_b4bffohujjm5" w:colFirst="0" w:colLast="0"/>
      <w:bookmarkEnd w:id="4"/>
    </w:p>
    <w:tbl>
      <w:tblPr>
        <w:tblStyle w:val="a"/>
        <w:bidiVisual/>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3600"/>
        <w:gridCol w:w="435"/>
        <w:gridCol w:w="2445"/>
      </w:tblGrid>
      <w:tr w:rsidR="00415DC4" w14:paraId="4368EBE7" w14:textId="77777777">
        <w:tc>
          <w:tcPr>
            <w:tcW w:w="3930" w:type="dxa"/>
            <w:shd w:val="clear" w:color="auto" w:fill="017F92"/>
            <w:tcMar>
              <w:top w:w="100" w:type="dxa"/>
              <w:left w:w="100" w:type="dxa"/>
              <w:bottom w:w="100" w:type="dxa"/>
              <w:right w:w="100" w:type="dxa"/>
            </w:tcMar>
          </w:tcPr>
          <w:p w14:paraId="6B5793F5"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ar"/>
              </w:rPr>
              <w:t>للأنشطة الأخرى على مستوى الولاية</w:t>
            </w:r>
          </w:p>
        </w:tc>
        <w:tc>
          <w:tcPr>
            <w:tcW w:w="3600" w:type="dxa"/>
            <w:shd w:val="clear" w:color="auto" w:fill="017F92"/>
            <w:tcMar>
              <w:top w:w="100" w:type="dxa"/>
              <w:left w:w="100" w:type="dxa"/>
              <w:bottom w:w="100" w:type="dxa"/>
              <w:right w:w="100" w:type="dxa"/>
            </w:tcMar>
          </w:tcPr>
          <w:p w14:paraId="19D4093B"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ar"/>
              </w:rPr>
              <w:t>الأنشطة والتوصيفات</w:t>
            </w:r>
          </w:p>
        </w:tc>
        <w:tc>
          <w:tcPr>
            <w:tcW w:w="435" w:type="dxa"/>
            <w:shd w:val="clear" w:color="auto" w:fill="017F92"/>
            <w:tcMar>
              <w:top w:w="100" w:type="dxa"/>
              <w:left w:w="100" w:type="dxa"/>
              <w:bottom w:w="100" w:type="dxa"/>
              <w:right w:w="100" w:type="dxa"/>
            </w:tcMar>
          </w:tcPr>
          <w:p w14:paraId="7672CD35" w14:textId="77777777" w:rsidR="00415DC4" w:rsidRDefault="00415DC4">
            <w:pPr>
              <w:pBdr>
                <w:top w:val="nil"/>
                <w:left w:val="nil"/>
                <w:bottom w:val="nil"/>
                <w:right w:val="nil"/>
                <w:between w:val="nil"/>
              </w:pBdr>
              <w:spacing w:after="0" w:line="240" w:lineRule="auto"/>
              <w:ind w:left="140"/>
              <w:rPr>
                <w:color w:val="FFFFFF"/>
              </w:rPr>
            </w:pPr>
          </w:p>
        </w:tc>
        <w:tc>
          <w:tcPr>
            <w:tcW w:w="2445" w:type="dxa"/>
            <w:shd w:val="clear" w:color="auto" w:fill="017F92"/>
            <w:tcMar>
              <w:top w:w="100" w:type="dxa"/>
              <w:left w:w="100" w:type="dxa"/>
              <w:bottom w:w="100" w:type="dxa"/>
              <w:right w:w="100" w:type="dxa"/>
            </w:tcMar>
          </w:tcPr>
          <w:p w14:paraId="2D3773F9" w14:textId="77777777" w:rsidR="00415DC4" w:rsidRDefault="0006556A">
            <w:pPr>
              <w:pBdr>
                <w:top w:val="nil"/>
                <w:left w:val="nil"/>
                <w:bottom w:val="nil"/>
                <w:right w:val="nil"/>
                <w:between w:val="nil"/>
              </w:pBdr>
              <w:bidi/>
              <w:spacing w:after="0" w:line="240" w:lineRule="auto"/>
              <w:ind w:left="140"/>
              <w:rPr>
                <w:color w:val="FFFFFF"/>
              </w:rPr>
            </w:pPr>
            <w:r>
              <w:rPr>
                <w:b/>
                <w:bCs/>
                <w:color w:val="FFFFFF"/>
                <w:rtl/>
                <w:lang w:bidi="ar"/>
              </w:rPr>
              <w:t>المبالغ بالدولار</w:t>
            </w:r>
            <w:r>
              <w:rPr>
                <w:color w:val="FFFFFF"/>
                <w:rtl/>
                <w:lang w:bidi="ar"/>
              </w:rPr>
              <w:t xml:space="preserve"> </w:t>
            </w:r>
          </w:p>
        </w:tc>
      </w:tr>
      <w:tr w:rsidR="00415DC4" w14:paraId="787AD78E" w14:textId="77777777">
        <w:tc>
          <w:tcPr>
            <w:tcW w:w="3930" w:type="dxa"/>
            <w:tcBorders>
              <w:bottom w:val="single" w:sz="6" w:space="0" w:color="000000"/>
            </w:tcBorders>
            <w:tcMar>
              <w:top w:w="100" w:type="dxa"/>
              <w:left w:w="100" w:type="dxa"/>
              <w:bottom w:w="100" w:type="dxa"/>
              <w:right w:w="100" w:type="dxa"/>
            </w:tcMar>
          </w:tcPr>
          <w:p w14:paraId="2B2ECB98" w14:textId="77777777" w:rsidR="00415DC4" w:rsidRDefault="0006556A">
            <w:pPr>
              <w:widowControl w:val="0"/>
              <w:bidi/>
              <w:spacing w:after="0" w:line="240" w:lineRule="auto"/>
              <w:rPr>
                <w:color w:val="4D4D4F"/>
              </w:rPr>
            </w:pPr>
            <w:r>
              <w:rPr>
                <w:color w:val="4D4D4F"/>
                <w:rtl/>
                <w:lang w:bidi="ar"/>
              </w:rPr>
              <w:t>الأنشطة المطلوبة</w:t>
            </w:r>
          </w:p>
          <w:p w14:paraId="3D45556B" w14:textId="74108AD2" w:rsidR="00415DC4" w:rsidRDefault="0006556A">
            <w:pPr>
              <w:widowControl w:val="0"/>
              <w:bidi/>
              <w:spacing w:after="0" w:line="240" w:lineRule="auto"/>
              <w:rPr>
                <w:color w:val="4D4D4F"/>
              </w:rPr>
            </w:pPr>
            <w:r>
              <w:rPr>
                <w:color w:val="4D4D4F"/>
                <w:rtl/>
                <w:lang w:bidi="ar"/>
              </w:rPr>
              <w:t>يجب أن تستخدم الأموال المحجوزة وفقا للمادة 20 من قانون الولايات المتحدة (</w:t>
            </w:r>
            <w:r>
              <w:rPr>
                <w:color w:val="4D4D4F"/>
              </w:rPr>
              <w:t>U.S.C</w:t>
            </w:r>
            <w:r>
              <w:rPr>
                <w:color w:val="4D4D4F"/>
                <w:rtl/>
                <w:lang w:bidi="ar"/>
              </w:rPr>
              <w:t>)</w:t>
            </w:r>
          </w:p>
          <w:p w14:paraId="745A4F2D" w14:textId="1DF8B848" w:rsidR="00415DC4" w:rsidRPr="006466A1" w:rsidRDefault="006466A1" w:rsidP="006466A1">
            <w:pPr>
              <w:widowControl w:val="0"/>
              <w:bidi/>
              <w:spacing w:after="0" w:line="240" w:lineRule="auto"/>
              <w:rPr>
                <w:color w:val="4D4D4F"/>
              </w:rPr>
            </w:pPr>
            <w:r>
              <w:rPr>
                <w:color w:val="4D4D4F"/>
              </w:rPr>
              <w:t>1411(e)(2)(A)</w:t>
            </w:r>
            <w:r w:rsidR="0006556A">
              <w:rPr>
                <w:color w:val="4D4D4F"/>
                <w:rtl/>
                <w:lang w:bidi="ar"/>
              </w:rPr>
              <w:t>؛ القسم 300.704 من العنوان رقم 34 من مدونة القوانين</w:t>
            </w:r>
            <w:r w:rsidR="002C5649">
              <w:rPr>
                <w:rtl/>
                <w:lang w:bidi="ar"/>
              </w:rPr>
              <w:t xml:space="preserve"> الفيدرالية</w:t>
            </w:r>
            <w:r>
              <w:rPr>
                <w:rFonts w:cstheme="minorBidi" w:hint="cs"/>
                <w:color w:val="4D4D4F"/>
                <w:rtl/>
              </w:rPr>
              <w:t xml:space="preserve"> </w:t>
            </w:r>
            <w:r w:rsidR="0006556A">
              <w:rPr>
                <w:color w:val="4D4D4F"/>
                <w:rtl/>
                <w:lang w:bidi="ar"/>
              </w:rPr>
              <w:t>لتنفيذ الأنشطة التالية:</w:t>
            </w:r>
          </w:p>
        </w:tc>
        <w:tc>
          <w:tcPr>
            <w:tcW w:w="3600" w:type="dxa"/>
            <w:tcBorders>
              <w:bottom w:val="single" w:sz="6" w:space="0" w:color="000000"/>
            </w:tcBorders>
            <w:shd w:val="clear" w:color="auto" w:fill="CCCCCC"/>
            <w:tcMar>
              <w:top w:w="100" w:type="dxa"/>
              <w:left w:w="100" w:type="dxa"/>
              <w:bottom w:w="100" w:type="dxa"/>
              <w:right w:w="100" w:type="dxa"/>
            </w:tcMar>
          </w:tcPr>
          <w:p w14:paraId="479C571A" w14:textId="77777777" w:rsidR="00415DC4" w:rsidRDefault="00415DC4">
            <w:pPr>
              <w:widowControl w:val="0"/>
              <w:spacing w:after="0" w:line="240" w:lineRule="auto"/>
              <w:rPr>
                <w:rFonts w:ascii="Calibri" w:eastAsia="Calibri" w:hAnsi="Calibri" w:cs="Calibri"/>
                <w:color w:val="000000"/>
              </w:rPr>
            </w:pPr>
          </w:p>
        </w:tc>
        <w:tc>
          <w:tcPr>
            <w:tcW w:w="435" w:type="dxa"/>
            <w:tcBorders>
              <w:bottom w:val="single" w:sz="6" w:space="0" w:color="000000"/>
            </w:tcBorders>
            <w:shd w:val="clear" w:color="auto" w:fill="CCCCCC"/>
            <w:tcMar>
              <w:top w:w="100" w:type="dxa"/>
              <w:left w:w="100" w:type="dxa"/>
              <w:bottom w:w="100" w:type="dxa"/>
              <w:right w:w="100" w:type="dxa"/>
            </w:tcMar>
          </w:tcPr>
          <w:p w14:paraId="53C64DB2" w14:textId="77777777" w:rsidR="00415DC4" w:rsidRDefault="00415DC4">
            <w:pPr>
              <w:widowControl w:val="0"/>
              <w:spacing w:after="0" w:line="240" w:lineRule="auto"/>
              <w:rPr>
                <w:rFonts w:ascii="Calibri" w:eastAsia="Calibri" w:hAnsi="Calibri" w:cs="Calibri"/>
                <w:color w:val="000000"/>
              </w:rPr>
            </w:pPr>
          </w:p>
        </w:tc>
        <w:tc>
          <w:tcPr>
            <w:tcW w:w="2445" w:type="dxa"/>
            <w:tcBorders>
              <w:bottom w:val="single" w:sz="6" w:space="0" w:color="000000"/>
            </w:tcBorders>
            <w:shd w:val="clear" w:color="auto" w:fill="CCCCCC"/>
            <w:tcMar>
              <w:top w:w="100" w:type="dxa"/>
              <w:left w:w="100" w:type="dxa"/>
              <w:bottom w:w="100" w:type="dxa"/>
              <w:right w:w="100" w:type="dxa"/>
            </w:tcMar>
          </w:tcPr>
          <w:p w14:paraId="799F89EA" w14:textId="77777777" w:rsidR="00415DC4" w:rsidRDefault="00415DC4">
            <w:pPr>
              <w:widowControl w:val="0"/>
              <w:spacing w:after="0" w:line="240" w:lineRule="auto"/>
              <w:jc w:val="right"/>
              <w:rPr>
                <w:rFonts w:ascii="Calibri" w:eastAsia="Calibri" w:hAnsi="Calibri" w:cs="Calibri"/>
                <w:color w:val="000000"/>
              </w:rPr>
            </w:pPr>
          </w:p>
        </w:tc>
      </w:tr>
      <w:tr w:rsidR="00415DC4" w14:paraId="6FB39582"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AC650A"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للمراقبة والإنفاذ والتحقيق في الشكاوى.</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CED40"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ar"/>
              </w:rPr>
              <w:t>المراقبة في كل أنحاء الولاية</w:t>
            </w:r>
          </w:p>
          <w:p w14:paraId="68168810"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ar"/>
              </w:rPr>
              <w:t>التحقيق في الشكاوى</w:t>
            </w:r>
          </w:p>
          <w:p w14:paraId="436EC985" w14:textId="77777777" w:rsidR="00415DC4" w:rsidRDefault="0006556A">
            <w:pPr>
              <w:widowControl w:val="0"/>
              <w:numPr>
                <w:ilvl w:val="0"/>
                <w:numId w:val="8"/>
              </w:numPr>
              <w:pBdr>
                <w:top w:val="nil"/>
                <w:left w:val="nil"/>
                <w:bottom w:val="nil"/>
                <w:right w:val="nil"/>
                <w:between w:val="nil"/>
              </w:pBdr>
              <w:bidi/>
              <w:spacing w:after="0" w:line="240" w:lineRule="auto"/>
              <w:rPr>
                <w:color w:val="4D4D4F"/>
              </w:rPr>
            </w:pPr>
            <w:r>
              <w:rPr>
                <w:color w:val="4D4D4F"/>
                <w:rtl/>
                <w:lang w:bidi="ar"/>
              </w:rPr>
              <w:t>مشرف قضائي</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35C8E3"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h</w:t>
            </w:r>
            <w:r>
              <w:rPr>
                <w:color w:val="4D4D4F"/>
                <w:rtl/>
                <w:lang w:bidi="ar"/>
              </w:rPr>
              <w:t>.</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687094" w14:textId="2881B0AD"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793,168</w:t>
            </w:r>
            <w:r w:rsidR="006466A1">
              <w:rPr>
                <w:color w:val="4D4D4F"/>
                <w:rtl/>
                <w:lang w:bidi="ar"/>
              </w:rPr>
              <w:t>$</w:t>
            </w:r>
          </w:p>
        </w:tc>
      </w:tr>
      <w:tr w:rsidR="00415DC4" w14:paraId="45D43779" w14:textId="77777777">
        <w:tc>
          <w:tcPr>
            <w:tcW w:w="393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BA1D3" w14:textId="21B69220"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 xml:space="preserve">لإنشاء وتنفيذ عملية الوساطة التي  تفرضها المادة 20 من قانون الولايات المتحدة </w:t>
            </w:r>
            <w:r w:rsidR="006466A1">
              <w:rPr>
                <w:color w:val="4D4D4F"/>
              </w:rPr>
              <w:t>1415I</w:t>
            </w:r>
            <w:r>
              <w:rPr>
                <w:color w:val="4D4D4F"/>
                <w:rtl/>
                <w:lang w:bidi="ar"/>
              </w:rPr>
              <w:t>؛</w:t>
            </w:r>
            <w:r w:rsidR="006466A1">
              <w:rPr>
                <w:rFonts w:hint="cs"/>
                <w:color w:val="4D4D4F"/>
                <w:rtl/>
                <w:lang w:bidi="ar"/>
              </w:rPr>
              <w:t xml:space="preserve"> </w:t>
            </w:r>
            <w:r>
              <w:rPr>
                <w:color w:val="4D4D4F"/>
                <w:rtl/>
                <w:lang w:bidi="ar"/>
              </w:rPr>
              <w:t xml:space="preserve">القسم 300.704 من العنوان رقم 34 من مدونة القوانين </w:t>
            </w:r>
            <w:r w:rsidR="002C5649">
              <w:rPr>
                <w:rtl/>
                <w:lang w:bidi="ar"/>
              </w:rPr>
              <w:t>الفيدرالية</w:t>
            </w:r>
            <w:r>
              <w:rPr>
                <w:color w:val="4D4D4F"/>
                <w:rtl/>
                <w:lang w:bidi="ar"/>
              </w:rPr>
              <w:t>، بما في ذلك تغطية تكاليف الوسطاء وموظفي الدعم.</w:t>
            </w:r>
          </w:p>
        </w:tc>
        <w:tc>
          <w:tcPr>
            <w:tcW w:w="3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FBF066" w14:textId="77777777" w:rsidR="00415DC4" w:rsidRDefault="0006556A">
            <w:pPr>
              <w:widowControl w:val="0"/>
              <w:numPr>
                <w:ilvl w:val="0"/>
                <w:numId w:val="3"/>
              </w:numPr>
              <w:pBdr>
                <w:top w:val="nil"/>
                <w:left w:val="nil"/>
                <w:bottom w:val="nil"/>
                <w:right w:val="nil"/>
                <w:between w:val="nil"/>
              </w:pBdr>
              <w:bidi/>
              <w:spacing w:after="0" w:line="240" w:lineRule="auto"/>
              <w:rPr>
                <w:color w:val="4D4D4F"/>
              </w:rPr>
            </w:pPr>
            <w:r>
              <w:rPr>
                <w:color w:val="4D4D4F"/>
                <w:rtl/>
                <w:lang w:bidi="ar"/>
              </w:rPr>
              <w:t>وسطاء الولاية</w:t>
            </w:r>
          </w:p>
          <w:p w14:paraId="28423D3E" w14:textId="77777777" w:rsidR="00415DC4" w:rsidRDefault="0006556A">
            <w:pPr>
              <w:widowControl w:val="0"/>
              <w:numPr>
                <w:ilvl w:val="0"/>
                <w:numId w:val="3"/>
              </w:numPr>
              <w:pBdr>
                <w:top w:val="nil"/>
                <w:left w:val="nil"/>
                <w:bottom w:val="nil"/>
                <w:right w:val="nil"/>
                <w:between w:val="nil"/>
              </w:pBdr>
              <w:bidi/>
              <w:spacing w:after="0" w:line="240" w:lineRule="auto"/>
              <w:rPr>
                <w:color w:val="4D4D4F"/>
              </w:rPr>
            </w:pPr>
            <w:r>
              <w:rPr>
                <w:color w:val="4D4D4F"/>
                <w:rtl/>
                <w:lang w:bidi="ar"/>
              </w:rPr>
              <w:t xml:space="preserve">ميسرو خطط التعليم الفردية </w:t>
            </w:r>
            <w:r>
              <w:rPr>
                <w:color w:val="4D4D4F"/>
              </w:rPr>
              <w:t>IEP</w:t>
            </w:r>
          </w:p>
        </w:tc>
        <w:tc>
          <w:tcPr>
            <w:tcW w:w="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34323E"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i</w:t>
            </w:r>
            <w:r>
              <w:rPr>
                <w:color w:val="4D4D4F"/>
                <w:rtl/>
                <w:lang w:bidi="ar"/>
              </w:rPr>
              <w:t>.</w:t>
            </w:r>
          </w:p>
        </w:tc>
        <w:tc>
          <w:tcPr>
            <w:tcW w:w="24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D782946" w14:textId="3B80D3DC"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350,000</w:t>
            </w:r>
            <w:r w:rsidR="006466A1">
              <w:rPr>
                <w:color w:val="4D4D4F"/>
                <w:rtl/>
                <w:lang w:bidi="ar"/>
              </w:rPr>
              <w:t>$</w:t>
            </w:r>
          </w:p>
        </w:tc>
      </w:tr>
      <w:tr w:rsidR="00415DC4" w14:paraId="2FB61CC3" w14:textId="77777777">
        <w:trPr>
          <w:trHeight w:val="1290"/>
        </w:trPr>
        <w:tc>
          <w:tcPr>
            <w:tcW w:w="3930" w:type="dxa"/>
            <w:tcBorders>
              <w:top w:val="single" w:sz="6" w:space="0" w:color="000000"/>
            </w:tcBorders>
            <w:tcMar>
              <w:top w:w="100" w:type="dxa"/>
              <w:left w:w="100" w:type="dxa"/>
              <w:bottom w:w="100" w:type="dxa"/>
              <w:right w:w="100" w:type="dxa"/>
            </w:tcMar>
          </w:tcPr>
          <w:p w14:paraId="7960FD03" w14:textId="7D85C8C5"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 xml:space="preserve">يمكن أن تستخدم أموال الأنشطة المرخصة والمحجوزة  وفقا للمادة 20 من قانون الولايات المتحدة </w:t>
            </w:r>
            <w:r w:rsidR="006067F3">
              <w:rPr>
                <w:color w:val="4D4D4F"/>
              </w:rPr>
              <w:t>1411(e)(2)(A)</w:t>
            </w:r>
            <w:r>
              <w:rPr>
                <w:color w:val="4D4D4F"/>
                <w:rtl/>
                <w:lang w:bidi="ar"/>
              </w:rPr>
              <w:t>؛ القسم 300.704 من العنوان رقم 34 من مدونة القوانين</w:t>
            </w:r>
            <w:r w:rsidR="002C5649">
              <w:rPr>
                <w:rtl/>
                <w:lang w:bidi="ar"/>
              </w:rPr>
              <w:t xml:space="preserve"> الفيدرالية</w:t>
            </w:r>
            <w:r>
              <w:rPr>
                <w:color w:val="4D4D4F"/>
                <w:rtl/>
                <w:lang w:bidi="ar"/>
              </w:rPr>
              <w:t xml:space="preserve"> لتنفيذ الأنشطة التالية:</w:t>
            </w:r>
          </w:p>
        </w:tc>
        <w:tc>
          <w:tcPr>
            <w:tcW w:w="3600" w:type="dxa"/>
            <w:tcBorders>
              <w:top w:val="single" w:sz="6" w:space="0" w:color="000000"/>
            </w:tcBorders>
            <w:shd w:val="clear" w:color="auto" w:fill="CCCCCC"/>
            <w:tcMar>
              <w:top w:w="100" w:type="dxa"/>
              <w:left w:w="100" w:type="dxa"/>
              <w:bottom w:w="100" w:type="dxa"/>
              <w:right w:w="100" w:type="dxa"/>
            </w:tcMar>
          </w:tcPr>
          <w:p w14:paraId="18D7570D"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Borders>
              <w:top w:val="single" w:sz="6" w:space="0" w:color="000000"/>
            </w:tcBorders>
            <w:shd w:val="clear" w:color="auto" w:fill="CCCCCC"/>
            <w:tcMar>
              <w:top w:w="100" w:type="dxa"/>
              <w:left w:w="100" w:type="dxa"/>
              <w:bottom w:w="100" w:type="dxa"/>
              <w:right w:w="100" w:type="dxa"/>
            </w:tcMar>
          </w:tcPr>
          <w:p w14:paraId="1833440C"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tcBorders>
              <w:top w:val="single" w:sz="6" w:space="0" w:color="000000"/>
            </w:tcBorders>
            <w:shd w:val="clear" w:color="auto" w:fill="CCCCCC"/>
            <w:tcMar>
              <w:top w:w="100" w:type="dxa"/>
              <w:left w:w="100" w:type="dxa"/>
              <w:bottom w:w="100" w:type="dxa"/>
              <w:right w:w="100" w:type="dxa"/>
            </w:tcMar>
          </w:tcPr>
          <w:p w14:paraId="01C64E4A"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34F932DC" w14:textId="77777777">
        <w:tc>
          <w:tcPr>
            <w:tcW w:w="3930" w:type="dxa"/>
            <w:tcMar>
              <w:top w:w="100" w:type="dxa"/>
              <w:left w:w="100" w:type="dxa"/>
              <w:bottom w:w="100" w:type="dxa"/>
              <w:right w:w="100" w:type="dxa"/>
            </w:tcMar>
          </w:tcPr>
          <w:p w14:paraId="787A414D"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للدعم والخدمات المباشرة، بما في ذلك المساعدة التقنية، وإعداد الموظفين، والتطوير والتدريب المهنيين.</w:t>
            </w:r>
          </w:p>
        </w:tc>
        <w:tc>
          <w:tcPr>
            <w:tcW w:w="3600" w:type="dxa"/>
            <w:tcMar>
              <w:top w:w="100" w:type="dxa"/>
              <w:left w:w="100" w:type="dxa"/>
              <w:bottom w:w="100" w:type="dxa"/>
              <w:right w:w="100" w:type="dxa"/>
            </w:tcMar>
          </w:tcPr>
          <w:p w14:paraId="05281D5D"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إيجاد مستشارين لقيادة المعلمين وفرص للتدريب مع التركيز على التعليم الخاص للمدرسين الحاليين</w:t>
            </w:r>
          </w:p>
          <w:p w14:paraId="6EFB2BF5"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خدمات الترجمة الشفهية</w:t>
            </w:r>
          </w:p>
          <w:p w14:paraId="34D25888"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 xml:space="preserve">المساعدة التقنية الإقليمية لدعم أسر الطلاب ذوي الإعاقة </w:t>
            </w:r>
          </w:p>
          <w:p w14:paraId="049B1D12"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تقديم الدعم على الإنترنت لأسر الطلاب ذوي الإعاقة</w:t>
            </w:r>
          </w:p>
          <w:p w14:paraId="4DB6EFD7"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lastRenderedPageBreak/>
              <w:t>أدوات وموارد للأسر وأفراد المجتمع المحلي لفهم المكونات الهامة للتعليم الخاص، مثل استطلاع  أولياء الأمور</w:t>
            </w:r>
          </w:p>
          <w:p w14:paraId="7E1BDCB3"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إقامة شراكات للمساعدة التقنية والتطوير المهني لدعم التعليم المتخصص والخدمات ذات الصلة بالطلاب ذوي الإعاقة</w:t>
            </w:r>
          </w:p>
          <w:p w14:paraId="0DEEB7D1"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ملاحظات وتعليقات الصف  من الروضة وحتى الصف الثاني لدعم الخدمات عالية الجودة</w:t>
            </w:r>
          </w:p>
          <w:p w14:paraId="1A0E78E9"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التطوير المهني للمدرسين المتخصصين وتقييم التلاميذ ومقدمي الخدمات ذات الصلة</w:t>
            </w:r>
          </w:p>
          <w:p w14:paraId="38414E06"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بناء قدرات الإداريين والمدرسين وموظفي الدعم الذين يدعمون الطلاب ذوي الإعاقة في قمة القادة والمعلمين</w:t>
            </w:r>
          </w:p>
          <w:p w14:paraId="3C5B0BAE" w14:textId="77777777" w:rsidR="00415DC4" w:rsidRDefault="0006556A">
            <w:pPr>
              <w:widowControl w:val="0"/>
              <w:numPr>
                <w:ilvl w:val="0"/>
                <w:numId w:val="13"/>
              </w:numPr>
              <w:pBdr>
                <w:top w:val="nil"/>
                <w:left w:val="nil"/>
                <w:bottom w:val="nil"/>
                <w:right w:val="nil"/>
                <w:between w:val="nil"/>
              </w:pBdr>
              <w:bidi/>
              <w:spacing w:after="0" w:line="240" w:lineRule="auto"/>
              <w:rPr>
                <w:color w:val="4D4D4F"/>
              </w:rPr>
            </w:pPr>
            <w:r>
              <w:rPr>
                <w:color w:val="4D4D4F"/>
                <w:rtl/>
                <w:lang w:bidi="ar"/>
              </w:rPr>
              <w:t xml:space="preserve">دعم الإداريين والمدرسين بخبرات شاملة في المدرسة الثانوية وتجارب التعليم المهني والفني </w:t>
            </w:r>
          </w:p>
        </w:tc>
        <w:tc>
          <w:tcPr>
            <w:tcW w:w="435" w:type="dxa"/>
            <w:tcMar>
              <w:top w:w="100" w:type="dxa"/>
              <w:left w:w="100" w:type="dxa"/>
              <w:bottom w:w="100" w:type="dxa"/>
              <w:right w:w="100" w:type="dxa"/>
            </w:tcMar>
          </w:tcPr>
          <w:p w14:paraId="0BDBE157" w14:textId="77777777" w:rsidR="00415DC4" w:rsidRDefault="0006556A">
            <w:pPr>
              <w:widowControl w:val="0"/>
              <w:pBdr>
                <w:top w:val="nil"/>
                <w:left w:val="nil"/>
                <w:bottom w:val="nil"/>
                <w:right w:val="nil"/>
                <w:between w:val="nil"/>
              </w:pBdr>
              <w:bidi/>
              <w:spacing w:after="0" w:line="240" w:lineRule="auto"/>
              <w:rPr>
                <w:color w:val="4D4D4F"/>
              </w:rPr>
            </w:pPr>
            <w:r>
              <w:rPr>
                <w:color w:val="4D4D4F"/>
              </w:rPr>
              <w:lastRenderedPageBreak/>
              <w:t>j</w:t>
            </w:r>
            <w:r>
              <w:rPr>
                <w:color w:val="4D4D4F"/>
                <w:rtl/>
                <w:lang w:bidi="ar"/>
              </w:rPr>
              <w:t>.</w:t>
            </w:r>
          </w:p>
        </w:tc>
        <w:tc>
          <w:tcPr>
            <w:tcW w:w="2445" w:type="dxa"/>
            <w:shd w:val="clear" w:color="auto" w:fill="auto"/>
            <w:tcMar>
              <w:top w:w="100" w:type="dxa"/>
              <w:left w:w="100" w:type="dxa"/>
              <w:bottom w:w="100" w:type="dxa"/>
              <w:right w:w="100" w:type="dxa"/>
            </w:tcMar>
          </w:tcPr>
          <w:p w14:paraId="0D6072E4" w14:textId="3DAB888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1,910,258</w:t>
            </w:r>
            <w:r w:rsidR="006067F3">
              <w:rPr>
                <w:color w:val="4D4D4F"/>
                <w:rtl/>
                <w:lang w:bidi="ar"/>
              </w:rPr>
              <w:t>$</w:t>
            </w:r>
          </w:p>
          <w:p w14:paraId="482455B7"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1830170B" w14:textId="77777777">
        <w:tc>
          <w:tcPr>
            <w:tcW w:w="3930" w:type="dxa"/>
            <w:tcMar>
              <w:top w:w="100" w:type="dxa"/>
              <w:left w:w="100" w:type="dxa"/>
              <w:bottom w:w="100" w:type="dxa"/>
              <w:right w:w="100" w:type="dxa"/>
            </w:tcMar>
          </w:tcPr>
          <w:p w14:paraId="5720F28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مساعدة الوكالات التعليمية المحلية على توفير تدخلات سلوكية إيجابية ودعم خدمات الصحة النفسية المناسبة للأطفال ذوي الإعاقة.</w:t>
            </w:r>
          </w:p>
        </w:tc>
        <w:tc>
          <w:tcPr>
            <w:tcW w:w="3600" w:type="dxa"/>
            <w:tcMar>
              <w:top w:w="100" w:type="dxa"/>
              <w:left w:w="100" w:type="dxa"/>
              <w:bottom w:w="100" w:type="dxa"/>
              <w:right w:w="100" w:type="dxa"/>
            </w:tcMar>
          </w:tcPr>
          <w:p w14:paraId="2605A96C" w14:textId="77777777" w:rsidR="00415DC4" w:rsidRDefault="0006556A">
            <w:pPr>
              <w:widowControl w:val="0"/>
              <w:numPr>
                <w:ilvl w:val="0"/>
                <w:numId w:val="4"/>
              </w:numPr>
              <w:pBdr>
                <w:top w:val="nil"/>
                <w:left w:val="nil"/>
                <w:bottom w:val="nil"/>
                <w:right w:val="nil"/>
                <w:between w:val="nil"/>
              </w:pBdr>
              <w:bidi/>
              <w:spacing w:after="0" w:line="240" w:lineRule="auto"/>
              <w:rPr>
                <w:color w:val="4D4D4F"/>
              </w:rPr>
            </w:pPr>
            <w:r>
              <w:rPr>
                <w:color w:val="4D4D4F"/>
                <w:rtl/>
                <w:lang w:bidi="ar"/>
              </w:rPr>
              <w:t>تنفيذ التدخلات والدعم والاستراتيجيات السلوكية القائمة على الأدلة.</w:t>
            </w:r>
          </w:p>
          <w:p w14:paraId="42414F6E" w14:textId="77777777" w:rsidR="00415DC4" w:rsidRDefault="0006556A">
            <w:pPr>
              <w:widowControl w:val="0"/>
              <w:numPr>
                <w:ilvl w:val="0"/>
                <w:numId w:val="4"/>
              </w:numPr>
              <w:pBdr>
                <w:top w:val="nil"/>
                <w:left w:val="nil"/>
                <w:bottom w:val="nil"/>
                <w:right w:val="nil"/>
                <w:between w:val="nil"/>
              </w:pBdr>
              <w:bidi/>
              <w:spacing w:after="0" w:line="240" w:lineRule="auto"/>
              <w:rPr>
                <w:color w:val="4D4D4F"/>
              </w:rPr>
            </w:pPr>
            <w:r>
              <w:rPr>
                <w:color w:val="4D4D4F"/>
                <w:rtl/>
                <w:lang w:bidi="ar"/>
              </w:rPr>
              <w:t>إرشاد المدرسين والتطوير المهني لدعم سلوك/احتياجات الصحة النفسية للطلاب</w:t>
            </w:r>
          </w:p>
        </w:tc>
        <w:tc>
          <w:tcPr>
            <w:tcW w:w="435" w:type="dxa"/>
            <w:tcMar>
              <w:top w:w="100" w:type="dxa"/>
              <w:left w:w="100" w:type="dxa"/>
              <w:bottom w:w="100" w:type="dxa"/>
              <w:right w:w="100" w:type="dxa"/>
            </w:tcMar>
          </w:tcPr>
          <w:p w14:paraId="5E90F578"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k</w:t>
            </w:r>
            <w:r>
              <w:rPr>
                <w:color w:val="4D4D4F"/>
                <w:rtl/>
                <w:lang w:bidi="ar"/>
              </w:rPr>
              <w:t>.</w:t>
            </w:r>
          </w:p>
        </w:tc>
        <w:tc>
          <w:tcPr>
            <w:tcW w:w="2445" w:type="dxa"/>
            <w:tcMar>
              <w:top w:w="100" w:type="dxa"/>
              <w:left w:w="100" w:type="dxa"/>
              <w:bottom w:w="100" w:type="dxa"/>
              <w:right w:w="100" w:type="dxa"/>
            </w:tcMar>
          </w:tcPr>
          <w:p w14:paraId="7A25D382" w14:textId="01E29381"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475,000</w:t>
            </w:r>
            <w:r w:rsidR="006067F3">
              <w:rPr>
                <w:color w:val="4D4D4F"/>
                <w:rtl/>
                <w:lang w:bidi="ar"/>
              </w:rPr>
              <w:t>$</w:t>
            </w:r>
          </w:p>
        </w:tc>
      </w:tr>
      <w:tr w:rsidR="00415DC4" w14:paraId="79E1BA6D" w14:textId="77777777">
        <w:tc>
          <w:tcPr>
            <w:tcW w:w="3930" w:type="dxa"/>
            <w:tcMar>
              <w:top w:w="100" w:type="dxa"/>
              <w:left w:w="100" w:type="dxa"/>
              <w:bottom w:w="100" w:type="dxa"/>
              <w:right w:w="100" w:type="dxa"/>
            </w:tcMar>
          </w:tcPr>
          <w:p w14:paraId="07F0BB5E"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مساعدة الوكالات التعليمية المحلية على سد النقص في الموظفين.</w:t>
            </w:r>
          </w:p>
        </w:tc>
        <w:tc>
          <w:tcPr>
            <w:tcW w:w="3600" w:type="dxa"/>
            <w:shd w:val="clear" w:color="auto" w:fill="auto"/>
            <w:tcMar>
              <w:top w:w="100" w:type="dxa"/>
              <w:left w:w="100" w:type="dxa"/>
              <w:bottom w:w="100" w:type="dxa"/>
              <w:right w:w="100" w:type="dxa"/>
            </w:tcMar>
          </w:tcPr>
          <w:p w14:paraId="3950CBBB" w14:textId="77777777" w:rsidR="00415DC4" w:rsidRDefault="0006556A">
            <w:pPr>
              <w:widowControl w:val="0"/>
              <w:numPr>
                <w:ilvl w:val="0"/>
                <w:numId w:val="5"/>
              </w:numPr>
              <w:pBdr>
                <w:top w:val="nil"/>
                <w:left w:val="nil"/>
                <w:bottom w:val="nil"/>
                <w:right w:val="nil"/>
                <w:between w:val="nil"/>
              </w:pBdr>
              <w:bidi/>
              <w:spacing w:after="0" w:line="240" w:lineRule="auto"/>
              <w:rPr>
                <w:color w:val="4D4D4F"/>
              </w:rPr>
            </w:pPr>
            <w:r>
              <w:rPr>
                <w:color w:val="4D4D4F"/>
                <w:rtl/>
                <w:lang w:bidi="ar"/>
              </w:rPr>
              <w:t>تحديد طرق مبتكرة لربط الوكالات التعليمية المحلية بمقدمي الخدمات ذوي الصلة في المجالات التي تعاني من نقص في الموظفين</w:t>
            </w:r>
          </w:p>
        </w:tc>
        <w:tc>
          <w:tcPr>
            <w:tcW w:w="435" w:type="dxa"/>
            <w:tcMar>
              <w:top w:w="100" w:type="dxa"/>
              <w:left w:w="100" w:type="dxa"/>
              <w:bottom w:w="100" w:type="dxa"/>
              <w:right w:w="100" w:type="dxa"/>
            </w:tcMar>
          </w:tcPr>
          <w:p w14:paraId="6BA4A2D1"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l</w:t>
            </w:r>
            <w:r>
              <w:rPr>
                <w:color w:val="4D4D4F"/>
                <w:rtl/>
                <w:lang w:bidi="ar"/>
              </w:rPr>
              <w:t>.</w:t>
            </w:r>
          </w:p>
        </w:tc>
        <w:tc>
          <w:tcPr>
            <w:tcW w:w="2445" w:type="dxa"/>
            <w:shd w:val="clear" w:color="auto" w:fill="auto"/>
            <w:tcMar>
              <w:top w:w="100" w:type="dxa"/>
              <w:left w:w="100" w:type="dxa"/>
              <w:bottom w:w="100" w:type="dxa"/>
              <w:right w:w="100" w:type="dxa"/>
            </w:tcMar>
          </w:tcPr>
          <w:p w14:paraId="26071C9F" w14:textId="308C03DF"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800,000</w:t>
            </w:r>
            <w:r w:rsidR="006067F3">
              <w:rPr>
                <w:color w:val="4D4D4F"/>
                <w:rtl/>
                <w:lang w:bidi="ar"/>
              </w:rPr>
              <w:t>$</w:t>
            </w:r>
          </w:p>
        </w:tc>
      </w:tr>
      <w:tr w:rsidR="00415DC4" w14:paraId="7C01B28D" w14:textId="77777777">
        <w:tc>
          <w:tcPr>
            <w:tcW w:w="3930" w:type="dxa"/>
            <w:tcMar>
              <w:top w:w="100" w:type="dxa"/>
              <w:left w:w="100" w:type="dxa"/>
              <w:bottom w:w="100" w:type="dxa"/>
              <w:right w:w="100" w:type="dxa"/>
            </w:tcMar>
          </w:tcPr>
          <w:p w14:paraId="63B9F06A"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دعم أنشطة بناء القدرات وتحسين تقديم الخدمات من جانب الوكالات التعليمية المحلية لتحسين النتائج بالنسبة للأطفال ذوي الإعاقة.</w:t>
            </w:r>
          </w:p>
        </w:tc>
        <w:tc>
          <w:tcPr>
            <w:tcW w:w="3600" w:type="dxa"/>
            <w:tcMar>
              <w:top w:w="100" w:type="dxa"/>
              <w:left w:w="100" w:type="dxa"/>
              <w:bottom w:w="100" w:type="dxa"/>
              <w:right w:w="100" w:type="dxa"/>
            </w:tcMar>
          </w:tcPr>
          <w:p w14:paraId="6F49066B"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ar"/>
              </w:rPr>
              <w:t>الدعم الإقليمي والمساعدة الفنية للوكالات التعليمية المحلية</w:t>
            </w:r>
          </w:p>
          <w:p w14:paraId="5F8836FF"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ar"/>
              </w:rPr>
              <w:t xml:space="preserve">الإرشاد والتطوير المهني لدعم المعلمين الذين يدعمون بدورهم الطلاب المصابين بالتوحد </w:t>
            </w:r>
          </w:p>
          <w:p w14:paraId="07B2C5DB"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ar"/>
              </w:rPr>
              <w:t>الإرشاد والتطوير المهني لدعم المعلمين الذين يدعمون بدورهم طلاباً لديهم احتياجات طبية معقدة</w:t>
            </w:r>
          </w:p>
          <w:p w14:paraId="705D27A4"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ar"/>
              </w:rPr>
              <w:t>تنفيذ خدمات لبناء قدرات المعلمين على وضع وتنفيذ خطط تعليمية فردية واستخدام البيانات لدعم التعليم في الفصول الدراسية ورفع التقارير عن التعليم الخاص</w:t>
            </w:r>
          </w:p>
          <w:p w14:paraId="40C6AA8D" w14:textId="77777777" w:rsidR="00415DC4" w:rsidRDefault="0006556A">
            <w:pPr>
              <w:widowControl w:val="0"/>
              <w:numPr>
                <w:ilvl w:val="0"/>
                <w:numId w:val="7"/>
              </w:numPr>
              <w:pBdr>
                <w:top w:val="nil"/>
                <w:left w:val="nil"/>
                <w:bottom w:val="nil"/>
                <w:right w:val="nil"/>
                <w:between w:val="nil"/>
              </w:pBdr>
              <w:bidi/>
              <w:spacing w:after="0" w:line="240" w:lineRule="auto"/>
              <w:rPr>
                <w:color w:val="4D4D4F"/>
              </w:rPr>
            </w:pPr>
            <w:r>
              <w:rPr>
                <w:color w:val="4D4D4F"/>
                <w:rtl/>
                <w:lang w:bidi="ar"/>
              </w:rPr>
              <w:t>إقامة شراكات للمساعدة التقنية والتطوير المهني لدعم تطوير القيادة للتعليم المتخصص والخدمات ذات الصلة بالطلاب ذوي الإعاقة</w:t>
            </w:r>
          </w:p>
        </w:tc>
        <w:tc>
          <w:tcPr>
            <w:tcW w:w="435" w:type="dxa"/>
            <w:tcMar>
              <w:top w:w="100" w:type="dxa"/>
              <w:left w:w="100" w:type="dxa"/>
              <w:bottom w:w="100" w:type="dxa"/>
              <w:right w:w="100" w:type="dxa"/>
            </w:tcMar>
          </w:tcPr>
          <w:p w14:paraId="2089B353"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m</w:t>
            </w:r>
            <w:r>
              <w:rPr>
                <w:color w:val="4D4D4F"/>
                <w:rtl/>
                <w:lang w:bidi="ar"/>
              </w:rPr>
              <w:t>.</w:t>
            </w:r>
          </w:p>
        </w:tc>
        <w:tc>
          <w:tcPr>
            <w:tcW w:w="2445" w:type="dxa"/>
            <w:shd w:val="clear" w:color="auto" w:fill="auto"/>
            <w:tcMar>
              <w:top w:w="100" w:type="dxa"/>
              <w:left w:w="100" w:type="dxa"/>
              <w:bottom w:w="100" w:type="dxa"/>
              <w:right w:w="100" w:type="dxa"/>
            </w:tcMar>
          </w:tcPr>
          <w:p w14:paraId="5DB1314C" w14:textId="49933A01"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4,536,912</w:t>
            </w:r>
            <w:r w:rsidR="006067F3">
              <w:rPr>
                <w:color w:val="4D4D4F"/>
                <w:rtl/>
                <w:lang w:bidi="ar"/>
              </w:rPr>
              <w:t>$</w:t>
            </w:r>
          </w:p>
          <w:p w14:paraId="71BD08A6"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13AD80CD" w14:textId="77777777">
        <w:tc>
          <w:tcPr>
            <w:tcW w:w="3930" w:type="dxa"/>
            <w:tcMar>
              <w:top w:w="100" w:type="dxa"/>
              <w:left w:w="100" w:type="dxa"/>
              <w:bottom w:w="100" w:type="dxa"/>
              <w:right w:w="100" w:type="dxa"/>
            </w:tcMar>
          </w:tcPr>
          <w:p w14:paraId="682BBAF0"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lastRenderedPageBreak/>
              <w:t>دعم أنشطة تقليص الأعمال الورقية، بما في ذلك توسيع نطاق استخدام التكنولوجيا في عملية خطة التعليم الفردية.</w:t>
            </w:r>
          </w:p>
        </w:tc>
        <w:tc>
          <w:tcPr>
            <w:tcW w:w="3600" w:type="dxa"/>
            <w:tcMar>
              <w:top w:w="100" w:type="dxa"/>
              <w:left w:w="100" w:type="dxa"/>
              <w:bottom w:w="100" w:type="dxa"/>
              <w:right w:w="100" w:type="dxa"/>
            </w:tcMar>
          </w:tcPr>
          <w:p w14:paraId="70AF82CB" w14:textId="77777777" w:rsidR="00415DC4" w:rsidRDefault="00415DC4">
            <w:pPr>
              <w:widowControl w:val="0"/>
              <w:pBdr>
                <w:top w:val="nil"/>
                <w:left w:val="nil"/>
                <w:bottom w:val="nil"/>
                <w:right w:val="nil"/>
                <w:between w:val="nil"/>
              </w:pBdr>
              <w:spacing w:after="0" w:line="240" w:lineRule="auto"/>
              <w:rPr>
                <w:color w:val="4D4D4F"/>
              </w:rPr>
            </w:pPr>
          </w:p>
        </w:tc>
        <w:tc>
          <w:tcPr>
            <w:tcW w:w="435" w:type="dxa"/>
            <w:tcMar>
              <w:top w:w="100" w:type="dxa"/>
              <w:left w:w="100" w:type="dxa"/>
              <w:bottom w:w="100" w:type="dxa"/>
              <w:right w:w="100" w:type="dxa"/>
            </w:tcMar>
          </w:tcPr>
          <w:p w14:paraId="18399E62"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n</w:t>
            </w:r>
            <w:r>
              <w:rPr>
                <w:color w:val="4D4D4F"/>
                <w:rtl/>
                <w:lang w:bidi="ar"/>
              </w:rPr>
              <w:t>.</w:t>
            </w:r>
          </w:p>
        </w:tc>
        <w:tc>
          <w:tcPr>
            <w:tcW w:w="2445" w:type="dxa"/>
            <w:tcMar>
              <w:top w:w="100" w:type="dxa"/>
              <w:left w:w="100" w:type="dxa"/>
              <w:bottom w:w="100" w:type="dxa"/>
              <w:right w:w="100" w:type="dxa"/>
            </w:tcMar>
          </w:tcPr>
          <w:p w14:paraId="757DDA28" w14:textId="15CD29F1"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0</w:t>
            </w:r>
            <w:r w:rsidR="006067F3">
              <w:rPr>
                <w:color w:val="4D4D4F"/>
                <w:rtl/>
                <w:lang w:bidi="ar"/>
              </w:rPr>
              <w:t>$</w:t>
            </w:r>
          </w:p>
          <w:p w14:paraId="78273873" w14:textId="77777777" w:rsidR="00415DC4" w:rsidRDefault="00415DC4">
            <w:pPr>
              <w:widowControl w:val="0"/>
              <w:pBdr>
                <w:top w:val="nil"/>
                <w:left w:val="nil"/>
                <w:bottom w:val="nil"/>
                <w:right w:val="nil"/>
                <w:between w:val="nil"/>
              </w:pBdr>
              <w:spacing w:after="0" w:line="240" w:lineRule="auto"/>
              <w:rPr>
                <w:color w:val="4D4D4F"/>
              </w:rPr>
            </w:pPr>
          </w:p>
        </w:tc>
      </w:tr>
      <w:tr w:rsidR="00415DC4" w14:paraId="778083B4" w14:textId="77777777">
        <w:tc>
          <w:tcPr>
            <w:tcW w:w="3930" w:type="dxa"/>
            <w:tcMar>
              <w:top w:w="100" w:type="dxa"/>
              <w:left w:w="100" w:type="dxa"/>
              <w:bottom w:w="100" w:type="dxa"/>
              <w:right w:w="100" w:type="dxa"/>
            </w:tcMar>
          </w:tcPr>
          <w:p w14:paraId="0232F70B"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تحسين استخدام التكنولوجيا من قبل الأطفال ذوي الإعاقة في الفصول الدراسية لتعزيز التعلم.</w:t>
            </w:r>
          </w:p>
        </w:tc>
        <w:tc>
          <w:tcPr>
            <w:tcW w:w="3600" w:type="dxa"/>
            <w:tcMar>
              <w:top w:w="100" w:type="dxa"/>
              <w:left w:w="100" w:type="dxa"/>
              <w:bottom w:w="100" w:type="dxa"/>
              <w:right w:w="100" w:type="dxa"/>
            </w:tcMar>
          </w:tcPr>
          <w:p w14:paraId="783C07CE" w14:textId="77777777" w:rsidR="00415DC4" w:rsidRDefault="0006556A">
            <w:pPr>
              <w:widowControl w:val="0"/>
              <w:numPr>
                <w:ilvl w:val="0"/>
                <w:numId w:val="2"/>
              </w:numPr>
              <w:pBdr>
                <w:top w:val="nil"/>
                <w:left w:val="nil"/>
                <w:bottom w:val="nil"/>
                <w:right w:val="nil"/>
                <w:between w:val="nil"/>
              </w:pBdr>
              <w:bidi/>
              <w:spacing w:after="0" w:line="240" w:lineRule="auto"/>
              <w:rPr>
                <w:color w:val="4D4D4F"/>
              </w:rPr>
            </w:pPr>
            <w:r>
              <w:rPr>
                <w:color w:val="4D4D4F"/>
                <w:rtl/>
                <w:lang w:bidi="ar"/>
              </w:rPr>
              <w:t>التدريب والموارد المتعلقة باستخدام التكنولوجيا لدعم احتياجات التعلم الفردية</w:t>
            </w:r>
          </w:p>
          <w:p w14:paraId="32046D7D" w14:textId="77777777" w:rsidR="00415DC4" w:rsidRDefault="0006556A">
            <w:pPr>
              <w:widowControl w:val="0"/>
              <w:numPr>
                <w:ilvl w:val="0"/>
                <w:numId w:val="2"/>
              </w:numPr>
              <w:pBdr>
                <w:top w:val="nil"/>
                <w:left w:val="nil"/>
                <w:bottom w:val="nil"/>
                <w:right w:val="nil"/>
                <w:between w:val="nil"/>
              </w:pBdr>
              <w:bidi/>
              <w:spacing w:after="0" w:line="240" w:lineRule="auto"/>
              <w:rPr>
                <w:color w:val="4D4D4F"/>
              </w:rPr>
            </w:pPr>
            <w:r>
              <w:rPr>
                <w:color w:val="4D4D4F"/>
                <w:rtl/>
                <w:lang w:bidi="ar"/>
              </w:rPr>
              <w:t>المواد التعليمية المتوفرة</w:t>
            </w:r>
          </w:p>
        </w:tc>
        <w:tc>
          <w:tcPr>
            <w:tcW w:w="435" w:type="dxa"/>
            <w:tcMar>
              <w:top w:w="100" w:type="dxa"/>
              <w:left w:w="100" w:type="dxa"/>
              <w:bottom w:w="100" w:type="dxa"/>
              <w:right w:w="100" w:type="dxa"/>
            </w:tcMar>
          </w:tcPr>
          <w:p w14:paraId="6EE9245B"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o</w:t>
            </w:r>
            <w:r>
              <w:rPr>
                <w:color w:val="4D4D4F"/>
                <w:rtl/>
                <w:lang w:bidi="ar"/>
              </w:rPr>
              <w:t>.</w:t>
            </w:r>
          </w:p>
        </w:tc>
        <w:tc>
          <w:tcPr>
            <w:tcW w:w="2445" w:type="dxa"/>
            <w:tcMar>
              <w:top w:w="100" w:type="dxa"/>
              <w:left w:w="100" w:type="dxa"/>
              <w:bottom w:w="100" w:type="dxa"/>
              <w:right w:w="100" w:type="dxa"/>
            </w:tcMar>
          </w:tcPr>
          <w:p w14:paraId="0124AFFF" w14:textId="751073A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600,000</w:t>
            </w:r>
            <w:r w:rsidR="006067F3">
              <w:rPr>
                <w:color w:val="4D4D4F"/>
                <w:rtl/>
                <w:lang w:bidi="ar"/>
              </w:rPr>
              <w:t>$</w:t>
            </w:r>
          </w:p>
        </w:tc>
      </w:tr>
      <w:tr w:rsidR="00415DC4" w14:paraId="5C7E149C" w14:textId="77777777">
        <w:tc>
          <w:tcPr>
            <w:tcW w:w="3930" w:type="dxa"/>
            <w:tcMar>
              <w:top w:w="100" w:type="dxa"/>
              <w:left w:w="100" w:type="dxa"/>
              <w:bottom w:w="100" w:type="dxa"/>
              <w:right w:w="100" w:type="dxa"/>
            </w:tcMar>
          </w:tcPr>
          <w:p w14:paraId="184987D5"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دعم استخدام التكنولوجيا، بما في ذلك التكنولوجيا ذات مبادئ التصميم العام وأجهزة التكنولوجيا المساعدة، لزيادة إمكانية الوصول القصوى إلى مناهج التعليم العام للأطفال المعوقين.</w:t>
            </w:r>
          </w:p>
        </w:tc>
        <w:tc>
          <w:tcPr>
            <w:tcW w:w="3600" w:type="dxa"/>
            <w:tcMar>
              <w:top w:w="100" w:type="dxa"/>
              <w:left w:w="100" w:type="dxa"/>
              <w:bottom w:w="100" w:type="dxa"/>
              <w:right w:w="100" w:type="dxa"/>
            </w:tcMar>
          </w:tcPr>
          <w:p w14:paraId="57ECA38F"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ar"/>
              </w:rPr>
              <w:t>التدريب والموارد المتعلقة باستخدام التكنولوجيا لدعم التعليم في الصفوف المختلفة</w:t>
            </w:r>
          </w:p>
          <w:p w14:paraId="2C4B9318"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ar"/>
              </w:rPr>
              <w:t>المواد التعليمية المتوفرة</w:t>
            </w:r>
          </w:p>
          <w:p w14:paraId="6A56DA01" w14:textId="77777777" w:rsidR="00415DC4" w:rsidRDefault="0006556A">
            <w:pPr>
              <w:widowControl w:val="0"/>
              <w:numPr>
                <w:ilvl w:val="0"/>
                <w:numId w:val="9"/>
              </w:numPr>
              <w:pBdr>
                <w:top w:val="nil"/>
                <w:left w:val="nil"/>
                <w:bottom w:val="nil"/>
                <w:right w:val="nil"/>
                <w:between w:val="nil"/>
              </w:pBdr>
              <w:bidi/>
              <w:spacing w:after="0" w:line="240" w:lineRule="auto"/>
              <w:rPr>
                <w:color w:val="4D4D4F"/>
              </w:rPr>
            </w:pPr>
            <w:r>
              <w:rPr>
                <w:color w:val="4D4D4F"/>
                <w:rtl/>
                <w:lang w:bidi="ar"/>
              </w:rPr>
              <w:t>دعم معايير الأهلية المحدثة للإعاقة البصرية</w:t>
            </w:r>
          </w:p>
        </w:tc>
        <w:tc>
          <w:tcPr>
            <w:tcW w:w="435" w:type="dxa"/>
            <w:tcMar>
              <w:top w:w="100" w:type="dxa"/>
              <w:left w:w="100" w:type="dxa"/>
              <w:bottom w:w="100" w:type="dxa"/>
              <w:right w:w="100" w:type="dxa"/>
            </w:tcMar>
          </w:tcPr>
          <w:p w14:paraId="20F653D9"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p</w:t>
            </w:r>
            <w:r>
              <w:rPr>
                <w:color w:val="4D4D4F"/>
                <w:rtl/>
                <w:lang w:bidi="ar"/>
              </w:rPr>
              <w:t>.</w:t>
            </w:r>
          </w:p>
        </w:tc>
        <w:tc>
          <w:tcPr>
            <w:tcW w:w="2445" w:type="dxa"/>
            <w:tcMar>
              <w:top w:w="100" w:type="dxa"/>
              <w:left w:w="100" w:type="dxa"/>
              <w:bottom w:w="100" w:type="dxa"/>
              <w:right w:w="100" w:type="dxa"/>
            </w:tcMar>
          </w:tcPr>
          <w:p w14:paraId="24FB6C7F" w14:textId="0B5BA580"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500,000</w:t>
            </w:r>
            <w:r w:rsidR="006067F3">
              <w:rPr>
                <w:color w:val="4D4D4F"/>
                <w:rtl/>
                <w:lang w:bidi="ar"/>
              </w:rPr>
              <w:t>$</w:t>
            </w:r>
          </w:p>
        </w:tc>
      </w:tr>
      <w:tr w:rsidR="00415DC4" w14:paraId="2D74139F" w14:textId="77777777">
        <w:tc>
          <w:tcPr>
            <w:tcW w:w="3930" w:type="dxa"/>
            <w:tcMar>
              <w:top w:w="100" w:type="dxa"/>
              <w:left w:w="100" w:type="dxa"/>
              <w:bottom w:w="100" w:type="dxa"/>
              <w:right w:w="100" w:type="dxa"/>
            </w:tcMar>
          </w:tcPr>
          <w:p w14:paraId="6BE981A8"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وضع وتنفيذ برامج الانتقال، بما في ذلك تنسيق الخدمات مع الوكالات المشاركة في دعم انتقال الأطفال ذوي الإعاقة إلى أنشطة ما بعد المرحلة الثانوية.</w:t>
            </w:r>
          </w:p>
        </w:tc>
        <w:tc>
          <w:tcPr>
            <w:tcW w:w="3600" w:type="dxa"/>
            <w:tcMar>
              <w:top w:w="100" w:type="dxa"/>
              <w:left w:w="100" w:type="dxa"/>
              <w:bottom w:w="100" w:type="dxa"/>
              <w:right w:w="100" w:type="dxa"/>
            </w:tcMar>
          </w:tcPr>
          <w:p w14:paraId="781FF3D4"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ar"/>
              </w:rPr>
              <w:t>دعم تطوير القيادة والإعداد الوظيفي مع انتقال الطلاب ذوي الإعاقة من المدرسة المتوسطة إلى المدرسة الثانوية</w:t>
            </w:r>
          </w:p>
          <w:p w14:paraId="7CD9F822"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ar"/>
              </w:rPr>
              <w:t>منتدى القيادات الشبابية للطلاب ذوي الإعاقة</w:t>
            </w:r>
          </w:p>
          <w:p w14:paraId="511134C0" w14:textId="77777777" w:rsidR="00415DC4" w:rsidRDefault="0006556A">
            <w:pPr>
              <w:widowControl w:val="0"/>
              <w:numPr>
                <w:ilvl w:val="0"/>
                <w:numId w:val="11"/>
              </w:numPr>
              <w:pBdr>
                <w:top w:val="nil"/>
                <w:left w:val="nil"/>
                <w:bottom w:val="nil"/>
                <w:right w:val="nil"/>
                <w:between w:val="nil"/>
              </w:pBdr>
              <w:bidi/>
              <w:spacing w:after="0" w:line="240" w:lineRule="auto"/>
              <w:rPr>
                <w:color w:val="4D4D4F"/>
              </w:rPr>
            </w:pPr>
            <w:r>
              <w:rPr>
                <w:color w:val="4D4D4F"/>
                <w:rtl/>
                <w:lang w:bidi="ar"/>
              </w:rPr>
              <w:t>أدوات وموارد على الإنترنت للأسر وأفراد المجتمع لفهم المكونات الهامة للتعليم الخاص</w:t>
            </w:r>
          </w:p>
        </w:tc>
        <w:tc>
          <w:tcPr>
            <w:tcW w:w="435" w:type="dxa"/>
            <w:tcMar>
              <w:top w:w="100" w:type="dxa"/>
              <w:left w:w="100" w:type="dxa"/>
              <w:bottom w:w="100" w:type="dxa"/>
              <w:right w:w="100" w:type="dxa"/>
            </w:tcMar>
          </w:tcPr>
          <w:p w14:paraId="1C218218"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q</w:t>
            </w:r>
            <w:r>
              <w:rPr>
                <w:color w:val="4D4D4F"/>
                <w:rtl/>
                <w:lang w:bidi="ar"/>
              </w:rPr>
              <w:t xml:space="preserve">. </w:t>
            </w:r>
          </w:p>
        </w:tc>
        <w:tc>
          <w:tcPr>
            <w:tcW w:w="2445" w:type="dxa"/>
            <w:tcMar>
              <w:top w:w="100" w:type="dxa"/>
              <w:left w:w="100" w:type="dxa"/>
              <w:bottom w:w="100" w:type="dxa"/>
              <w:right w:w="100" w:type="dxa"/>
            </w:tcMar>
          </w:tcPr>
          <w:p w14:paraId="4C888C1D" w14:textId="2ACDCC0E"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1,843,308</w:t>
            </w:r>
            <w:r w:rsidR="006067F3">
              <w:rPr>
                <w:color w:val="4D4D4F"/>
                <w:rtl/>
                <w:lang w:bidi="ar"/>
              </w:rPr>
              <w:t>$</w:t>
            </w:r>
          </w:p>
        </w:tc>
      </w:tr>
      <w:tr w:rsidR="00415DC4" w14:paraId="1D97CF13" w14:textId="77777777">
        <w:tc>
          <w:tcPr>
            <w:tcW w:w="3930" w:type="dxa"/>
            <w:tcMar>
              <w:top w:w="100" w:type="dxa"/>
              <w:left w:w="100" w:type="dxa"/>
              <w:bottom w:w="100" w:type="dxa"/>
              <w:right w:w="100" w:type="dxa"/>
            </w:tcMar>
          </w:tcPr>
          <w:p w14:paraId="5921817E" w14:textId="77777777"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البرمجة البديلة للأطفال من ذوي الإعاقة الذين طردوا من المدارس، والخدمات المقدمة للأطفال من ذوي الإعاقة في المؤسسات الإصلاحية، والأطفال المسجلين في المدارس التي تديرها أو تدعمها الولاية، والأطفال المعوقين في المدارس المستقلة.</w:t>
            </w:r>
          </w:p>
        </w:tc>
        <w:tc>
          <w:tcPr>
            <w:tcW w:w="3600" w:type="dxa"/>
            <w:tcMar>
              <w:top w:w="100" w:type="dxa"/>
              <w:left w:w="100" w:type="dxa"/>
              <w:bottom w:w="100" w:type="dxa"/>
              <w:right w:w="100" w:type="dxa"/>
            </w:tcMar>
          </w:tcPr>
          <w:p w14:paraId="7571AA98" w14:textId="77777777" w:rsidR="00415DC4" w:rsidRDefault="0006556A">
            <w:pPr>
              <w:widowControl w:val="0"/>
              <w:numPr>
                <w:ilvl w:val="0"/>
                <w:numId w:val="10"/>
              </w:numPr>
              <w:pBdr>
                <w:top w:val="nil"/>
                <w:left w:val="nil"/>
                <w:bottom w:val="nil"/>
                <w:right w:val="nil"/>
                <w:between w:val="nil"/>
              </w:pBdr>
              <w:bidi/>
              <w:spacing w:after="0" w:line="240" w:lineRule="auto"/>
              <w:rPr>
                <w:color w:val="4D4D4F"/>
              </w:rPr>
            </w:pPr>
            <w:r>
              <w:rPr>
                <w:color w:val="4D4D4F"/>
                <w:rtl/>
                <w:lang w:bidi="ar"/>
              </w:rPr>
              <w:t>الدعم السلوكي للطلاب في البرامج البديلة في المدارس التي تديرها الولاية</w:t>
            </w:r>
          </w:p>
        </w:tc>
        <w:tc>
          <w:tcPr>
            <w:tcW w:w="435" w:type="dxa"/>
            <w:tcMar>
              <w:top w:w="100" w:type="dxa"/>
              <w:left w:w="100" w:type="dxa"/>
              <w:bottom w:w="100" w:type="dxa"/>
              <w:right w:w="100" w:type="dxa"/>
            </w:tcMar>
          </w:tcPr>
          <w:p w14:paraId="24AA71AC"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r</w:t>
            </w:r>
            <w:r>
              <w:rPr>
                <w:color w:val="4D4D4F"/>
                <w:rtl/>
                <w:lang w:bidi="ar"/>
              </w:rPr>
              <w:t>.</w:t>
            </w:r>
          </w:p>
        </w:tc>
        <w:tc>
          <w:tcPr>
            <w:tcW w:w="2445" w:type="dxa"/>
            <w:tcMar>
              <w:top w:w="100" w:type="dxa"/>
              <w:left w:w="100" w:type="dxa"/>
              <w:bottom w:w="100" w:type="dxa"/>
              <w:right w:w="100" w:type="dxa"/>
            </w:tcMar>
          </w:tcPr>
          <w:p w14:paraId="39D78F0E" w14:textId="726DC373"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80,000</w:t>
            </w:r>
            <w:r w:rsidR="006067F3">
              <w:rPr>
                <w:color w:val="4D4D4F"/>
                <w:rtl/>
                <w:lang w:bidi="ar"/>
              </w:rPr>
              <w:t>$</w:t>
            </w:r>
          </w:p>
        </w:tc>
      </w:tr>
      <w:tr w:rsidR="00415DC4" w14:paraId="2A539594" w14:textId="77777777">
        <w:tc>
          <w:tcPr>
            <w:tcW w:w="3930" w:type="dxa"/>
            <w:tcMar>
              <w:top w:w="100" w:type="dxa"/>
              <w:left w:w="100" w:type="dxa"/>
              <w:bottom w:w="100" w:type="dxa"/>
              <w:right w:w="100" w:type="dxa"/>
            </w:tcMar>
          </w:tcPr>
          <w:p w14:paraId="63EFCE36" w14:textId="527D6732"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دعم تطوير وتوفير</w:t>
            </w:r>
            <w:r w:rsidR="00C53FD9">
              <w:rPr>
                <w:rFonts w:hint="cs"/>
                <w:color w:val="4D4D4F"/>
                <w:rtl/>
                <w:lang w:bidi="ar"/>
              </w:rPr>
              <w:t xml:space="preserve"> </w:t>
            </w:r>
            <w:r>
              <w:rPr>
                <w:color w:val="4D4D4F"/>
                <w:rtl/>
                <w:lang w:bidi="ar"/>
              </w:rPr>
              <w:t>التسهيلات المناسبة للأطفال من ذوي الإعاقة، أو وضع وتقديم تقييمات بديلة صالحة وموثوقة لتقييم أداء الأطفال من ذوي الإعاقة، وفقاً للمادتين</w:t>
            </w:r>
            <w:r w:rsidR="006067F3">
              <w:rPr>
                <w:color w:val="4D4D4F"/>
              </w:rPr>
              <w:t xml:space="preserve"> 1111(b) </w:t>
            </w:r>
            <w:r>
              <w:rPr>
                <w:color w:val="4D4D4F"/>
                <w:rtl/>
                <w:lang w:bidi="ar"/>
              </w:rPr>
              <w:t>و</w:t>
            </w:r>
            <w:r w:rsidR="006067F3">
              <w:rPr>
                <w:color w:val="4D4D4F"/>
                <w:lang w:bidi="ar"/>
              </w:rPr>
              <w:t xml:space="preserve"> </w:t>
            </w:r>
            <w:r w:rsidR="006067F3">
              <w:rPr>
                <w:color w:val="4D4D4F"/>
              </w:rPr>
              <w:t xml:space="preserve">1201 </w:t>
            </w:r>
            <w:r>
              <w:rPr>
                <w:color w:val="4D4D4F"/>
                <w:rtl/>
                <w:lang w:bidi="ar"/>
              </w:rPr>
              <w:t>من قانون التعليم الابتدائي والثانوي لعام 1965.</w:t>
            </w:r>
          </w:p>
        </w:tc>
        <w:tc>
          <w:tcPr>
            <w:tcW w:w="3600" w:type="dxa"/>
            <w:tcMar>
              <w:top w:w="100" w:type="dxa"/>
              <w:left w:w="100" w:type="dxa"/>
              <w:bottom w:w="100" w:type="dxa"/>
              <w:right w:w="100" w:type="dxa"/>
            </w:tcMar>
          </w:tcPr>
          <w:p w14:paraId="01C6E44F" w14:textId="77777777" w:rsidR="00415DC4" w:rsidRDefault="0006556A">
            <w:pPr>
              <w:widowControl w:val="0"/>
              <w:numPr>
                <w:ilvl w:val="0"/>
                <w:numId w:val="1"/>
              </w:numPr>
              <w:pBdr>
                <w:top w:val="nil"/>
                <w:left w:val="nil"/>
                <w:bottom w:val="nil"/>
                <w:right w:val="nil"/>
                <w:between w:val="nil"/>
              </w:pBdr>
              <w:bidi/>
              <w:spacing w:after="0" w:line="240" w:lineRule="auto"/>
              <w:rPr>
                <w:color w:val="4D4D4F"/>
              </w:rPr>
            </w:pPr>
            <w:r>
              <w:rPr>
                <w:color w:val="4D4D4F"/>
                <w:rtl/>
                <w:lang w:bidi="ar"/>
              </w:rPr>
              <w:t>تسهيلات التقييم: توفير التمويل لتوفير تسهيلات على أساس التقييمات العادية للولاية</w:t>
            </w:r>
          </w:p>
          <w:p w14:paraId="46315363" w14:textId="7A4AADC1" w:rsidR="00415DC4" w:rsidRDefault="0006556A">
            <w:pPr>
              <w:widowControl w:val="0"/>
              <w:numPr>
                <w:ilvl w:val="0"/>
                <w:numId w:val="1"/>
              </w:numPr>
              <w:pBdr>
                <w:top w:val="nil"/>
                <w:left w:val="nil"/>
                <w:bottom w:val="nil"/>
                <w:right w:val="nil"/>
                <w:between w:val="nil"/>
              </w:pBdr>
              <w:bidi/>
              <w:spacing w:after="0" w:line="240" w:lineRule="auto"/>
              <w:rPr>
                <w:color w:val="4D4D4F"/>
              </w:rPr>
            </w:pPr>
            <w:r>
              <w:rPr>
                <w:color w:val="4D4D4F"/>
                <w:rtl/>
                <w:lang w:bidi="ar"/>
              </w:rPr>
              <w:t>التقييم البديل: يوفر التمويل لتطوير وتوفير</w:t>
            </w:r>
            <w:r w:rsidR="00C13D36">
              <w:rPr>
                <w:color w:val="4D4D4F"/>
                <w:lang w:bidi="ar"/>
              </w:rPr>
              <w:t xml:space="preserve"> </w:t>
            </w:r>
            <w:r>
              <w:rPr>
                <w:color w:val="4D4D4F"/>
                <w:rtl/>
                <w:lang w:bidi="ar"/>
              </w:rPr>
              <w:t>التقييمات البديلة</w:t>
            </w:r>
          </w:p>
        </w:tc>
        <w:tc>
          <w:tcPr>
            <w:tcW w:w="435" w:type="dxa"/>
            <w:shd w:val="clear" w:color="auto" w:fill="auto"/>
            <w:tcMar>
              <w:top w:w="100" w:type="dxa"/>
              <w:left w:w="100" w:type="dxa"/>
              <w:bottom w:w="100" w:type="dxa"/>
              <w:right w:w="100" w:type="dxa"/>
            </w:tcMar>
          </w:tcPr>
          <w:p w14:paraId="6D58C8A4" w14:textId="77777777" w:rsidR="00415DC4" w:rsidRDefault="0006556A">
            <w:pPr>
              <w:widowControl w:val="0"/>
              <w:pBdr>
                <w:top w:val="nil"/>
                <w:left w:val="nil"/>
                <w:bottom w:val="nil"/>
                <w:right w:val="nil"/>
                <w:between w:val="nil"/>
              </w:pBdr>
              <w:bidi/>
              <w:spacing w:after="0" w:line="240" w:lineRule="auto"/>
              <w:rPr>
                <w:color w:val="4D4D4F"/>
              </w:rPr>
            </w:pPr>
            <w:r>
              <w:rPr>
                <w:color w:val="4D4D4F"/>
              </w:rPr>
              <w:t>s</w:t>
            </w:r>
            <w:r>
              <w:rPr>
                <w:color w:val="4D4D4F"/>
                <w:rtl/>
                <w:lang w:bidi="ar"/>
              </w:rPr>
              <w:t>.</w:t>
            </w:r>
          </w:p>
        </w:tc>
        <w:tc>
          <w:tcPr>
            <w:tcW w:w="2445" w:type="dxa"/>
            <w:shd w:val="clear" w:color="auto" w:fill="auto"/>
            <w:tcMar>
              <w:top w:w="100" w:type="dxa"/>
              <w:left w:w="100" w:type="dxa"/>
              <w:bottom w:w="100" w:type="dxa"/>
              <w:right w:w="100" w:type="dxa"/>
            </w:tcMar>
          </w:tcPr>
          <w:p w14:paraId="02163DF5" w14:textId="402A2A19" w:rsidR="00415DC4" w:rsidRDefault="0006556A">
            <w:pPr>
              <w:widowControl w:val="0"/>
              <w:pBdr>
                <w:top w:val="nil"/>
                <w:left w:val="nil"/>
                <w:bottom w:val="nil"/>
                <w:right w:val="nil"/>
                <w:between w:val="nil"/>
              </w:pBdr>
              <w:bidi/>
              <w:spacing w:after="0" w:line="240" w:lineRule="auto"/>
              <w:rPr>
                <w:color w:val="4D4D4F"/>
              </w:rPr>
            </w:pPr>
            <w:r>
              <w:rPr>
                <w:color w:val="4D4D4F"/>
                <w:rtl/>
                <w:lang w:bidi="ar"/>
              </w:rPr>
              <w:t>8,000,324</w:t>
            </w:r>
            <w:r w:rsidR="006067F3">
              <w:rPr>
                <w:color w:val="4D4D4F"/>
                <w:rtl/>
                <w:lang w:bidi="ar"/>
              </w:rPr>
              <w:t>$</w:t>
            </w:r>
          </w:p>
        </w:tc>
      </w:tr>
      <w:tr w:rsidR="00415DC4" w14:paraId="45575181" w14:textId="77777777">
        <w:tc>
          <w:tcPr>
            <w:tcW w:w="3930" w:type="dxa"/>
            <w:tcMar>
              <w:top w:w="100" w:type="dxa"/>
              <w:left w:w="100" w:type="dxa"/>
              <w:bottom w:w="100" w:type="dxa"/>
              <w:right w:w="100" w:type="dxa"/>
            </w:tcMar>
          </w:tcPr>
          <w:p w14:paraId="639E23BC" w14:textId="4C3210C2" w:rsidR="00415DC4" w:rsidRDefault="0006556A">
            <w:pPr>
              <w:widowControl w:val="0"/>
              <w:bidi/>
              <w:spacing w:after="0" w:line="240" w:lineRule="auto"/>
              <w:rPr>
                <w:color w:val="4D4D4F"/>
              </w:rPr>
            </w:pPr>
            <w:r>
              <w:rPr>
                <w:color w:val="4D4D4F"/>
                <w:rtl/>
                <w:lang w:bidi="ar"/>
              </w:rPr>
              <w:t>تقديم المساعدة التقنية للمدارس والوكالات التعليمية المحلية والخدمات المباشرة، بما في ذلك الخدمات الطلابية المباشرة المبينة في المادة</w:t>
            </w:r>
            <w:r w:rsidR="00C53FD9">
              <w:rPr>
                <w:color w:val="4D4D4F"/>
                <w:lang w:bidi="ar"/>
              </w:rPr>
              <w:t xml:space="preserve"> </w:t>
            </w:r>
            <w:r w:rsidR="00C53FD9">
              <w:rPr>
                <w:color w:val="4D4D4F"/>
              </w:rPr>
              <w:t xml:space="preserve">1003A(c)(3) </w:t>
            </w:r>
            <w:r>
              <w:rPr>
                <w:color w:val="4D4D4F"/>
                <w:rtl/>
                <w:lang w:bidi="ar"/>
              </w:rPr>
              <w:t>من قانون المدارس الإبتدائية والثانوية للأطفال من ذوي الإعاقة، أو المدارس والوكالات التعليمية المحلية التي تنفذ أنشطة دعم وتحسين شاملة أو أنشطة دعم وتحسين موجهة بموجب المادة</w:t>
            </w:r>
            <w:r w:rsidR="00C53FD9">
              <w:rPr>
                <w:color w:val="4D4D4F"/>
              </w:rPr>
              <w:t xml:space="preserve">1111(d) </w:t>
            </w:r>
            <w:r w:rsidR="00C53FD9">
              <w:rPr>
                <w:rFonts w:hint="cs"/>
                <w:color w:val="4D4D4F"/>
                <w:rtl/>
              </w:rPr>
              <w:t xml:space="preserve"> </w:t>
            </w:r>
            <w:r>
              <w:rPr>
                <w:color w:val="4D4D4F"/>
                <w:rtl/>
                <w:lang w:bidi="ar"/>
              </w:rPr>
              <w:t xml:space="preserve">من قانون المدارس الإبتدائية والثانوية على أساس ضعف الأداء المستمر للمجموعة الفرعية المصنفة من الأطفال من ذوي الإعاقة، بما في ذلك توفير التطوير المهني لمعلمي التعليم الخاص والعادي، الذين يعلمون الأطفال من ذوي الإعاقة، بناء على بحوث علمية لتحسين التعليم، من أجل تحسين التحصيل </w:t>
            </w:r>
            <w:r>
              <w:rPr>
                <w:color w:val="4D4D4F"/>
                <w:rtl/>
                <w:lang w:bidi="ar"/>
              </w:rPr>
              <w:lastRenderedPageBreak/>
              <w:t>الأكاديمي بناء على المعايير الأكاديمية الصعبة الموصوفة في المادة</w:t>
            </w:r>
            <w:r>
              <w:rPr>
                <w:color w:val="4D4D4F"/>
              </w:rPr>
              <w:t xml:space="preserve"> </w:t>
            </w:r>
            <w:r w:rsidR="00C53FD9">
              <w:rPr>
                <w:color w:val="4D4D4F"/>
              </w:rPr>
              <w:t xml:space="preserve">1111(b)(1) </w:t>
            </w:r>
            <w:r>
              <w:rPr>
                <w:color w:val="4D4D4F"/>
                <w:rtl/>
                <w:lang w:bidi="ar"/>
              </w:rPr>
              <w:t>من قانون المدارس الإبتدائية والثانوية.</w:t>
            </w:r>
          </w:p>
        </w:tc>
        <w:tc>
          <w:tcPr>
            <w:tcW w:w="3600" w:type="dxa"/>
            <w:tcMar>
              <w:top w:w="100" w:type="dxa"/>
              <w:left w:w="100" w:type="dxa"/>
              <w:bottom w:w="100" w:type="dxa"/>
              <w:right w:w="100" w:type="dxa"/>
            </w:tcMar>
          </w:tcPr>
          <w:p w14:paraId="44CDD364" w14:textId="77777777" w:rsidR="00415DC4" w:rsidRDefault="0006556A">
            <w:pPr>
              <w:widowControl w:val="0"/>
              <w:numPr>
                <w:ilvl w:val="0"/>
                <w:numId w:val="6"/>
              </w:numPr>
              <w:bidi/>
              <w:spacing w:after="0" w:line="240" w:lineRule="auto"/>
              <w:rPr>
                <w:rFonts w:ascii="Calibri" w:eastAsia="Calibri" w:hAnsi="Calibri" w:cs="Calibri"/>
                <w:color w:val="000000"/>
              </w:rPr>
            </w:pPr>
            <w:r>
              <w:rPr>
                <w:color w:val="4D4D4F"/>
                <w:rtl/>
                <w:lang w:bidi="ar"/>
              </w:rPr>
              <w:lastRenderedPageBreak/>
              <w:t xml:space="preserve">دعم المدارس في إعادة رسم الخطط الموجهة للطلاب ذوي الإعاقة للمدارس التي تقرر أنها تحتاج تدخلا عاجلا ضرورياً بناءً على الأداء المنخفض المستمر للمجموعة الفرعية من الطلاب ذوي الإعاقة </w:t>
            </w:r>
          </w:p>
        </w:tc>
        <w:tc>
          <w:tcPr>
            <w:tcW w:w="435" w:type="dxa"/>
            <w:tcMar>
              <w:top w:w="100" w:type="dxa"/>
              <w:left w:w="100" w:type="dxa"/>
              <w:bottom w:w="100" w:type="dxa"/>
              <w:right w:w="100" w:type="dxa"/>
            </w:tcMar>
          </w:tcPr>
          <w:p w14:paraId="273372FB" w14:textId="77777777" w:rsidR="00415DC4" w:rsidRDefault="0006556A">
            <w:pPr>
              <w:widowControl w:val="0"/>
              <w:bidi/>
              <w:spacing w:after="0" w:line="240" w:lineRule="auto"/>
              <w:rPr>
                <w:color w:val="4D4D4F"/>
              </w:rPr>
            </w:pPr>
            <w:r>
              <w:rPr>
                <w:color w:val="4D4D4F"/>
              </w:rPr>
              <w:t>t</w:t>
            </w:r>
            <w:r>
              <w:rPr>
                <w:color w:val="4D4D4F"/>
                <w:rtl/>
                <w:lang w:bidi="ar"/>
              </w:rPr>
              <w:t>.</w:t>
            </w:r>
          </w:p>
        </w:tc>
        <w:tc>
          <w:tcPr>
            <w:tcW w:w="2445" w:type="dxa"/>
            <w:tcMar>
              <w:top w:w="100" w:type="dxa"/>
              <w:left w:w="100" w:type="dxa"/>
              <w:bottom w:w="100" w:type="dxa"/>
              <w:right w:w="100" w:type="dxa"/>
            </w:tcMar>
          </w:tcPr>
          <w:p w14:paraId="7BCEBDE1" w14:textId="33F62D99" w:rsidR="00415DC4" w:rsidRDefault="0006556A" w:rsidP="006067F3">
            <w:pPr>
              <w:widowControl w:val="0"/>
              <w:bidi/>
              <w:spacing w:after="0" w:line="240" w:lineRule="auto"/>
              <w:rPr>
                <w:color w:val="4D4D4F"/>
              </w:rPr>
            </w:pPr>
            <w:r>
              <w:rPr>
                <w:color w:val="4D4D4F"/>
                <w:rtl/>
                <w:lang w:bidi="ar"/>
              </w:rPr>
              <w:t>1,865,726</w:t>
            </w:r>
            <w:r w:rsidR="006067F3">
              <w:rPr>
                <w:color w:val="4D4D4F"/>
                <w:rtl/>
                <w:lang w:bidi="ar"/>
              </w:rPr>
              <w:t>$</w:t>
            </w:r>
          </w:p>
        </w:tc>
      </w:tr>
      <w:tr w:rsidR="00415DC4" w14:paraId="1396B0EA" w14:textId="77777777">
        <w:tc>
          <w:tcPr>
            <w:tcW w:w="3930" w:type="dxa"/>
            <w:tcMar>
              <w:top w:w="100" w:type="dxa"/>
              <w:left w:w="100" w:type="dxa"/>
              <w:bottom w:w="100" w:type="dxa"/>
              <w:right w:w="100" w:type="dxa"/>
            </w:tcMar>
          </w:tcPr>
          <w:p w14:paraId="41DEA9F0" w14:textId="3E296A91" w:rsidR="00415DC4" w:rsidRDefault="0006556A">
            <w:pPr>
              <w:widowControl w:val="0"/>
              <w:pBdr>
                <w:top w:val="nil"/>
                <w:left w:val="nil"/>
                <w:bottom w:val="nil"/>
                <w:right w:val="nil"/>
                <w:between w:val="nil"/>
              </w:pBdr>
              <w:bidi/>
              <w:spacing w:after="0" w:line="240" w:lineRule="auto"/>
              <w:rPr>
                <w:color w:val="4D4D4F"/>
              </w:rPr>
            </w:pPr>
            <w:r>
              <w:rPr>
                <w:b/>
                <w:bCs/>
                <w:color w:val="4D4D4F"/>
                <w:rtl/>
                <w:lang w:bidi="ar"/>
              </w:rPr>
              <w:t>تجمع المخاطر للوكالات التعليمية المحلية</w:t>
            </w:r>
            <w:r>
              <w:rPr>
                <w:color w:val="4D4D4F"/>
                <w:rtl/>
                <w:lang w:bidi="ar"/>
              </w:rPr>
              <w:t xml:space="preserve"> (وفقا للمادة 20 من قانون الولايات المتحدة</w:t>
            </w:r>
            <w:r w:rsidR="00C53FD9">
              <w:rPr>
                <w:rFonts w:hint="cs"/>
                <w:color w:val="4D4D4F"/>
                <w:rtl/>
                <w:lang w:bidi="ar"/>
              </w:rPr>
              <w:t xml:space="preserve"> </w:t>
            </w:r>
            <w:r w:rsidR="00C53FD9">
              <w:rPr>
                <w:color w:val="4D4D4F"/>
              </w:rPr>
              <w:t>1411(e)(3)(A)</w:t>
            </w:r>
            <w:r>
              <w:rPr>
                <w:color w:val="4D4D4F"/>
                <w:rtl/>
                <w:lang w:bidi="ar"/>
              </w:rPr>
              <w:t xml:space="preserve">: لغرض مساعدة الوكالات التعليمية المحلية (بما في ذلك المدارس المستقلة هي وكالات تعليمية محلية أو اتحاد لوكالات تعليمية محلية) ولدى تلبية احتياجات الأطفال ذوي الإعاقة الذين هم في أمس الحاجة إليها، يكون لكل ولاية خيار الاحتفاظ في كل سنة مالية بنسبة 10 في المائة من مبلغ الأموال التي تحتفظ بها الولاية للأنشطة المضطلع بها على مستوى الولاية بموجب المادة 20 من قانون الولايات المتحدة </w:t>
            </w:r>
            <w:r w:rsidR="00C53FD9">
              <w:rPr>
                <w:color w:val="4D4D4F"/>
              </w:rPr>
              <w:t>1411(e)(2)(A)</w:t>
            </w:r>
            <w:r>
              <w:rPr>
                <w:color w:val="4D4D4F"/>
                <w:rtl/>
                <w:lang w:bidi="ar"/>
              </w:rPr>
              <w:t>؛ القسم 300.704 من العنوان رقم 34 من مدونة القوانين</w:t>
            </w:r>
            <w:r w:rsidR="002C5649">
              <w:rPr>
                <w:rFonts w:hint="cs"/>
                <w:color w:val="4D4D4F"/>
                <w:rtl/>
                <w:lang w:bidi="ar"/>
              </w:rPr>
              <w:t xml:space="preserve"> </w:t>
            </w:r>
            <w:r w:rsidR="002C5649">
              <w:rPr>
                <w:rtl/>
                <w:lang w:bidi="ar"/>
              </w:rPr>
              <w:t>الفيدرالية</w:t>
            </w:r>
            <w:r>
              <w:rPr>
                <w:color w:val="4D4D4F"/>
                <w:rtl/>
                <w:lang w:bidi="ar"/>
              </w:rPr>
              <w:t>.</w:t>
            </w:r>
          </w:p>
        </w:tc>
        <w:tc>
          <w:tcPr>
            <w:tcW w:w="3600" w:type="dxa"/>
            <w:shd w:val="clear" w:color="auto" w:fill="CCCCCC"/>
            <w:tcMar>
              <w:top w:w="100" w:type="dxa"/>
              <w:left w:w="100" w:type="dxa"/>
              <w:bottom w:w="100" w:type="dxa"/>
              <w:right w:w="100" w:type="dxa"/>
            </w:tcMar>
          </w:tcPr>
          <w:p w14:paraId="162A417E" w14:textId="77777777" w:rsidR="00415DC4" w:rsidRDefault="00415DC4">
            <w:pPr>
              <w:widowControl w:val="0"/>
              <w:pBdr>
                <w:top w:val="nil"/>
                <w:left w:val="nil"/>
                <w:bottom w:val="nil"/>
                <w:right w:val="nil"/>
                <w:between w:val="nil"/>
              </w:pBdr>
              <w:spacing w:after="0" w:line="240" w:lineRule="auto"/>
              <w:rPr>
                <w:color w:val="4D4D4F"/>
              </w:rPr>
            </w:pPr>
          </w:p>
        </w:tc>
        <w:tc>
          <w:tcPr>
            <w:tcW w:w="435" w:type="dxa"/>
            <w:shd w:val="clear" w:color="auto" w:fill="CCCCCC"/>
            <w:tcMar>
              <w:top w:w="100" w:type="dxa"/>
              <w:left w:w="100" w:type="dxa"/>
              <w:bottom w:w="100" w:type="dxa"/>
              <w:right w:w="100" w:type="dxa"/>
            </w:tcMar>
          </w:tcPr>
          <w:p w14:paraId="6E1F486D" w14:textId="77777777" w:rsidR="00415DC4" w:rsidRDefault="00415DC4">
            <w:pPr>
              <w:widowControl w:val="0"/>
              <w:pBdr>
                <w:top w:val="nil"/>
                <w:left w:val="nil"/>
                <w:bottom w:val="nil"/>
                <w:right w:val="nil"/>
                <w:between w:val="nil"/>
              </w:pBdr>
              <w:spacing w:after="0" w:line="240" w:lineRule="auto"/>
              <w:rPr>
                <w:color w:val="4D4D4F"/>
              </w:rPr>
            </w:pPr>
          </w:p>
        </w:tc>
        <w:tc>
          <w:tcPr>
            <w:tcW w:w="2445" w:type="dxa"/>
            <w:shd w:val="clear" w:color="auto" w:fill="CCCCCC"/>
            <w:tcMar>
              <w:top w:w="100" w:type="dxa"/>
              <w:left w:w="100" w:type="dxa"/>
              <w:bottom w:w="100" w:type="dxa"/>
              <w:right w:w="100" w:type="dxa"/>
            </w:tcMar>
          </w:tcPr>
          <w:p w14:paraId="412A6CA4" w14:textId="77777777" w:rsidR="00415DC4" w:rsidRDefault="00415DC4">
            <w:pPr>
              <w:widowControl w:val="0"/>
              <w:pBdr>
                <w:top w:val="nil"/>
                <w:left w:val="nil"/>
                <w:bottom w:val="nil"/>
                <w:right w:val="nil"/>
                <w:between w:val="nil"/>
              </w:pBdr>
              <w:spacing w:after="0" w:line="240" w:lineRule="auto"/>
              <w:rPr>
                <w:color w:val="4D4D4F"/>
              </w:rPr>
            </w:pPr>
          </w:p>
        </w:tc>
      </w:tr>
      <w:tr w:rsidR="006067F3" w14:paraId="3DED83B5" w14:textId="77777777">
        <w:trPr>
          <w:trHeight w:val="1860"/>
        </w:trPr>
        <w:tc>
          <w:tcPr>
            <w:tcW w:w="3930" w:type="dxa"/>
            <w:tcMar>
              <w:top w:w="100" w:type="dxa"/>
              <w:left w:w="100" w:type="dxa"/>
              <w:bottom w:w="100" w:type="dxa"/>
              <w:right w:w="100" w:type="dxa"/>
            </w:tcMar>
          </w:tcPr>
          <w:p w14:paraId="170DB29D" w14:textId="6D85B97A" w:rsidR="006067F3" w:rsidRDefault="006067F3" w:rsidP="006067F3">
            <w:pPr>
              <w:widowControl w:val="0"/>
              <w:pBdr>
                <w:top w:val="nil"/>
                <w:left w:val="nil"/>
                <w:bottom w:val="nil"/>
                <w:right w:val="nil"/>
                <w:between w:val="nil"/>
              </w:pBdr>
              <w:bidi/>
              <w:spacing w:after="0" w:line="240" w:lineRule="auto"/>
              <w:rPr>
                <w:color w:val="4D4D4F"/>
              </w:rPr>
            </w:pPr>
            <w:r>
              <w:rPr>
                <w:color w:val="4D4D4F"/>
                <w:rtl/>
                <w:lang w:bidi="ar"/>
              </w:rPr>
              <w:t xml:space="preserve">إنشاء ودفع مبالغ من صندوق التكاليف العالية للوكالات التعليمية المحلية وفقاً  للمادة 20 من قانون الولايات المتحدة </w:t>
            </w:r>
            <w:r w:rsidR="002C5649">
              <w:rPr>
                <w:color w:val="4D4D4F"/>
              </w:rPr>
              <w:t>1411(e)(3)</w:t>
            </w:r>
            <w:r w:rsidR="002C5649">
              <w:rPr>
                <w:rFonts w:hint="cs"/>
                <w:color w:val="4D4D4F"/>
                <w:rtl/>
              </w:rPr>
              <w:t xml:space="preserve"> </w:t>
            </w:r>
            <w:r>
              <w:rPr>
                <w:color w:val="4D4D4F"/>
                <w:rtl/>
                <w:lang w:bidi="ar"/>
              </w:rPr>
              <w:t xml:space="preserve">خلال السنوات المالية الأولى والتالية لصندوق التكاليف العالية؛ </w:t>
            </w:r>
          </w:p>
        </w:tc>
        <w:tc>
          <w:tcPr>
            <w:tcW w:w="3600" w:type="dxa"/>
            <w:tcMar>
              <w:top w:w="100" w:type="dxa"/>
              <w:left w:w="100" w:type="dxa"/>
              <w:bottom w:w="100" w:type="dxa"/>
              <w:right w:w="100" w:type="dxa"/>
            </w:tcMar>
          </w:tcPr>
          <w:p w14:paraId="0389EDF5" w14:textId="7BD6601A" w:rsidR="006067F3" w:rsidRDefault="006067F3" w:rsidP="006067F3">
            <w:pPr>
              <w:widowControl w:val="0"/>
              <w:numPr>
                <w:ilvl w:val="0"/>
                <w:numId w:val="12"/>
              </w:numPr>
              <w:pBdr>
                <w:top w:val="nil"/>
                <w:left w:val="nil"/>
                <w:bottom w:val="nil"/>
                <w:right w:val="nil"/>
                <w:between w:val="nil"/>
              </w:pBdr>
              <w:bidi/>
              <w:spacing w:after="0" w:line="240" w:lineRule="auto"/>
              <w:rPr>
                <w:color w:val="4D4D4F"/>
              </w:rPr>
            </w:pPr>
            <w:r>
              <w:rPr>
                <w:color w:val="4D4D4F"/>
                <w:rtl/>
                <w:lang w:bidi="ar"/>
              </w:rPr>
              <w:t>تجمع التكلفة العالية لدعم التكاليف الإضافية المرتبطة بالطلاب ذوي الاحتياجات المعقدة</w:t>
            </w:r>
          </w:p>
        </w:tc>
        <w:tc>
          <w:tcPr>
            <w:tcW w:w="435" w:type="dxa"/>
            <w:tcMar>
              <w:top w:w="100" w:type="dxa"/>
              <w:left w:w="100" w:type="dxa"/>
              <w:bottom w:w="100" w:type="dxa"/>
              <w:right w:w="100" w:type="dxa"/>
            </w:tcMar>
          </w:tcPr>
          <w:p w14:paraId="5D7A76F7" w14:textId="77777777" w:rsidR="006067F3" w:rsidRDefault="006067F3" w:rsidP="006067F3">
            <w:pPr>
              <w:widowControl w:val="0"/>
              <w:pBdr>
                <w:top w:val="nil"/>
                <w:left w:val="nil"/>
                <w:bottom w:val="nil"/>
                <w:right w:val="nil"/>
                <w:between w:val="nil"/>
              </w:pBdr>
              <w:bidi/>
              <w:spacing w:after="0" w:line="240" w:lineRule="auto"/>
              <w:rPr>
                <w:color w:val="4D4D4F"/>
              </w:rPr>
            </w:pPr>
            <w:r>
              <w:rPr>
                <w:color w:val="4D4D4F"/>
              </w:rPr>
              <w:t>u</w:t>
            </w:r>
            <w:r>
              <w:rPr>
                <w:color w:val="4D4D4F"/>
                <w:rtl/>
                <w:lang w:bidi="ar"/>
              </w:rPr>
              <w:t>.</w:t>
            </w:r>
          </w:p>
        </w:tc>
        <w:tc>
          <w:tcPr>
            <w:tcW w:w="2445" w:type="dxa"/>
            <w:tcMar>
              <w:top w:w="100" w:type="dxa"/>
              <w:left w:w="100" w:type="dxa"/>
              <w:bottom w:w="100" w:type="dxa"/>
              <w:right w:w="100" w:type="dxa"/>
            </w:tcMar>
          </w:tcPr>
          <w:p w14:paraId="3E32CCF4" w14:textId="6F54F3E9" w:rsidR="006067F3" w:rsidRDefault="006067F3" w:rsidP="006067F3">
            <w:pPr>
              <w:widowControl w:val="0"/>
              <w:pBdr>
                <w:top w:val="nil"/>
                <w:left w:val="nil"/>
                <w:bottom w:val="nil"/>
                <w:right w:val="nil"/>
                <w:between w:val="nil"/>
              </w:pBdr>
              <w:bidi/>
              <w:spacing w:after="0" w:line="240" w:lineRule="auto"/>
              <w:rPr>
                <w:color w:val="4D4D4F"/>
              </w:rPr>
            </w:pPr>
            <w:r>
              <w:rPr>
                <w:color w:val="4D4D4F"/>
              </w:rPr>
              <w:t>$4,400,000</w:t>
            </w:r>
          </w:p>
        </w:tc>
      </w:tr>
      <w:tr w:rsidR="00415DC4" w14:paraId="4D30548B" w14:textId="77777777">
        <w:tc>
          <w:tcPr>
            <w:tcW w:w="3930" w:type="dxa"/>
            <w:tcMar>
              <w:top w:w="100" w:type="dxa"/>
              <w:left w:w="100" w:type="dxa"/>
              <w:bottom w:w="100" w:type="dxa"/>
              <w:right w:w="100" w:type="dxa"/>
            </w:tcMar>
          </w:tcPr>
          <w:p w14:paraId="5BE29324" w14:textId="77777777" w:rsidR="00415DC4" w:rsidRDefault="0006556A">
            <w:pPr>
              <w:widowControl w:val="0"/>
              <w:bidi/>
              <w:spacing w:after="0" w:line="240" w:lineRule="auto"/>
              <w:rPr>
                <w:color w:val="4D4D4F"/>
              </w:rPr>
            </w:pPr>
            <w:r>
              <w:rPr>
                <w:color w:val="4D4D4F"/>
                <w:rtl/>
                <w:lang w:bidi="ar"/>
              </w:rPr>
              <w:t xml:space="preserve">دعم الطرق المبتكرة والفعالة لتقاسم التكاليف من جانب الولاية، أو من جانب الوكالات التعليمية المحلية، أو فيما بين اتحاد وكالات تعليمية محلية </w:t>
            </w:r>
          </w:p>
          <w:p w14:paraId="1E33A47F" w14:textId="1A13BAA0" w:rsidR="00415DC4" w:rsidRDefault="0006556A">
            <w:pPr>
              <w:widowControl w:val="0"/>
              <w:bidi/>
              <w:spacing w:after="0" w:line="240" w:lineRule="auto"/>
              <w:rPr>
                <w:color w:val="4D4D4F"/>
              </w:rPr>
            </w:pPr>
            <w:r>
              <w:rPr>
                <w:color w:val="4D4D4F"/>
                <w:rtl/>
                <w:lang w:bidi="ar"/>
              </w:rPr>
              <w:t xml:space="preserve">على النحو الذي تحدده الولاية بالتنسيق مع ممثلي الوكالات التعليمية المحلية، رهنا بأحكام  المادة 20 من قانون الولايات المتحدة </w:t>
            </w:r>
            <w:r w:rsidR="00C53FD9">
              <w:rPr>
                <w:color w:val="4D4D4F"/>
              </w:rPr>
              <w:t>1411(e)(3)(B)(ii)</w:t>
            </w:r>
            <w:r>
              <w:rPr>
                <w:color w:val="4D4D4F"/>
                <w:rtl/>
                <w:lang w:bidi="ar"/>
              </w:rPr>
              <w:t xml:space="preserve"> [لا يجوز أن يزيد المبلغ عن 5 في المائة من المبلغ المحجوز لتجمع المخاطر في الوكالات التعليمية المحلية.].</w:t>
            </w:r>
          </w:p>
        </w:tc>
        <w:tc>
          <w:tcPr>
            <w:tcW w:w="3600" w:type="dxa"/>
            <w:tcMar>
              <w:top w:w="100" w:type="dxa"/>
              <w:left w:w="100" w:type="dxa"/>
              <w:bottom w:w="100" w:type="dxa"/>
              <w:right w:w="100" w:type="dxa"/>
            </w:tcMar>
          </w:tcPr>
          <w:p w14:paraId="3E3A5C80" w14:textId="77777777" w:rsidR="00415DC4" w:rsidRDefault="00415DC4">
            <w:pPr>
              <w:widowControl w:val="0"/>
              <w:spacing w:after="0" w:line="240" w:lineRule="auto"/>
              <w:rPr>
                <w:color w:val="4D4D4F"/>
              </w:rPr>
            </w:pPr>
          </w:p>
        </w:tc>
        <w:tc>
          <w:tcPr>
            <w:tcW w:w="435" w:type="dxa"/>
            <w:tcMar>
              <w:top w:w="100" w:type="dxa"/>
              <w:left w:w="100" w:type="dxa"/>
              <w:bottom w:w="100" w:type="dxa"/>
              <w:right w:w="100" w:type="dxa"/>
            </w:tcMar>
          </w:tcPr>
          <w:p w14:paraId="5FFB7576" w14:textId="77777777" w:rsidR="00415DC4" w:rsidRDefault="0006556A">
            <w:pPr>
              <w:widowControl w:val="0"/>
              <w:bidi/>
              <w:spacing w:after="0" w:line="240" w:lineRule="auto"/>
              <w:rPr>
                <w:color w:val="4D4D4F"/>
              </w:rPr>
            </w:pPr>
            <w:r>
              <w:rPr>
                <w:color w:val="4D4D4F"/>
              </w:rPr>
              <w:t>v</w:t>
            </w:r>
            <w:r>
              <w:rPr>
                <w:color w:val="4D4D4F"/>
                <w:rtl/>
                <w:lang w:bidi="ar"/>
              </w:rPr>
              <w:t>.</w:t>
            </w:r>
          </w:p>
        </w:tc>
        <w:tc>
          <w:tcPr>
            <w:tcW w:w="2445" w:type="dxa"/>
            <w:tcMar>
              <w:top w:w="100" w:type="dxa"/>
              <w:left w:w="100" w:type="dxa"/>
              <w:bottom w:w="100" w:type="dxa"/>
              <w:right w:w="100" w:type="dxa"/>
            </w:tcMar>
          </w:tcPr>
          <w:p w14:paraId="4CD61D56" w14:textId="73FBE04D" w:rsidR="00415DC4" w:rsidRDefault="0006556A" w:rsidP="006067F3">
            <w:pPr>
              <w:widowControl w:val="0"/>
              <w:bidi/>
              <w:spacing w:after="0" w:line="240" w:lineRule="auto"/>
              <w:rPr>
                <w:color w:val="4D4D4F"/>
              </w:rPr>
            </w:pPr>
            <w:r>
              <w:rPr>
                <w:color w:val="4D4D4F"/>
                <w:rtl/>
                <w:lang w:bidi="ar"/>
              </w:rPr>
              <w:t>0</w:t>
            </w:r>
            <w:r w:rsidR="006067F3">
              <w:rPr>
                <w:color w:val="4D4D4F"/>
                <w:rtl/>
                <w:lang w:bidi="ar"/>
              </w:rPr>
              <w:t>$</w:t>
            </w:r>
          </w:p>
        </w:tc>
      </w:tr>
      <w:tr w:rsidR="00415DC4" w14:paraId="52E2B363" w14:textId="77777777">
        <w:tc>
          <w:tcPr>
            <w:tcW w:w="3930" w:type="dxa"/>
            <w:tcMar>
              <w:top w:w="100" w:type="dxa"/>
              <w:left w:w="100" w:type="dxa"/>
              <w:bottom w:w="100" w:type="dxa"/>
              <w:right w:w="100" w:type="dxa"/>
            </w:tcMar>
          </w:tcPr>
          <w:p w14:paraId="52282C57" w14:textId="1F7D53B5" w:rsidR="00415DC4" w:rsidRDefault="0006556A">
            <w:pPr>
              <w:widowControl w:val="0"/>
              <w:bidi/>
              <w:spacing w:after="0" w:line="240" w:lineRule="auto"/>
              <w:rPr>
                <w:color w:val="4D4D4F"/>
              </w:rPr>
            </w:pPr>
            <w:r>
              <w:rPr>
                <w:color w:val="4D4D4F"/>
                <w:rtl/>
                <w:lang w:bidi="ar"/>
              </w:rPr>
              <w:t xml:space="preserve">تأسيس صندوق الكلفة العالية  (وفقا للمادة 20 من قانون الولايات المتحدة </w:t>
            </w:r>
            <w:r w:rsidR="00C53FD9">
              <w:rPr>
                <w:color w:val="4D4D4F"/>
              </w:rPr>
              <w:t>1411(e)(3)(B)(i)</w:t>
            </w:r>
            <w:r>
              <w:rPr>
                <w:color w:val="4D4D4F"/>
                <w:rtl/>
                <w:lang w:bidi="ar"/>
              </w:rPr>
              <w:t>؛ القسم 300.704 من العنوان رقم 34 من مدونة القوانين</w:t>
            </w:r>
            <w:r w:rsidR="002C5649">
              <w:rPr>
                <w:rFonts w:hint="cs"/>
                <w:color w:val="4D4D4F"/>
                <w:rtl/>
                <w:lang w:bidi="ar"/>
              </w:rPr>
              <w:t xml:space="preserve"> </w:t>
            </w:r>
            <w:r w:rsidR="002C5649">
              <w:rPr>
                <w:rtl/>
                <w:lang w:bidi="ar"/>
              </w:rPr>
              <w:t>الفيدرالية</w:t>
            </w:r>
            <w:r>
              <w:rPr>
                <w:color w:val="4D4D4F"/>
                <w:rtl/>
                <w:lang w:bidi="ar"/>
              </w:rPr>
              <w:t>)</w:t>
            </w:r>
          </w:p>
        </w:tc>
        <w:tc>
          <w:tcPr>
            <w:tcW w:w="3600" w:type="dxa"/>
            <w:shd w:val="clear" w:color="auto" w:fill="CCCCCC"/>
            <w:tcMar>
              <w:top w:w="100" w:type="dxa"/>
              <w:left w:w="100" w:type="dxa"/>
              <w:bottom w:w="100" w:type="dxa"/>
              <w:right w:w="100" w:type="dxa"/>
            </w:tcMar>
          </w:tcPr>
          <w:p w14:paraId="6A39E942"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4AB67925"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5552570F" w14:textId="77777777" w:rsidR="00415DC4" w:rsidRDefault="00415DC4">
            <w:pPr>
              <w:widowControl w:val="0"/>
              <w:spacing w:after="0" w:line="240" w:lineRule="auto"/>
              <w:rPr>
                <w:color w:val="4D4D4F"/>
              </w:rPr>
            </w:pPr>
          </w:p>
        </w:tc>
      </w:tr>
      <w:tr w:rsidR="00415DC4" w14:paraId="052412B7" w14:textId="77777777">
        <w:tc>
          <w:tcPr>
            <w:tcW w:w="3930" w:type="dxa"/>
            <w:tcMar>
              <w:top w:w="100" w:type="dxa"/>
              <w:left w:w="100" w:type="dxa"/>
              <w:bottom w:w="100" w:type="dxa"/>
              <w:right w:w="100" w:type="dxa"/>
            </w:tcMar>
          </w:tcPr>
          <w:p w14:paraId="5E08CE1B" w14:textId="5AC04D31" w:rsidR="00415DC4" w:rsidRDefault="0006556A">
            <w:pPr>
              <w:widowControl w:val="0"/>
              <w:bidi/>
              <w:spacing w:after="0" w:line="240" w:lineRule="auto"/>
              <w:rPr>
                <w:color w:val="4D4D4F"/>
              </w:rPr>
            </w:pPr>
            <w:r>
              <w:rPr>
                <w:color w:val="4D4D4F"/>
                <w:rtl/>
                <w:lang w:bidi="ar"/>
              </w:rPr>
              <w:t xml:space="preserve">لا يجوز أن تستخدم الولاية أياً من الأموال التي تحجزها بموجب  المادة 20 من قانون الولايات المتحدة </w:t>
            </w:r>
            <w:r w:rsidR="00C53FD9">
              <w:rPr>
                <w:color w:val="4D4D4F"/>
              </w:rPr>
              <w:t>1411(e)(3)(A)(i)</w:t>
            </w:r>
            <w:r>
              <w:rPr>
                <w:color w:val="4D4D4F"/>
                <w:rtl/>
                <w:lang w:bidi="ar"/>
              </w:rPr>
              <w:t xml:space="preserve">؛ القسم 300.704 من العنوان رقم 34 من مدونة القوانين </w:t>
            </w:r>
            <w:r w:rsidR="002C5649">
              <w:rPr>
                <w:rtl/>
                <w:lang w:bidi="ar"/>
              </w:rPr>
              <w:t>الفيدرالية</w:t>
            </w:r>
            <w:r w:rsidR="002C5649">
              <w:rPr>
                <w:rFonts w:hint="cs"/>
                <w:color w:val="4D4D4F"/>
                <w:rtl/>
                <w:lang w:bidi="ar"/>
              </w:rPr>
              <w:t xml:space="preserve">، </w:t>
            </w:r>
            <w:r>
              <w:rPr>
                <w:color w:val="4D4D4F"/>
                <w:rtl/>
                <w:lang w:bidi="ar"/>
              </w:rPr>
              <w:t xml:space="preserve">ولكن يمكن أن تستخدم الأموال التي تحجزها الولاية تبعا للمادة 20  من قانون الولايات المتحدة </w:t>
            </w:r>
            <w:r w:rsidR="002C5649">
              <w:rPr>
                <w:color w:val="4D4D4F"/>
              </w:rPr>
              <w:t>1411(e)(1)</w:t>
            </w:r>
            <w:r>
              <w:rPr>
                <w:color w:val="4D4D4F"/>
                <w:rtl/>
                <w:lang w:bidi="ar"/>
              </w:rPr>
              <w:t xml:space="preserve">؛ القسم 300.704 من العنوان رقم 34 من مدونة القوانين </w:t>
            </w:r>
            <w:r w:rsidR="002C5649">
              <w:rPr>
                <w:rtl/>
                <w:lang w:bidi="ar"/>
              </w:rPr>
              <w:t xml:space="preserve">الفيدرالية </w:t>
            </w:r>
            <w:r>
              <w:rPr>
                <w:color w:val="4D4D4F"/>
                <w:rtl/>
                <w:lang w:bidi="ar"/>
              </w:rPr>
              <w:t>، لتأسيس ودعم صندوق الكلفة العالية.</w:t>
            </w:r>
          </w:p>
        </w:tc>
        <w:tc>
          <w:tcPr>
            <w:tcW w:w="3600" w:type="dxa"/>
            <w:shd w:val="clear" w:color="auto" w:fill="CCCCCC"/>
            <w:tcMar>
              <w:top w:w="100" w:type="dxa"/>
              <w:left w:w="100" w:type="dxa"/>
              <w:bottom w:w="100" w:type="dxa"/>
              <w:right w:w="100" w:type="dxa"/>
            </w:tcMar>
          </w:tcPr>
          <w:p w14:paraId="12D7C64A" w14:textId="77777777" w:rsidR="00415DC4" w:rsidRDefault="00415DC4">
            <w:pPr>
              <w:widowControl w:val="0"/>
              <w:spacing w:after="0" w:line="240" w:lineRule="auto"/>
              <w:rPr>
                <w:color w:val="4D4D4F"/>
              </w:rPr>
            </w:pPr>
          </w:p>
        </w:tc>
        <w:tc>
          <w:tcPr>
            <w:tcW w:w="435" w:type="dxa"/>
            <w:shd w:val="clear" w:color="auto" w:fill="CCCCCC"/>
            <w:tcMar>
              <w:top w:w="100" w:type="dxa"/>
              <w:left w:w="100" w:type="dxa"/>
              <w:bottom w:w="100" w:type="dxa"/>
              <w:right w:w="100" w:type="dxa"/>
            </w:tcMar>
          </w:tcPr>
          <w:p w14:paraId="7ADECE9C" w14:textId="77777777" w:rsidR="00415DC4" w:rsidRDefault="00415DC4">
            <w:pPr>
              <w:widowControl w:val="0"/>
              <w:spacing w:after="0" w:line="240" w:lineRule="auto"/>
              <w:rPr>
                <w:color w:val="4D4D4F"/>
              </w:rPr>
            </w:pPr>
          </w:p>
        </w:tc>
        <w:tc>
          <w:tcPr>
            <w:tcW w:w="2445" w:type="dxa"/>
            <w:shd w:val="clear" w:color="auto" w:fill="CCCCCC"/>
            <w:tcMar>
              <w:top w:w="100" w:type="dxa"/>
              <w:left w:w="100" w:type="dxa"/>
              <w:bottom w:w="100" w:type="dxa"/>
              <w:right w:w="100" w:type="dxa"/>
            </w:tcMar>
          </w:tcPr>
          <w:p w14:paraId="50A92CAF" w14:textId="77777777" w:rsidR="00415DC4" w:rsidRDefault="00415DC4">
            <w:pPr>
              <w:widowControl w:val="0"/>
              <w:spacing w:after="0" w:line="240" w:lineRule="auto"/>
              <w:rPr>
                <w:color w:val="4D4D4F"/>
              </w:rPr>
            </w:pPr>
          </w:p>
        </w:tc>
      </w:tr>
    </w:tbl>
    <w:p w14:paraId="0ADD8E7A" w14:textId="77777777" w:rsidR="00415DC4" w:rsidRDefault="00415DC4">
      <w:pPr>
        <w:spacing w:line="240" w:lineRule="auto"/>
      </w:pPr>
      <w:bookmarkStart w:id="5" w:name="_6kpmys74hr9e" w:colFirst="0" w:colLast="0"/>
      <w:bookmarkEnd w:id="5"/>
    </w:p>
    <w:sectPr w:rsidR="00415DC4">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3E0E" w14:textId="77777777" w:rsidR="00C804CA" w:rsidRDefault="00C804CA">
      <w:pPr>
        <w:spacing w:after="0" w:line="240" w:lineRule="auto"/>
      </w:pPr>
      <w:r>
        <w:separator/>
      </w:r>
    </w:p>
  </w:endnote>
  <w:endnote w:type="continuationSeparator" w:id="0">
    <w:p w14:paraId="65D9FD49" w14:textId="77777777" w:rsidR="00C804CA" w:rsidRDefault="00C8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w:altName w:val="Calibri"/>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F893" w14:textId="77777777" w:rsidR="00415DC4" w:rsidRDefault="0006556A">
    <w:pPr>
      <w:bidi/>
      <w:spacing w:after="0"/>
      <w:rPr>
        <w:b/>
        <w:sz w:val="16"/>
        <w:szCs w:val="16"/>
      </w:rPr>
    </w:pPr>
    <w:r>
      <w:rPr>
        <w:b/>
        <w:bCs/>
        <w:sz w:val="16"/>
        <w:szCs w:val="16"/>
        <w:rtl/>
        <w:lang w:bidi="ar"/>
      </w:rPr>
      <w:t>مديرية التعليم في لويزيانا</w:t>
    </w:r>
  </w:p>
  <w:p w14:paraId="16E7E0BE" w14:textId="6968C772" w:rsidR="00415DC4" w:rsidRDefault="00000000">
    <w:pPr>
      <w:tabs>
        <w:tab w:val="right" w:pos="10800"/>
      </w:tabs>
      <w:bidi/>
      <w:spacing w:after="0"/>
    </w:pPr>
    <w:hyperlink r:id="rId1">
      <w:r w:rsidR="0006556A">
        <w:rPr>
          <w:color w:val="017F92"/>
          <w:sz w:val="16"/>
          <w:szCs w:val="16"/>
          <w:u w:val="single"/>
        </w:rPr>
        <w:t>doe.louisiana.gov</w:t>
      </w:r>
    </w:hyperlink>
    <w:r w:rsidR="0006556A">
      <w:rPr>
        <w:sz w:val="16"/>
        <w:szCs w:val="16"/>
      </w:rPr>
      <w:t xml:space="preserve">  |  P.O. Box 94064 •  Baton Rouge, LA •  70804-9064</w:t>
    </w:r>
    <w:r w:rsidR="0006556A">
      <w:rPr>
        <w:sz w:val="16"/>
        <w:szCs w:val="16"/>
      </w:rPr>
      <w:tab/>
    </w:r>
    <w:r w:rsidR="0006556A">
      <w:rPr>
        <w:sz w:val="16"/>
        <w:szCs w:val="16"/>
        <w:rtl/>
        <w:lang w:bidi="ar"/>
      </w:rPr>
      <w:t xml:space="preserve">الصفحة </w:t>
    </w:r>
    <w:r w:rsidR="0006556A">
      <w:rPr>
        <w:sz w:val="16"/>
        <w:szCs w:val="16"/>
        <w:rtl/>
        <w:lang w:bidi="ar"/>
      </w:rPr>
      <w:fldChar w:fldCharType="begin"/>
    </w:r>
    <w:r w:rsidR="0006556A">
      <w:rPr>
        <w:sz w:val="16"/>
        <w:szCs w:val="16"/>
        <w:rtl/>
        <w:lang w:bidi="ar"/>
      </w:rPr>
      <w:instrText>PAGE</w:instrText>
    </w:r>
    <w:r w:rsidR="0006556A">
      <w:rPr>
        <w:sz w:val="16"/>
        <w:szCs w:val="16"/>
        <w:rtl/>
        <w:lang w:bidi="ar"/>
      </w:rPr>
      <w:fldChar w:fldCharType="separate"/>
    </w:r>
    <w:r w:rsidR="0006556A">
      <w:rPr>
        <w:noProof/>
        <w:sz w:val="16"/>
        <w:szCs w:val="16"/>
        <w:rtl/>
        <w:lang w:bidi="ar"/>
      </w:rPr>
      <w:t>6</w:t>
    </w:r>
    <w:r w:rsidR="0006556A">
      <w:rPr>
        <w:sz w:val="16"/>
        <w:szCs w:val="16"/>
        <w:rtl/>
        <w:lang w:bidi="ar"/>
      </w:rPr>
      <w:fldChar w:fldCharType="end"/>
    </w:r>
    <w:r w:rsidR="0006556A">
      <w:rPr>
        <w:rtl/>
        <w:lang w:bidi="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500" w14:textId="77777777" w:rsidR="00415DC4" w:rsidRDefault="0006556A">
    <w:pPr>
      <w:bidi/>
      <w:spacing w:after="0"/>
      <w:rPr>
        <w:b/>
        <w:sz w:val="16"/>
        <w:szCs w:val="16"/>
      </w:rPr>
    </w:pPr>
    <w:r>
      <w:rPr>
        <w:b/>
        <w:bCs/>
        <w:sz w:val="16"/>
        <w:szCs w:val="16"/>
        <w:rtl/>
        <w:lang w:bidi="ar"/>
      </w:rPr>
      <w:t>مديرية التعليم في لويزيانا</w:t>
    </w:r>
  </w:p>
  <w:p w14:paraId="10B14CCC" w14:textId="40B34CC9" w:rsidR="00415DC4" w:rsidRDefault="00000000">
    <w:pPr>
      <w:tabs>
        <w:tab w:val="right" w:pos="10800"/>
      </w:tabs>
      <w:bidi/>
      <w:spacing w:after="0"/>
    </w:pPr>
    <w:hyperlink r:id="rId1">
      <w:r w:rsidR="0006556A">
        <w:rPr>
          <w:color w:val="017F92"/>
          <w:sz w:val="16"/>
          <w:szCs w:val="16"/>
          <w:u w:val="single"/>
        </w:rPr>
        <w:t>doe.louisiana.gov</w:t>
      </w:r>
    </w:hyperlink>
    <w:r w:rsidR="0006556A">
      <w:rPr>
        <w:sz w:val="16"/>
        <w:szCs w:val="16"/>
      </w:rPr>
      <w:t xml:space="preserve">  |  P.O. Box 94064 •  Baton Rouge, LA •  70804-9064</w:t>
    </w:r>
    <w:r w:rsidR="0006556A">
      <w:rPr>
        <w:sz w:val="16"/>
        <w:szCs w:val="16"/>
      </w:rPr>
      <w:tab/>
    </w:r>
    <w:r w:rsidR="0006556A">
      <w:rPr>
        <w:sz w:val="16"/>
        <w:szCs w:val="16"/>
        <w:rtl/>
        <w:lang w:bidi="ar"/>
      </w:rPr>
      <w:t xml:space="preserve">الصفحة </w:t>
    </w:r>
    <w:r w:rsidR="0006556A">
      <w:rPr>
        <w:sz w:val="16"/>
        <w:szCs w:val="16"/>
        <w:lang w:bidi="ar"/>
      </w:rPr>
      <w:fldChar w:fldCharType="begin"/>
    </w:r>
    <w:r w:rsidR="0006556A">
      <w:rPr>
        <w:sz w:val="16"/>
        <w:szCs w:val="16"/>
        <w:rtl/>
        <w:lang w:bidi="ar"/>
      </w:rPr>
      <w:instrText>PAGE</w:instrText>
    </w:r>
    <w:r w:rsidR="0006556A">
      <w:rPr>
        <w:sz w:val="16"/>
        <w:szCs w:val="16"/>
        <w:lang w:bidi="ar"/>
      </w:rPr>
      <w:fldChar w:fldCharType="separate"/>
    </w:r>
    <w:r w:rsidR="0006556A">
      <w:rPr>
        <w:noProof/>
        <w:sz w:val="16"/>
        <w:szCs w:val="16"/>
        <w:rtl/>
        <w:lang w:bidi="ar"/>
      </w:rPr>
      <w:t>1</w:t>
    </w:r>
    <w:r w:rsidR="0006556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0582" w14:textId="77777777" w:rsidR="00C804CA" w:rsidRDefault="00C804CA">
      <w:pPr>
        <w:spacing w:after="0" w:line="240" w:lineRule="auto"/>
      </w:pPr>
      <w:r>
        <w:separator/>
      </w:r>
    </w:p>
  </w:footnote>
  <w:footnote w:type="continuationSeparator" w:id="0">
    <w:p w14:paraId="2E9062FC" w14:textId="77777777" w:rsidR="00C804CA" w:rsidRDefault="00C80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EF3A" w14:textId="77777777" w:rsidR="00415DC4" w:rsidRDefault="00000000">
    <w:pPr>
      <w:bidi/>
      <w:spacing w:after="0"/>
      <w:rPr>
        <w:sz w:val="12"/>
        <w:szCs w:val="12"/>
      </w:rPr>
    </w:pPr>
    <w:r>
      <w:pict w14:anchorId="3DC7A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491.5pt;height:272.15pt;rotation:315;z-index:-251658240;mso-position-horizontal:center;mso-position-horizontal-relative:margin;mso-position-vertical:center;mso-position-vertical-relative:margin" fillcolor="#e8eaed" stroked="f">
          <v:textpath style="font-family:&quot;&amp;quot&quot;;font-size:1pt" string="مسودة"/>
          <w10:wrap anchorx="margin" anchory="margin"/>
        </v:shape>
      </w:pict>
    </w:r>
    <w:r w:rsidR="0006556A">
      <w:rPr>
        <w:noProof/>
      </w:rPr>
      <w:drawing>
        <wp:anchor distT="0" distB="0" distL="0" distR="0" simplePos="0" relativeHeight="251656192" behindDoc="0" locked="0" layoutInCell="1" hidden="0" allowOverlap="1" wp14:anchorId="2F97AE42" wp14:editId="6904F490">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C24E" w14:textId="77777777" w:rsidR="00415DC4" w:rsidRDefault="00000000">
    <w:pPr>
      <w:bidi/>
      <w:spacing w:after="0"/>
      <w:rPr>
        <w:b/>
        <w:color w:val="4D4D4F"/>
      </w:rPr>
    </w:pPr>
    <w:r>
      <w:pict w14:anchorId="7E272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491.5pt;height:272.15pt;rotation:315;z-index:-251657216;mso-position-horizontal:center;mso-position-horizontal-relative:margin;mso-position-vertical:center;mso-position-vertical-relative:margin" fillcolor="#e8eaed" stroked="f">
          <v:textpath style="font-family:&quot;&amp;quot&quot;;font-size:1pt" string="مسودة"/>
          <w10:wrap anchorx="margin" anchory="margin"/>
        </v:shape>
      </w:pict>
    </w:r>
    <w:r w:rsidR="0006556A">
      <w:rPr>
        <w:noProof/>
      </w:rPr>
      <w:drawing>
        <wp:anchor distT="0" distB="0" distL="0" distR="0" simplePos="0" relativeHeight="251657216" behindDoc="0" locked="0" layoutInCell="1" hidden="0" allowOverlap="1" wp14:anchorId="3F686BE1" wp14:editId="23FF68C9">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14:paraId="230D1782" w14:textId="77777777" w:rsidR="00415DC4" w:rsidRDefault="0006556A">
    <w:pPr>
      <w:bidi/>
      <w:rPr>
        <w:b/>
      </w:rPr>
    </w:pPr>
    <w:r>
      <w:rPr>
        <w:b/>
        <w:bCs/>
        <w:color w:val="3C1053"/>
        <w:sz w:val="30"/>
        <w:szCs w:val="30"/>
        <w:rtl/>
        <w:lang w:bidi="ar"/>
      </w:rPr>
      <w:t>أنشطة طلبات المنح للسنة الفيدرالية 2024 من قانون تعليم الأفراد ذوي الإعاقة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728"/>
    <w:multiLevelType w:val="multilevel"/>
    <w:tmpl w:val="93941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116F1"/>
    <w:multiLevelType w:val="multilevel"/>
    <w:tmpl w:val="B354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D39EC"/>
    <w:multiLevelType w:val="multilevel"/>
    <w:tmpl w:val="A196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A86698"/>
    <w:multiLevelType w:val="multilevel"/>
    <w:tmpl w:val="2048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33E66"/>
    <w:multiLevelType w:val="multilevel"/>
    <w:tmpl w:val="1F22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D74B8"/>
    <w:multiLevelType w:val="multilevel"/>
    <w:tmpl w:val="F8AC9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93DAF"/>
    <w:multiLevelType w:val="multilevel"/>
    <w:tmpl w:val="4F501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32EAD"/>
    <w:multiLevelType w:val="multilevel"/>
    <w:tmpl w:val="E0F0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2C4EFD"/>
    <w:multiLevelType w:val="multilevel"/>
    <w:tmpl w:val="19A0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1962FC"/>
    <w:multiLevelType w:val="multilevel"/>
    <w:tmpl w:val="661A8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834A46"/>
    <w:multiLevelType w:val="multilevel"/>
    <w:tmpl w:val="3462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1632D5"/>
    <w:multiLevelType w:val="multilevel"/>
    <w:tmpl w:val="99A82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52B8A"/>
    <w:multiLevelType w:val="multilevel"/>
    <w:tmpl w:val="16B8F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5027521">
    <w:abstractNumId w:val="4"/>
  </w:num>
  <w:num w:numId="2" w16cid:durableId="1693606274">
    <w:abstractNumId w:val="6"/>
  </w:num>
  <w:num w:numId="3" w16cid:durableId="1541164211">
    <w:abstractNumId w:val="7"/>
  </w:num>
  <w:num w:numId="4" w16cid:durableId="33162932">
    <w:abstractNumId w:val="11"/>
  </w:num>
  <w:num w:numId="5" w16cid:durableId="1319267331">
    <w:abstractNumId w:val="10"/>
  </w:num>
  <w:num w:numId="6" w16cid:durableId="520053347">
    <w:abstractNumId w:val="1"/>
  </w:num>
  <w:num w:numId="7" w16cid:durableId="1263538068">
    <w:abstractNumId w:val="5"/>
  </w:num>
  <w:num w:numId="8" w16cid:durableId="678586295">
    <w:abstractNumId w:val="3"/>
  </w:num>
  <w:num w:numId="9" w16cid:durableId="1813909368">
    <w:abstractNumId w:val="9"/>
  </w:num>
  <w:num w:numId="10" w16cid:durableId="951667281">
    <w:abstractNumId w:val="8"/>
  </w:num>
  <w:num w:numId="11" w16cid:durableId="1649168373">
    <w:abstractNumId w:val="12"/>
  </w:num>
  <w:num w:numId="12" w16cid:durableId="519465378">
    <w:abstractNumId w:val="0"/>
  </w:num>
  <w:num w:numId="13" w16cid:durableId="80350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C4"/>
    <w:rsid w:val="0006556A"/>
    <w:rsid w:val="0007144D"/>
    <w:rsid w:val="001D2EAF"/>
    <w:rsid w:val="002C5649"/>
    <w:rsid w:val="002F1AA1"/>
    <w:rsid w:val="00415DC4"/>
    <w:rsid w:val="006067F3"/>
    <w:rsid w:val="006466A1"/>
    <w:rsid w:val="00884E0D"/>
    <w:rsid w:val="00C13D36"/>
    <w:rsid w:val="00C53FD9"/>
    <w:rsid w:val="00C804CA"/>
    <w:rsid w:val="00E90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23073"/>
  <w15:docId w15:val="{082018DE-2992-4D65-9BC5-F997ECF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C5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49"/>
  </w:style>
  <w:style w:type="paragraph" w:styleId="Footer">
    <w:name w:val="footer"/>
    <w:basedOn w:val="Normal"/>
    <w:link w:val="FooterChar"/>
    <w:uiPriority w:val="99"/>
    <w:unhideWhenUsed/>
    <w:rsid w:val="002C5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file:///C:\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1224</Words>
  <Characters>6774</Characters>
  <Application>Microsoft Office Word</Application>
  <DocSecurity>0</DocSecurity>
  <Lines>265</Lines>
  <Paragraphs>94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Jordan</dc:creator>
  <cp:lastModifiedBy>Yosra Gharbi</cp:lastModifiedBy>
  <cp:revision>3</cp:revision>
  <dcterms:created xsi:type="dcterms:W3CDTF">2024-04-26T21:58:00Z</dcterms:created>
  <dcterms:modified xsi:type="dcterms:W3CDTF">2024-04-26T22:02:00Z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9f79f4fc16c1ab5fafa6638b589364b2f82ca0a7facc9673ac7103900f17abd1</vt:lpwstr>
  </property>
</Properties>
</file>