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C1017B" w14:textId="77777777" w:rsidR="00415DC4" w:rsidRDefault="00000000">
      <w:pPr>
        <w:bidi/>
        <w:spacing w:line="240" w:lineRule="auto"/>
        <w:rPr>
          <w:color w:val="4D4D4F"/>
        </w:rPr>
      </w:pPr>
      <w:r>
        <w:pict w14:anchorId="56E71B52">
          <v:rect id="_x0000_i1025" style="width:0;height:1.5pt" o:hralign="center" o:hrstd="t" o:hr="t" fillcolor="#a0a0a0" stroked="f"/>
        </w:pict>
      </w:r>
    </w:p>
    <w:p w14:paraId="7B628AC5" w14:textId="77777777" w:rsidR="00415DC4" w:rsidRDefault="0006556A">
      <w:pPr>
        <w:bidi/>
        <w:spacing w:after="0" w:line="240" w:lineRule="auto"/>
        <w:jc w:val="both"/>
      </w:pPr>
      <w:bookmarkStart w:id="0" w:name="_gjdgxs" w:colFirst="0" w:colLast="0"/>
      <w:bookmarkEnd w:id="0"/>
      <w:r>
        <w:rPr>
          <w:rtl/>
          <w:lang w:bidi="ur"/>
        </w:rPr>
        <w:t>یہ دستاویز وفاقی مالی سال (</w:t>
      </w:r>
      <w:r>
        <w:t>FFY 24</w:t>
      </w:r>
      <w:r>
        <w:rPr>
          <w:rtl/>
          <w:lang w:bidi="ur"/>
        </w:rPr>
        <w:t>) کے معذور افراد کے تعلیمی ایکٹ (</w:t>
      </w:r>
      <w:r>
        <w:t>IDEA</w:t>
      </w:r>
      <w:r>
        <w:rPr>
          <w:rtl/>
          <w:lang w:bidi="ur"/>
        </w:rPr>
        <w:t xml:space="preserve">) مسودہ گرانٹ ایپلیکیشن میں مختص کیے گئے مالیات کے لیے گرانٹ ایپلیکیشن زمرہ جات، ہر زمرہ میں متعلقہ سپورٹڈ سرگرمیوں، اور ہر زمرہ کے لیے مجوزہ مالیاتی ضروریات کی خاکہ پیش کرتی ہے۔ اس دستاویز میں خلاصہ شدہ سرگرمیاں لوایزیانہ کے طلبہ، معلمین، اور خاندانوں کی ضروریات کے لیے معاون ہیں اور معذور طلباء کے ایک معیاری، جامع تعلیمی سفر کو معاونت فراہم کرتے ہوئے لوایزیانہ کی ترجیحات اور اعلیٰ ترین معمولات میں معاون ہیں۔ </w:t>
      </w:r>
    </w:p>
    <w:p w14:paraId="0E72A586" w14:textId="77777777" w:rsidR="00415DC4" w:rsidRDefault="00415DC4">
      <w:pPr>
        <w:spacing w:after="0" w:line="240" w:lineRule="auto"/>
      </w:pPr>
      <w:bookmarkStart w:id="1" w:name="_bfjt4mqsxwqg" w:colFirst="0" w:colLast="0"/>
      <w:bookmarkEnd w:id="1"/>
    </w:p>
    <w:p w14:paraId="5F44C631" w14:textId="77777777" w:rsidR="00415DC4" w:rsidRDefault="0006556A">
      <w:pPr>
        <w:bidi/>
        <w:spacing w:after="0" w:line="240" w:lineRule="auto"/>
      </w:pPr>
      <w:bookmarkStart w:id="2" w:name="_o9xzqm1tp0iy" w:colFirst="0" w:colLast="0"/>
      <w:bookmarkEnd w:id="2"/>
      <w:r>
        <w:rPr>
          <w:rtl/>
          <w:lang w:bidi="ur"/>
        </w:rPr>
        <w:t xml:space="preserve">اگرچہ </w:t>
      </w:r>
      <w:r>
        <w:t>LDOE</w:t>
      </w:r>
      <w:r>
        <w:rPr>
          <w:rtl/>
          <w:lang w:bidi="ur"/>
        </w:rPr>
        <w:t xml:space="preserve"> کو دفتر برائے خصوصی تعلیمی پروگرامز (</w:t>
      </w:r>
      <w:r>
        <w:t>OSEP</w:t>
      </w:r>
      <w:r>
        <w:rPr>
          <w:rtl/>
          <w:lang w:bidi="ur"/>
        </w:rPr>
        <w:t xml:space="preserve">) کی جانب سے مختص مالیات موصول نہیں ہوئے، تاہم </w:t>
      </w:r>
      <w:r>
        <w:t>OSEP</w:t>
      </w:r>
      <w:r>
        <w:rPr>
          <w:rtl/>
          <w:lang w:bidi="ur"/>
        </w:rPr>
        <w:t xml:space="preserve"> نے ریاستوں کو وفاقی مالی سال 23 کی درخواست (انتظامیہ کے لیے 46,610,639 ڈالر اور الگ رکھنے کے لیے 26,154,696 ڈالر) سے مختص مالیات استعمال کرتے ہوئے مسوداتی سرگرمیاں تیار کرنے کی ہدایات دی ہیں اور یہ کہ حتمی درخواست جمع کرائے جانے سے قبل وفاقی مالی سال 24 کے تخصیصی جدول موصول ہونے پر، ڈالر کی رقوم کو وفاقی مالی سال 24 کی تخصیص کے ساتھ منطبق کیا جائے۔</w:t>
      </w:r>
    </w:p>
    <w:p w14:paraId="6C742EB3" w14:textId="77777777" w:rsidR="00415DC4" w:rsidRDefault="00415DC4">
      <w:pPr>
        <w:spacing w:line="240" w:lineRule="auto"/>
      </w:pPr>
    </w:p>
    <w:p w14:paraId="40306E41" w14:textId="77777777" w:rsidR="00415DC4" w:rsidRDefault="00415DC4">
      <w:pPr>
        <w:spacing w:after="0" w:line="240" w:lineRule="auto"/>
        <w:rPr>
          <w:rFonts w:ascii="Calibri" w:eastAsia="Calibri" w:hAnsi="Calibri" w:cs="Calibri"/>
          <w:color w:val="000000"/>
        </w:rPr>
      </w:pPr>
      <w:bookmarkStart w:id="3" w:name="_b4bffohujjm5" w:colFirst="0" w:colLast="0"/>
      <w:bookmarkEnd w:id="3"/>
    </w:p>
    <w:tbl>
      <w:tblPr>
        <w:tblStyle w:val="a"/>
        <w:bidiVisual/>
        <w:tblW w:w="10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30"/>
        <w:gridCol w:w="3600"/>
        <w:gridCol w:w="435"/>
        <w:gridCol w:w="2445"/>
      </w:tblGrid>
      <w:tr w:rsidR="00415DC4" w14:paraId="66FF15AD" w14:textId="77777777">
        <w:tc>
          <w:tcPr>
            <w:tcW w:w="3930" w:type="dxa"/>
            <w:shd w:val="clear" w:color="auto" w:fill="017F92"/>
            <w:tcMar>
              <w:top w:w="100" w:type="dxa"/>
              <w:left w:w="100" w:type="dxa"/>
              <w:bottom w:w="100" w:type="dxa"/>
              <w:right w:w="100" w:type="dxa"/>
            </w:tcMar>
          </w:tcPr>
          <w:p w14:paraId="1D029CBD" w14:textId="77777777" w:rsidR="00415DC4" w:rsidRDefault="0006556A">
            <w:pPr>
              <w:pBdr>
                <w:top w:val="nil"/>
                <w:left w:val="nil"/>
                <w:bottom w:val="nil"/>
                <w:right w:val="nil"/>
                <w:between w:val="nil"/>
              </w:pBdr>
              <w:bidi/>
              <w:spacing w:after="0" w:line="240" w:lineRule="auto"/>
              <w:ind w:left="140"/>
              <w:rPr>
                <w:color w:val="FFFFFF"/>
              </w:rPr>
            </w:pPr>
            <w:r>
              <w:rPr>
                <w:b/>
                <w:bCs/>
                <w:color w:val="FFFFFF"/>
                <w:rtl/>
                <w:lang w:bidi="ur"/>
              </w:rPr>
              <w:t>ریاستی سطح کی دیگر سرگرمیوں کے لیے</w:t>
            </w:r>
          </w:p>
        </w:tc>
        <w:tc>
          <w:tcPr>
            <w:tcW w:w="3600" w:type="dxa"/>
            <w:shd w:val="clear" w:color="auto" w:fill="017F92"/>
            <w:tcMar>
              <w:top w:w="100" w:type="dxa"/>
              <w:left w:w="100" w:type="dxa"/>
              <w:bottom w:w="100" w:type="dxa"/>
              <w:right w:w="100" w:type="dxa"/>
            </w:tcMar>
          </w:tcPr>
          <w:p w14:paraId="0843D26F" w14:textId="77777777" w:rsidR="00415DC4" w:rsidRDefault="0006556A">
            <w:pPr>
              <w:pBdr>
                <w:top w:val="nil"/>
                <w:left w:val="nil"/>
                <w:bottom w:val="nil"/>
                <w:right w:val="nil"/>
                <w:between w:val="nil"/>
              </w:pBdr>
              <w:bidi/>
              <w:spacing w:after="0" w:line="240" w:lineRule="auto"/>
              <w:ind w:left="140"/>
              <w:rPr>
                <w:color w:val="FFFFFF"/>
              </w:rPr>
            </w:pPr>
            <w:r>
              <w:rPr>
                <w:b/>
                <w:bCs/>
                <w:color w:val="FFFFFF"/>
                <w:rtl/>
                <w:lang w:bidi="ur"/>
              </w:rPr>
              <w:t>سرگرمیاں اور تفصیلات</w:t>
            </w:r>
          </w:p>
        </w:tc>
        <w:tc>
          <w:tcPr>
            <w:tcW w:w="435" w:type="dxa"/>
            <w:shd w:val="clear" w:color="auto" w:fill="017F92"/>
            <w:tcMar>
              <w:top w:w="100" w:type="dxa"/>
              <w:left w:w="100" w:type="dxa"/>
              <w:bottom w:w="100" w:type="dxa"/>
              <w:right w:w="100" w:type="dxa"/>
            </w:tcMar>
          </w:tcPr>
          <w:p w14:paraId="2CECA2A6" w14:textId="77777777" w:rsidR="00415DC4" w:rsidRDefault="00415DC4">
            <w:pPr>
              <w:pBdr>
                <w:top w:val="nil"/>
                <w:left w:val="nil"/>
                <w:bottom w:val="nil"/>
                <w:right w:val="nil"/>
                <w:between w:val="nil"/>
              </w:pBdr>
              <w:spacing w:after="0" w:line="240" w:lineRule="auto"/>
              <w:ind w:left="140"/>
              <w:rPr>
                <w:color w:val="FFFFFF"/>
              </w:rPr>
            </w:pPr>
          </w:p>
        </w:tc>
        <w:tc>
          <w:tcPr>
            <w:tcW w:w="2445" w:type="dxa"/>
            <w:shd w:val="clear" w:color="auto" w:fill="017F92"/>
            <w:tcMar>
              <w:top w:w="100" w:type="dxa"/>
              <w:left w:w="100" w:type="dxa"/>
              <w:bottom w:w="100" w:type="dxa"/>
              <w:right w:w="100" w:type="dxa"/>
            </w:tcMar>
          </w:tcPr>
          <w:p w14:paraId="0D28883C" w14:textId="77777777" w:rsidR="00415DC4" w:rsidRDefault="0006556A">
            <w:pPr>
              <w:pBdr>
                <w:top w:val="nil"/>
                <w:left w:val="nil"/>
                <w:bottom w:val="nil"/>
                <w:right w:val="nil"/>
                <w:between w:val="nil"/>
              </w:pBdr>
              <w:bidi/>
              <w:spacing w:after="0" w:line="240" w:lineRule="auto"/>
              <w:ind w:left="140"/>
              <w:rPr>
                <w:color w:val="FFFFFF"/>
              </w:rPr>
            </w:pPr>
            <w:r>
              <w:rPr>
                <w:b/>
                <w:bCs/>
                <w:color w:val="FFFFFF"/>
                <w:rtl/>
                <w:lang w:bidi="ur"/>
              </w:rPr>
              <w:t>رقم ڈالر میں</w:t>
            </w:r>
            <w:r>
              <w:rPr>
                <w:color w:val="FFFFFF"/>
                <w:rtl/>
                <w:lang w:bidi="ur"/>
              </w:rPr>
              <w:t xml:space="preserve"> </w:t>
            </w:r>
          </w:p>
        </w:tc>
      </w:tr>
      <w:tr w:rsidR="00415DC4" w14:paraId="004756CF" w14:textId="77777777">
        <w:tc>
          <w:tcPr>
            <w:tcW w:w="3930" w:type="dxa"/>
            <w:tcBorders>
              <w:bottom w:val="single" w:sz="6" w:space="0" w:color="000000"/>
            </w:tcBorders>
            <w:tcMar>
              <w:top w:w="100" w:type="dxa"/>
              <w:left w:w="100" w:type="dxa"/>
              <w:bottom w:w="100" w:type="dxa"/>
              <w:right w:w="100" w:type="dxa"/>
            </w:tcMar>
          </w:tcPr>
          <w:p w14:paraId="62EF6A4F" w14:textId="77777777" w:rsidR="00415DC4" w:rsidRDefault="0006556A">
            <w:pPr>
              <w:widowControl w:val="0"/>
              <w:bidi/>
              <w:spacing w:after="0" w:line="240" w:lineRule="auto"/>
              <w:rPr>
                <w:color w:val="4D4D4F"/>
              </w:rPr>
            </w:pPr>
            <w:r>
              <w:rPr>
                <w:color w:val="4D4D4F"/>
                <w:rtl/>
                <w:lang w:bidi="ur"/>
              </w:rPr>
              <w:t>مطلوبہ سرگرمیاں</w:t>
            </w:r>
          </w:p>
          <w:p w14:paraId="15CE3816" w14:textId="77777777" w:rsidR="00415DC4" w:rsidRDefault="0006556A">
            <w:pPr>
              <w:widowControl w:val="0"/>
              <w:bidi/>
              <w:spacing w:after="0" w:line="240" w:lineRule="auto"/>
              <w:rPr>
                <w:color w:val="4D4D4F"/>
              </w:rPr>
            </w:pPr>
            <w:r>
              <w:rPr>
                <w:color w:val="4D4D4F"/>
                <w:rtl/>
                <w:lang w:bidi="ur"/>
              </w:rPr>
              <w:t xml:space="preserve">20 </w:t>
            </w:r>
            <w:r>
              <w:rPr>
                <w:color w:val="4D4D4F"/>
              </w:rPr>
              <w:t>U.S.C</w:t>
            </w:r>
            <w:r>
              <w:rPr>
                <w:color w:val="4D4D4F"/>
                <w:rtl/>
                <w:lang w:bidi="ur"/>
              </w:rPr>
              <w:t xml:space="preserve"> کے تحت محفوظ فنڈز</w:t>
            </w:r>
          </w:p>
          <w:p w14:paraId="234A603D" w14:textId="77777777" w:rsidR="00415DC4" w:rsidRDefault="0006556A">
            <w:pPr>
              <w:widowControl w:val="0"/>
              <w:bidi/>
              <w:spacing w:after="0" w:line="240" w:lineRule="auto"/>
              <w:rPr>
                <w:color w:val="4D4D4F"/>
              </w:rPr>
            </w:pPr>
            <w:r>
              <w:rPr>
                <w:color w:val="4D4D4F"/>
                <w:rtl/>
                <w:lang w:bidi="ur"/>
              </w:rPr>
              <w:t>1411(</w:t>
            </w:r>
            <w:r>
              <w:rPr>
                <w:color w:val="4D4D4F"/>
              </w:rPr>
              <w:t xml:space="preserve">e)(2)(A);34 CFR§300.704 </w:t>
            </w:r>
            <w:r>
              <w:rPr>
                <w:color w:val="4D4D4F"/>
                <w:rtl/>
                <w:lang w:bidi="ur"/>
              </w:rPr>
              <w:t>درج ذیل</w:t>
            </w:r>
          </w:p>
          <w:p w14:paraId="775AB922" w14:textId="77777777" w:rsidR="00415DC4" w:rsidRDefault="0006556A">
            <w:pPr>
              <w:widowControl w:val="0"/>
              <w:bidi/>
              <w:spacing w:after="0" w:line="240" w:lineRule="auto"/>
              <w:rPr>
                <w:rFonts w:ascii="Calibri" w:eastAsia="Calibri" w:hAnsi="Calibri" w:cs="Calibri"/>
                <w:color w:val="000000"/>
              </w:rPr>
            </w:pPr>
            <w:r>
              <w:rPr>
                <w:color w:val="4D4D4F"/>
                <w:rtl/>
                <w:lang w:bidi="ur"/>
              </w:rPr>
              <w:t>سرگرمیوں کے لیے استعمال ہوں گے:</w:t>
            </w:r>
          </w:p>
        </w:tc>
        <w:tc>
          <w:tcPr>
            <w:tcW w:w="3600" w:type="dxa"/>
            <w:tcBorders>
              <w:bottom w:val="single" w:sz="6" w:space="0" w:color="000000"/>
            </w:tcBorders>
            <w:shd w:val="clear" w:color="auto" w:fill="CCCCCC"/>
            <w:tcMar>
              <w:top w:w="100" w:type="dxa"/>
              <w:left w:w="100" w:type="dxa"/>
              <w:bottom w:w="100" w:type="dxa"/>
              <w:right w:w="100" w:type="dxa"/>
            </w:tcMar>
          </w:tcPr>
          <w:p w14:paraId="6E7D374C" w14:textId="77777777" w:rsidR="00415DC4" w:rsidRDefault="00415DC4">
            <w:pPr>
              <w:widowControl w:val="0"/>
              <w:spacing w:after="0" w:line="240" w:lineRule="auto"/>
              <w:rPr>
                <w:rFonts w:ascii="Calibri" w:eastAsia="Calibri" w:hAnsi="Calibri" w:cs="Calibri"/>
                <w:color w:val="000000"/>
              </w:rPr>
            </w:pPr>
          </w:p>
        </w:tc>
        <w:tc>
          <w:tcPr>
            <w:tcW w:w="435" w:type="dxa"/>
            <w:tcBorders>
              <w:bottom w:val="single" w:sz="6" w:space="0" w:color="000000"/>
            </w:tcBorders>
            <w:shd w:val="clear" w:color="auto" w:fill="CCCCCC"/>
            <w:tcMar>
              <w:top w:w="100" w:type="dxa"/>
              <w:left w:w="100" w:type="dxa"/>
              <w:bottom w:w="100" w:type="dxa"/>
              <w:right w:w="100" w:type="dxa"/>
            </w:tcMar>
          </w:tcPr>
          <w:p w14:paraId="54BF58D1" w14:textId="77777777" w:rsidR="00415DC4" w:rsidRDefault="00415DC4">
            <w:pPr>
              <w:widowControl w:val="0"/>
              <w:spacing w:after="0" w:line="240" w:lineRule="auto"/>
              <w:rPr>
                <w:rFonts w:ascii="Calibri" w:eastAsia="Calibri" w:hAnsi="Calibri" w:cs="Calibri"/>
                <w:color w:val="000000"/>
              </w:rPr>
            </w:pPr>
          </w:p>
        </w:tc>
        <w:tc>
          <w:tcPr>
            <w:tcW w:w="2445" w:type="dxa"/>
            <w:tcBorders>
              <w:bottom w:val="single" w:sz="6" w:space="0" w:color="000000"/>
            </w:tcBorders>
            <w:shd w:val="clear" w:color="auto" w:fill="CCCCCC"/>
            <w:tcMar>
              <w:top w:w="100" w:type="dxa"/>
              <w:left w:w="100" w:type="dxa"/>
              <w:bottom w:w="100" w:type="dxa"/>
              <w:right w:w="100" w:type="dxa"/>
            </w:tcMar>
          </w:tcPr>
          <w:p w14:paraId="4BBF2DA8" w14:textId="77777777" w:rsidR="00415DC4" w:rsidRDefault="00415DC4">
            <w:pPr>
              <w:widowControl w:val="0"/>
              <w:spacing w:after="0" w:line="240" w:lineRule="auto"/>
              <w:jc w:val="right"/>
              <w:rPr>
                <w:rFonts w:ascii="Calibri" w:eastAsia="Calibri" w:hAnsi="Calibri" w:cs="Calibri"/>
                <w:color w:val="000000"/>
              </w:rPr>
            </w:pPr>
          </w:p>
        </w:tc>
      </w:tr>
      <w:tr w:rsidR="00415DC4" w14:paraId="3BC0C219" w14:textId="77777777">
        <w:tc>
          <w:tcPr>
            <w:tcW w:w="39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D9EF55"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نگرانی، نفاذ اور شکایات کی تحقیقات کے لیے۔</w:t>
            </w:r>
          </w:p>
        </w:tc>
        <w:tc>
          <w:tcPr>
            <w:tcW w:w="3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BF6933" w14:textId="77777777" w:rsidR="00415DC4" w:rsidRDefault="0006556A">
            <w:pPr>
              <w:widowControl w:val="0"/>
              <w:numPr>
                <w:ilvl w:val="0"/>
                <w:numId w:val="8"/>
              </w:numPr>
              <w:pBdr>
                <w:top w:val="nil"/>
                <w:left w:val="nil"/>
                <w:bottom w:val="nil"/>
                <w:right w:val="nil"/>
                <w:between w:val="nil"/>
              </w:pBdr>
              <w:bidi/>
              <w:spacing w:after="0" w:line="240" w:lineRule="auto"/>
              <w:rPr>
                <w:color w:val="4D4D4F"/>
              </w:rPr>
            </w:pPr>
            <w:r>
              <w:rPr>
                <w:color w:val="4D4D4F"/>
                <w:rtl/>
                <w:lang w:bidi="ur"/>
              </w:rPr>
              <w:t>ریاست گیر نگرانی</w:t>
            </w:r>
          </w:p>
          <w:p w14:paraId="043378D0" w14:textId="77777777" w:rsidR="00415DC4" w:rsidRDefault="0006556A">
            <w:pPr>
              <w:widowControl w:val="0"/>
              <w:numPr>
                <w:ilvl w:val="0"/>
                <w:numId w:val="8"/>
              </w:numPr>
              <w:pBdr>
                <w:top w:val="nil"/>
                <w:left w:val="nil"/>
                <w:bottom w:val="nil"/>
                <w:right w:val="nil"/>
                <w:between w:val="nil"/>
              </w:pBdr>
              <w:bidi/>
              <w:spacing w:after="0" w:line="240" w:lineRule="auto"/>
              <w:rPr>
                <w:color w:val="4D4D4F"/>
              </w:rPr>
            </w:pPr>
            <w:r>
              <w:rPr>
                <w:color w:val="4D4D4F"/>
                <w:rtl/>
                <w:lang w:bidi="ur"/>
              </w:rPr>
              <w:t>شکایات کی تحقیقات</w:t>
            </w:r>
          </w:p>
          <w:p w14:paraId="45AE6848" w14:textId="77777777" w:rsidR="00415DC4" w:rsidRDefault="0006556A">
            <w:pPr>
              <w:widowControl w:val="0"/>
              <w:numPr>
                <w:ilvl w:val="0"/>
                <w:numId w:val="8"/>
              </w:numPr>
              <w:pBdr>
                <w:top w:val="nil"/>
                <w:left w:val="nil"/>
                <w:bottom w:val="nil"/>
                <w:right w:val="nil"/>
                <w:between w:val="nil"/>
              </w:pBdr>
              <w:bidi/>
              <w:spacing w:after="0" w:line="240" w:lineRule="auto"/>
              <w:rPr>
                <w:color w:val="4D4D4F"/>
              </w:rPr>
            </w:pPr>
            <w:r>
              <w:rPr>
                <w:color w:val="4D4D4F"/>
                <w:rtl/>
                <w:lang w:bidi="ur"/>
              </w:rPr>
              <w:t>خصوصی ماہر</w:t>
            </w:r>
          </w:p>
        </w:tc>
        <w:tc>
          <w:tcPr>
            <w:tcW w:w="4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E35CC6"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h.</w:t>
            </w:r>
          </w:p>
        </w:tc>
        <w:tc>
          <w:tcPr>
            <w:tcW w:w="24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36B058E"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$793,168</w:t>
            </w:r>
          </w:p>
        </w:tc>
      </w:tr>
      <w:tr w:rsidR="00415DC4" w14:paraId="79FC2143" w14:textId="77777777">
        <w:tc>
          <w:tcPr>
            <w:tcW w:w="39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E304AF"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20 U.S.C.1415I;34 CFR§300.704</w:t>
            </w:r>
            <w:r>
              <w:rPr>
                <w:color w:val="4D4D4F"/>
                <w:rtl/>
                <w:lang w:bidi="ur"/>
              </w:rPr>
              <w:t xml:space="preserve"> کے تقاضوں کے مطابق مفاہمتی عمل کا قیام اور نفاذ، بشمول مفاہمت کنندگان اور معاون عملہ کے لیے لاگت فراہم کرنے کے لیے۔</w:t>
            </w:r>
          </w:p>
        </w:tc>
        <w:tc>
          <w:tcPr>
            <w:tcW w:w="3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C3791FA" w14:textId="77777777" w:rsidR="00415DC4" w:rsidRDefault="0006556A">
            <w:pPr>
              <w:widowControl w:val="0"/>
              <w:numPr>
                <w:ilvl w:val="0"/>
                <w:numId w:val="3"/>
              </w:numPr>
              <w:pBdr>
                <w:top w:val="nil"/>
                <w:left w:val="nil"/>
                <w:bottom w:val="nil"/>
                <w:right w:val="nil"/>
                <w:between w:val="nil"/>
              </w:pBdr>
              <w:bidi/>
              <w:spacing w:after="0" w:line="240" w:lineRule="auto"/>
              <w:rPr>
                <w:color w:val="4D4D4F"/>
              </w:rPr>
            </w:pPr>
            <w:r>
              <w:rPr>
                <w:color w:val="4D4D4F"/>
                <w:rtl/>
                <w:lang w:bidi="ur"/>
              </w:rPr>
              <w:t>ریاستی مفاہمت کنندگان</w:t>
            </w:r>
          </w:p>
          <w:p w14:paraId="5AE80CF2" w14:textId="77777777" w:rsidR="00415DC4" w:rsidRDefault="0006556A">
            <w:pPr>
              <w:widowControl w:val="0"/>
              <w:numPr>
                <w:ilvl w:val="0"/>
                <w:numId w:val="3"/>
              </w:numPr>
              <w:pBdr>
                <w:top w:val="nil"/>
                <w:left w:val="nil"/>
                <w:bottom w:val="nil"/>
                <w:right w:val="nil"/>
                <w:between w:val="nil"/>
              </w:pBdr>
              <w:bidi/>
              <w:spacing w:after="0" w:line="240" w:lineRule="auto"/>
              <w:rPr>
                <w:color w:val="4D4D4F"/>
              </w:rPr>
            </w:pPr>
            <w:r>
              <w:rPr>
                <w:color w:val="4D4D4F"/>
              </w:rPr>
              <w:t>IEP</w:t>
            </w:r>
            <w:r>
              <w:rPr>
                <w:color w:val="4D4D4F"/>
                <w:rtl/>
                <w:lang w:bidi="ur"/>
              </w:rPr>
              <w:t xml:space="preserve"> سہولت کار</w:t>
            </w:r>
          </w:p>
        </w:tc>
        <w:tc>
          <w:tcPr>
            <w:tcW w:w="4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4573B0"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i.</w:t>
            </w:r>
          </w:p>
        </w:tc>
        <w:tc>
          <w:tcPr>
            <w:tcW w:w="24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A73DD42"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$350,000</w:t>
            </w:r>
          </w:p>
        </w:tc>
      </w:tr>
      <w:tr w:rsidR="00415DC4" w14:paraId="6C0C52AB" w14:textId="77777777">
        <w:trPr>
          <w:trHeight w:val="1290"/>
        </w:trPr>
        <w:tc>
          <w:tcPr>
            <w:tcW w:w="3930" w:type="dxa"/>
            <w:tcBorders>
              <w:top w:val="single" w:sz="6" w:space="0" w:color="000000"/>
            </w:tcBorders>
            <w:tcMar>
              <w:top w:w="100" w:type="dxa"/>
              <w:left w:w="100" w:type="dxa"/>
              <w:bottom w:w="100" w:type="dxa"/>
              <w:right w:w="100" w:type="dxa"/>
            </w:tcMar>
          </w:tcPr>
          <w:p w14:paraId="589503F2"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20 U.S.C. 1411(e)(2)(A);34 CFR§300.704</w:t>
            </w:r>
            <w:r>
              <w:rPr>
                <w:color w:val="4D4D4F"/>
                <w:rtl/>
                <w:lang w:bidi="ur"/>
              </w:rPr>
              <w:t xml:space="preserve"> کے تحت منظورشدہ سرگرمیوں کے مختص فنڈ درج ذیل سرگرمیوں کے لیے استعمال کیے جا سکتے ہیں:</w:t>
            </w:r>
          </w:p>
        </w:tc>
        <w:tc>
          <w:tcPr>
            <w:tcW w:w="3600" w:type="dxa"/>
            <w:tcBorders>
              <w:top w:val="single" w:sz="6" w:space="0" w:color="000000"/>
            </w:tcBorders>
            <w:shd w:val="clear" w:color="auto" w:fill="CCCCCC"/>
            <w:tcMar>
              <w:top w:w="100" w:type="dxa"/>
              <w:left w:w="100" w:type="dxa"/>
              <w:bottom w:w="100" w:type="dxa"/>
              <w:right w:w="100" w:type="dxa"/>
            </w:tcMar>
          </w:tcPr>
          <w:p w14:paraId="67C53773" w14:textId="77777777" w:rsidR="00415DC4" w:rsidRDefault="00415DC4">
            <w:pPr>
              <w:widowControl w:val="0"/>
              <w:pBdr>
                <w:top w:val="nil"/>
                <w:left w:val="nil"/>
                <w:bottom w:val="nil"/>
                <w:right w:val="nil"/>
                <w:between w:val="nil"/>
              </w:pBdr>
              <w:spacing w:after="0" w:line="240" w:lineRule="auto"/>
              <w:rPr>
                <w:color w:val="4D4D4F"/>
              </w:rPr>
            </w:pPr>
          </w:p>
        </w:tc>
        <w:tc>
          <w:tcPr>
            <w:tcW w:w="435" w:type="dxa"/>
            <w:tcBorders>
              <w:top w:val="single" w:sz="6" w:space="0" w:color="000000"/>
            </w:tcBorders>
            <w:shd w:val="clear" w:color="auto" w:fill="CCCCCC"/>
            <w:tcMar>
              <w:top w:w="100" w:type="dxa"/>
              <w:left w:w="100" w:type="dxa"/>
              <w:bottom w:w="100" w:type="dxa"/>
              <w:right w:w="100" w:type="dxa"/>
            </w:tcMar>
          </w:tcPr>
          <w:p w14:paraId="13ED1D22" w14:textId="77777777" w:rsidR="00415DC4" w:rsidRDefault="00415DC4">
            <w:pPr>
              <w:widowControl w:val="0"/>
              <w:pBdr>
                <w:top w:val="nil"/>
                <w:left w:val="nil"/>
                <w:bottom w:val="nil"/>
                <w:right w:val="nil"/>
                <w:between w:val="nil"/>
              </w:pBdr>
              <w:spacing w:after="0" w:line="240" w:lineRule="auto"/>
              <w:rPr>
                <w:color w:val="4D4D4F"/>
              </w:rPr>
            </w:pPr>
          </w:p>
        </w:tc>
        <w:tc>
          <w:tcPr>
            <w:tcW w:w="2445" w:type="dxa"/>
            <w:tcBorders>
              <w:top w:val="single" w:sz="6" w:space="0" w:color="000000"/>
            </w:tcBorders>
            <w:shd w:val="clear" w:color="auto" w:fill="CCCCCC"/>
            <w:tcMar>
              <w:top w:w="100" w:type="dxa"/>
              <w:left w:w="100" w:type="dxa"/>
              <w:bottom w:w="100" w:type="dxa"/>
              <w:right w:w="100" w:type="dxa"/>
            </w:tcMar>
          </w:tcPr>
          <w:p w14:paraId="0A83597A" w14:textId="77777777" w:rsidR="00415DC4" w:rsidRDefault="00415DC4">
            <w:pPr>
              <w:widowControl w:val="0"/>
              <w:pBdr>
                <w:top w:val="nil"/>
                <w:left w:val="nil"/>
                <w:bottom w:val="nil"/>
                <w:right w:val="nil"/>
                <w:between w:val="nil"/>
              </w:pBdr>
              <w:spacing w:after="0" w:line="240" w:lineRule="auto"/>
              <w:rPr>
                <w:color w:val="4D4D4F"/>
              </w:rPr>
            </w:pPr>
          </w:p>
        </w:tc>
      </w:tr>
      <w:tr w:rsidR="00415DC4" w14:paraId="5D7AE4E6" w14:textId="77777777">
        <w:tc>
          <w:tcPr>
            <w:tcW w:w="3930" w:type="dxa"/>
            <w:tcMar>
              <w:top w:w="100" w:type="dxa"/>
              <w:left w:w="100" w:type="dxa"/>
              <w:bottom w:w="100" w:type="dxa"/>
              <w:right w:w="100" w:type="dxa"/>
            </w:tcMar>
          </w:tcPr>
          <w:p w14:paraId="2FCC508D"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تکنیکی معاونت، عملہ کی تیاری، اور پیشہ ورانہ نمو و تربیت سمیت معاونت اور براہِ راست خدمات کے لیے۔</w:t>
            </w:r>
          </w:p>
        </w:tc>
        <w:tc>
          <w:tcPr>
            <w:tcW w:w="3600" w:type="dxa"/>
            <w:tcMar>
              <w:top w:w="100" w:type="dxa"/>
              <w:left w:w="100" w:type="dxa"/>
              <w:bottom w:w="100" w:type="dxa"/>
              <w:right w:w="100" w:type="dxa"/>
            </w:tcMar>
          </w:tcPr>
          <w:p w14:paraId="4C3AF063" w14:textId="77777777" w:rsidR="00415DC4" w:rsidRDefault="0006556A">
            <w:pPr>
              <w:widowControl w:val="0"/>
              <w:numPr>
                <w:ilvl w:val="0"/>
                <w:numId w:val="13"/>
              </w:numPr>
              <w:pBdr>
                <w:top w:val="nil"/>
                <w:left w:val="nil"/>
                <w:bottom w:val="nil"/>
                <w:right w:val="nil"/>
                <w:between w:val="nil"/>
              </w:pBdr>
              <w:bidi/>
              <w:spacing w:after="0" w:line="240" w:lineRule="auto"/>
              <w:rPr>
                <w:color w:val="4D4D4F"/>
              </w:rPr>
            </w:pPr>
            <w:r>
              <w:rPr>
                <w:color w:val="4D4D4F"/>
                <w:rtl/>
                <w:lang w:bidi="ur"/>
              </w:rPr>
              <w:t>حالیہ معلمین پر خصوصی تعلیمی ارتکاز کے ساتھ  رہنما استاد مشیران اور تربیتی مواقع کی تشکیل</w:t>
            </w:r>
          </w:p>
          <w:p w14:paraId="0C24E487" w14:textId="77777777" w:rsidR="00415DC4" w:rsidRDefault="0006556A">
            <w:pPr>
              <w:widowControl w:val="0"/>
              <w:numPr>
                <w:ilvl w:val="0"/>
                <w:numId w:val="13"/>
              </w:numPr>
              <w:pBdr>
                <w:top w:val="nil"/>
                <w:left w:val="nil"/>
                <w:bottom w:val="nil"/>
                <w:right w:val="nil"/>
                <w:between w:val="nil"/>
              </w:pBdr>
              <w:bidi/>
              <w:spacing w:after="0" w:line="240" w:lineRule="auto"/>
              <w:rPr>
                <w:color w:val="4D4D4F"/>
              </w:rPr>
            </w:pPr>
            <w:r>
              <w:rPr>
                <w:color w:val="4D4D4F"/>
                <w:rtl/>
                <w:lang w:bidi="ur"/>
              </w:rPr>
              <w:t>ترجمانی کی خدمات</w:t>
            </w:r>
          </w:p>
          <w:p w14:paraId="7E5FCB5B" w14:textId="77777777" w:rsidR="00415DC4" w:rsidRDefault="0006556A">
            <w:pPr>
              <w:widowControl w:val="0"/>
              <w:numPr>
                <w:ilvl w:val="0"/>
                <w:numId w:val="13"/>
              </w:numPr>
              <w:pBdr>
                <w:top w:val="nil"/>
                <w:left w:val="nil"/>
                <w:bottom w:val="nil"/>
                <w:right w:val="nil"/>
                <w:between w:val="nil"/>
              </w:pBdr>
              <w:bidi/>
              <w:spacing w:after="0" w:line="240" w:lineRule="auto"/>
              <w:rPr>
                <w:color w:val="4D4D4F"/>
              </w:rPr>
            </w:pPr>
            <w:r>
              <w:rPr>
                <w:color w:val="4D4D4F"/>
                <w:rtl/>
                <w:lang w:bidi="ur"/>
              </w:rPr>
              <w:t xml:space="preserve">معذور طلبہ کے خاندانوں کی مدد کے لیے علاقائی تکنیکی معاونت </w:t>
            </w:r>
          </w:p>
          <w:p w14:paraId="3C096ABA" w14:textId="77777777" w:rsidR="00415DC4" w:rsidRDefault="0006556A">
            <w:pPr>
              <w:widowControl w:val="0"/>
              <w:numPr>
                <w:ilvl w:val="0"/>
                <w:numId w:val="13"/>
              </w:numPr>
              <w:pBdr>
                <w:top w:val="nil"/>
                <w:left w:val="nil"/>
                <w:bottom w:val="nil"/>
                <w:right w:val="nil"/>
                <w:between w:val="nil"/>
              </w:pBdr>
              <w:bidi/>
              <w:spacing w:after="0" w:line="240" w:lineRule="auto"/>
              <w:rPr>
                <w:color w:val="4D4D4F"/>
              </w:rPr>
            </w:pPr>
            <w:r>
              <w:rPr>
                <w:color w:val="4D4D4F"/>
                <w:rtl/>
                <w:lang w:bidi="ur"/>
              </w:rPr>
              <w:t>معذور طلبہ کے خاندانوں کی انٹرنیٹ پر مبنی مدد</w:t>
            </w:r>
          </w:p>
          <w:p w14:paraId="50504766" w14:textId="77777777" w:rsidR="00415DC4" w:rsidRDefault="0006556A">
            <w:pPr>
              <w:widowControl w:val="0"/>
              <w:numPr>
                <w:ilvl w:val="0"/>
                <w:numId w:val="13"/>
              </w:numPr>
              <w:pBdr>
                <w:top w:val="nil"/>
                <w:left w:val="nil"/>
                <w:bottom w:val="nil"/>
                <w:right w:val="nil"/>
                <w:between w:val="nil"/>
              </w:pBdr>
              <w:bidi/>
              <w:spacing w:after="0" w:line="240" w:lineRule="auto"/>
              <w:rPr>
                <w:color w:val="4D4D4F"/>
              </w:rPr>
            </w:pPr>
            <w:r>
              <w:rPr>
                <w:color w:val="4D4D4F"/>
                <w:rtl/>
                <w:lang w:bidi="ur"/>
              </w:rPr>
              <w:t xml:space="preserve">خصوصی تعلیم کے حساس اجزا، جیسا کہ والدین کے سروے، کو </w:t>
            </w:r>
            <w:r>
              <w:rPr>
                <w:color w:val="4D4D4F"/>
                <w:rtl/>
                <w:lang w:bidi="ur"/>
              </w:rPr>
              <w:lastRenderedPageBreak/>
              <w:t>سمجھنے کے لیے خاندانون اور کمیونیٹیز کے لیے ٹولز اور مواد</w:t>
            </w:r>
          </w:p>
          <w:p w14:paraId="32CFE820" w14:textId="77777777" w:rsidR="00415DC4" w:rsidRDefault="0006556A">
            <w:pPr>
              <w:widowControl w:val="0"/>
              <w:numPr>
                <w:ilvl w:val="0"/>
                <w:numId w:val="13"/>
              </w:numPr>
              <w:pBdr>
                <w:top w:val="nil"/>
                <w:left w:val="nil"/>
                <w:bottom w:val="nil"/>
                <w:right w:val="nil"/>
                <w:between w:val="nil"/>
              </w:pBdr>
              <w:bidi/>
              <w:spacing w:after="0" w:line="240" w:lineRule="auto"/>
              <w:rPr>
                <w:color w:val="4D4D4F"/>
              </w:rPr>
            </w:pPr>
            <w:r>
              <w:rPr>
                <w:color w:val="4D4D4F"/>
                <w:rtl/>
                <w:lang w:bidi="ur"/>
              </w:rPr>
              <w:t>معذور طلبہ کے لیے خصوصی ہدایات اور متعلقہ خدمات میں معاونت کے لیے تکنیکی مدد اور پیشہ ورانہ ترقی کی پارٹنرشپس کی تشکیل</w:t>
            </w:r>
          </w:p>
          <w:p w14:paraId="6D08E5D2" w14:textId="77777777" w:rsidR="00415DC4" w:rsidRDefault="0006556A">
            <w:pPr>
              <w:widowControl w:val="0"/>
              <w:numPr>
                <w:ilvl w:val="0"/>
                <w:numId w:val="13"/>
              </w:numPr>
              <w:pBdr>
                <w:top w:val="nil"/>
                <w:left w:val="nil"/>
                <w:bottom w:val="nil"/>
                <w:right w:val="nil"/>
                <w:between w:val="nil"/>
              </w:pBdr>
              <w:bidi/>
              <w:spacing w:after="0" w:line="240" w:lineRule="auto"/>
              <w:rPr>
                <w:color w:val="4D4D4F"/>
              </w:rPr>
            </w:pPr>
            <w:r>
              <w:rPr>
                <w:color w:val="4D4D4F"/>
                <w:rtl/>
                <w:lang w:bidi="ur"/>
              </w:rPr>
              <w:t xml:space="preserve">اعلیٰ معیاری خدمات میں تعاون کے لیے </w:t>
            </w:r>
            <w:r>
              <w:rPr>
                <w:color w:val="4D4D4F"/>
              </w:rPr>
              <w:t>K-2 CLASS</w:t>
            </w:r>
            <w:r>
              <w:rPr>
                <w:color w:val="4D4D4F"/>
                <w:rtl/>
                <w:lang w:bidi="ur"/>
              </w:rPr>
              <w:t xml:space="preserve"> مشاہدات اور آراء</w:t>
            </w:r>
          </w:p>
          <w:p w14:paraId="09658D19" w14:textId="77777777" w:rsidR="00415DC4" w:rsidRDefault="0006556A">
            <w:pPr>
              <w:widowControl w:val="0"/>
              <w:numPr>
                <w:ilvl w:val="0"/>
                <w:numId w:val="13"/>
              </w:numPr>
              <w:pBdr>
                <w:top w:val="nil"/>
                <w:left w:val="nil"/>
                <w:bottom w:val="nil"/>
                <w:right w:val="nil"/>
                <w:between w:val="nil"/>
              </w:pBdr>
              <w:bidi/>
              <w:spacing w:after="0" w:line="240" w:lineRule="auto"/>
              <w:rPr>
                <w:color w:val="4D4D4F"/>
              </w:rPr>
            </w:pPr>
            <w:r>
              <w:rPr>
                <w:color w:val="4D4D4F"/>
                <w:rtl/>
                <w:lang w:bidi="ur"/>
              </w:rPr>
              <w:t>خصوصی معلمین، شاگردوں کی جانچ اور دیگر متعلقہ خدمات فراہم کنندگان کے لیے پیشہ ورانہ پیش رفت</w:t>
            </w:r>
          </w:p>
          <w:p w14:paraId="17E2A976" w14:textId="77777777" w:rsidR="00415DC4" w:rsidRDefault="0006556A">
            <w:pPr>
              <w:widowControl w:val="0"/>
              <w:numPr>
                <w:ilvl w:val="0"/>
                <w:numId w:val="13"/>
              </w:numPr>
              <w:pBdr>
                <w:top w:val="nil"/>
                <w:left w:val="nil"/>
                <w:bottom w:val="nil"/>
                <w:right w:val="nil"/>
                <w:between w:val="nil"/>
              </w:pBdr>
              <w:bidi/>
              <w:spacing w:after="0" w:line="240" w:lineRule="auto"/>
              <w:rPr>
                <w:color w:val="4D4D4F"/>
              </w:rPr>
            </w:pPr>
            <w:r>
              <w:rPr>
                <w:color w:val="4D4D4F"/>
                <w:rtl/>
                <w:lang w:bidi="ur"/>
              </w:rPr>
              <w:t>ٹیچر لیڈر اجلاس میں معذور طلبہ کی معاونت کرنے والے منتظمین، معلمین اور معاون عملہ کی استعداد میں اضافہ</w:t>
            </w:r>
          </w:p>
          <w:p w14:paraId="6D8BE23D" w14:textId="77777777" w:rsidR="00415DC4" w:rsidRDefault="0006556A">
            <w:pPr>
              <w:widowControl w:val="0"/>
              <w:numPr>
                <w:ilvl w:val="0"/>
                <w:numId w:val="13"/>
              </w:numPr>
              <w:pBdr>
                <w:top w:val="nil"/>
                <w:left w:val="nil"/>
                <w:bottom w:val="nil"/>
                <w:right w:val="nil"/>
                <w:between w:val="nil"/>
              </w:pBdr>
              <w:bidi/>
              <w:spacing w:after="0" w:line="240" w:lineRule="auto"/>
              <w:rPr>
                <w:color w:val="4D4D4F"/>
              </w:rPr>
            </w:pPr>
            <w:r>
              <w:rPr>
                <w:color w:val="4D4D4F"/>
                <w:rtl/>
                <w:lang w:bidi="ur"/>
              </w:rPr>
              <w:t xml:space="preserve">جامع ہائی سکول تجربات اور </w:t>
            </w:r>
            <w:r>
              <w:rPr>
                <w:color w:val="4D4D4F"/>
              </w:rPr>
              <w:t>CTE</w:t>
            </w:r>
            <w:r>
              <w:rPr>
                <w:color w:val="4D4D4F"/>
                <w:rtl/>
                <w:lang w:bidi="ur"/>
              </w:rPr>
              <w:t xml:space="preserve"> تجربات کے حامل منتظمین اور معلمین کی معاونت</w:t>
            </w:r>
          </w:p>
        </w:tc>
        <w:tc>
          <w:tcPr>
            <w:tcW w:w="435" w:type="dxa"/>
            <w:tcMar>
              <w:top w:w="100" w:type="dxa"/>
              <w:left w:w="100" w:type="dxa"/>
              <w:bottom w:w="100" w:type="dxa"/>
              <w:right w:w="100" w:type="dxa"/>
            </w:tcMar>
          </w:tcPr>
          <w:p w14:paraId="2A733E37" w14:textId="77777777" w:rsidR="00415DC4" w:rsidRDefault="0006556A">
            <w:pPr>
              <w:widowControl w:val="0"/>
              <w:pBdr>
                <w:top w:val="nil"/>
                <w:left w:val="nil"/>
                <w:bottom w:val="nil"/>
                <w:right w:val="nil"/>
                <w:between w:val="nil"/>
              </w:pBdr>
              <w:bidi/>
              <w:spacing w:after="0" w:line="240" w:lineRule="auto"/>
              <w:rPr>
                <w:color w:val="4D4D4F"/>
              </w:rPr>
            </w:pPr>
            <w:r>
              <w:rPr>
                <w:color w:val="4D4D4F"/>
              </w:rPr>
              <w:lastRenderedPageBreak/>
              <w:t>J.</w:t>
            </w:r>
          </w:p>
        </w:tc>
        <w:tc>
          <w:tcPr>
            <w:tcW w:w="2445" w:type="dxa"/>
            <w:shd w:val="clear" w:color="auto" w:fill="auto"/>
            <w:tcMar>
              <w:top w:w="100" w:type="dxa"/>
              <w:left w:w="100" w:type="dxa"/>
              <w:bottom w:w="100" w:type="dxa"/>
              <w:right w:w="100" w:type="dxa"/>
            </w:tcMar>
          </w:tcPr>
          <w:p w14:paraId="222687CB"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$1,910,258</w:t>
            </w:r>
          </w:p>
          <w:p w14:paraId="3B3438FC" w14:textId="77777777" w:rsidR="00415DC4" w:rsidRDefault="00415DC4">
            <w:pPr>
              <w:widowControl w:val="0"/>
              <w:pBdr>
                <w:top w:val="nil"/>
                <w:left w:val="nil"/>
                <w:bottom w:val="nil"/>
                <w:right w:val="nil"/>
                <w:between w:val="nil"/>
              </w:pBdr>
              <w:spacing w:after="0" w:line="240" w:lineRule="auto"/>
              <w:rPr>
                <w:color w:val="4D4D4F"/>
              </w:rPr>
            </w:pPr>
          </w:p>
        </w:tc>
      </w:tr>
      <w:tr w:rsidR="00415DC4" w14:paraId="4ECF4CEF" w14:textId="77777777">
        <w:tc>
          <w:tcPr>
            <w:tcW w:w="3930" w:type="dxa"/>
            <w:tcMar>
              <w:top w:w="100" w:type="dxa"/>
              <w:left w:w="100" w:type="dxa"/>
              <w:bottom w:w="100" w:type="dxa"/>
              <w:right w:w="100" w:type="dxa"/>
            </w:tcMar>
          </w:tcPr>
          <w:p w14:paraId="4EAC4516"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معذور بچوں کے لیے مثبت رویوں سے متعلق مداخلتوں اور معاونتوں اور ذہنی صحت کی مناسب خدمات کی فراہمی میں مقامی تعلیمی ایجنسیوں کی معاونت</w:t>
            </w:r>
          </w:p>
        </w:tc>
        <w:tc>
          <w:tcPr>
            <w:tcW w:w="3600" w:type="dxa"/>
            <w:tcMar>
              <w:top w:w="100" w:type="dxa"/>
              <w:left w:w="100" w:type="dxa"/>
              <w:bottom w:w="100" w:type="dxa"/>
              <w:right w:w="100" w:type="dxa"/>
            </w:tcMar>
          </w:tcPr>
          <w:p w14:paraId="41E34EA9" w14:textId="77777777" w:rsidR="00415DC4" w:rsidRDefault="0006556A">
            <w:pPr>
              <w:widowControl w:val="0"/>
              <w:numPr>
                <w:ilvl w:val="0"/>
                <w:numId w:val="4"/>
              </w:numPr>
              <w:pBdr>
                <w:top w:val="nil"/>
                <w:left w:val="nil"/>
                <w:bottom w:val="nil"/>
                <w:right w:val="nil"/>
                <w:between w:val="nil"/>
              </w:pBdr>
              <w:bidi/>
              <w:spacing w:after="0" w:line="240" w:lineRule="auto"/>
              <w:rPr>
                <w:color w:val="4D4D4F"/>
              </w:rPr>
            </w:pPr>
            <w:r>
              <w:rPr>
                <w:color w:val="4D4D4F"/>
                <w:rtl/>
                <w:lang w:bidi="ur"/>
              </w:rPr>
              <w:t>شواہد پر مبنی رویوں سے متعلق مداخلتوں، معاونتوں اور حکمتِ عملی کا اطلاق</w:t>
            </w:r>
          </w:p>
          <w:p w14:paraId="484D71ED" w14:textId="77777777" w:rsidR="00415DC4" w:rsidRDefault="0006556A">
            <w:pPr>
              <w:widowControl w:val="0"/>
              <w:numPr>
                <w:ilvl w:val="0"/>
                <w:numId w:val="4"/>
              </w:numPr>
              <w:pBdr>
                <w:top w:val="nil"/>
                <w:left w:val="nil"/>
                <w:bottom w:val="nil"/>
                <w:right w:val="nil"/>
                <w:between w:val="nil"/>
              </w:pBdr>
              <w:bidi/>
              <w:spacing w:after="0" w:line="240" w:lineRule="auto"/>
              <w:rPr>
                <w:color w:val="4D4D4F"/>
              </w:rPr>
            </w:pPr>
            <w:r>
              <w:rPr>
                <w:color w:val="4D4D4F"/>
                <w:rtl/>
                <w:lang w:bidi="ur"/>
              </w:rPr>
              <w:t>طلبہ کی رویوں/ذہنی صحت کی ضروریات میں تعاون کے لیے معلمین کی رہنمائی اور پیشہ ورانہ نمو</w:t>
            </w:r>
          </w:p>
        </w:tc>
        <w:tc>
          <w:tcPr>
            <w:tcW w:w="435" w:type="dxa"/>
            <w:tcMar>
              <w:top w:w="100" w:type="dxa"/>
              <w:left w:w="100" w:type="dxa"/>
              <w:bottom w:w="100" w:type="dxa"/>
              <w:right w:w="100" w:type="dxa"/>
            </w:tcMar>
          </w:tcPr>
          <w:p w14:paraId="5E186457"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k.</w:t>
            </w:r>
          </w:p>
        </w:tc>
        <w:tc>
          <w:tcPr>
            <w:tcW w:w="2445" w:type="dxa"/>
            <w:tcMar>
              <w:top w:w="100" w:type="dxa"/>
              <w:left w:w="100" w:type="dxa"/>
              <w:bottom w:w="100" w:type="dxa"/>
              <w:right w:w="100" w:type="dxa"/>
            </w:tcMar>
          </w:tcPr>
          <w:p w14:paraId="68CE563D"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$475,000</w:t>
            </w:r>
          </w:p>
        </w:tc>
      </w:tr>
      <w:tr w:rsidR="00415DC4" w14:paraId="39000A28" w14:textId="77777777">
        <w:tc>
          <w:tcPr>
            <w:tcW w:w="3930" w:type="dxa"/>
            <w:tcMar>
              <w:top w:w="100" w:type="dxa"/>
              <w:left w:w="100" w:type="dxa"/>
              <w:bottom w:w="100" w:type="dxa"/>
              <w:right w:w="100" w:type="dxa"/>
            </w:tcMar>
          </w:tcPr>
          <w:p w14:paraId="01C74073"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ذاتی کمیوں کو پورا کرنے کے لیے مقامی تعلیمی ایجنسیوں کی امداد</w:t>
            </w:r>
          </w:p>
        </w:tc>
        <w:tc>
          <w:tcPr>
            <w:tcW w:w="3600" w:type="dxa"/>
            <w:shd w:val="clear" w:color="auto" w:fill="auto"/>
            <w:tcMar>
              <w:top w:w="100" w:type="dxa"/>
              <w:left w:w="100" w:type="dxa"/>
              <w:bottom w:w="100" w:type="dxa"/>
              <w:right w:w="100" w:type="dxa"/>
            </w:tcMar>
          </w:tcPr>
          <w:p w14:paraId="5400242A" w14:textId="77777777" w:rsidR="00415DC4" w:rsidRDefault="0006556A">
            <w:pPr>
              <w:widowControl w:val="0"/>
              <w:numPr>
                <w:ilvl w:val="0"/>
                <w:numId w:val="5"/>
              </w:numPr>
              <w:pBdr>
                <w:top w:val="nil"/>
                <w:left w:val="nil"/>
                <w:bottom w:val="nil"/>
                <w:right w:val="nil"/>
                <w:between w:val="nil"/>
              </w:pBdr>
              <w:bidi/>
              <w:spacing w:after="0" w:line="240" w:lineRule="auto"/>
              <w:rPr>
                <w:color w:val="4D4D4F"/>
              </w:rPr>
            </w:pPr>
            <w:r>
              <w:rPr>
                <w:color w:val="4D4D4F"/>
                <w:rtl/>
                <w:lang w:bidi="ur"/>
              </w:rPr>
              <w:t xml:space="preserve">ذاتی کمیوں والے حصوں میں </w:t>
            </w:r>
            <w:r>
              <w:rPr>
                <w:color w:val="4D4D4F"/>
              </w:rPr>
              <w:t>LEA’s</w:t>
            </w:r>
            <w:r>
              <w:rPr>
                <w:color w:val="4D4D4F"/>
                <w:rtl/>
                <w:lang w:bidi="ur"/>
              </w:rPr>
              <w:t xml:space="preserve"> کو متعلقہ خدمت فراہم کنندگان سے جوڑنے کے لیے جدید طریقوں کی شناخت</w:t>
            </w:r>
          </w:p>
        </w:tc>
        <w:tc>
          <w:tcPr>
            <w:tcW w:w="435" w:type="dxa"/>
            <w:tcMar>
              <w:top w:w="100" w:type="dxa"/>
              <w:left w:w="100" w:type="dxa"/>
              <w:bottom w:w="100" w:type="dxa"/>
              <w:right w:w="100" w:type="dxa"/>
            </w:tcMar>
          </w:tcPr>
          <w:p w14:paraId="2478356E"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l.</w:t>
            </w:r>
          </w:p>
        </w:tc>
        <w:tc>
          <w:tcPr>
            <w:tcW w:w="2445" w:type="dxa"/>
            <w:shd w:val="clear" w:color="auto" w:fill="auto"/>
            <w:tcMar>
              <w:top w:w="100" w:type="dxa"/>
              <w:left w:w="100" w:type="dxa"/>
              <w:bottom w:w="100" w:type="dxa"/>
              <w:right w:w="100" w:type="dxa"/>
            </w:tcMar>
          </w:tcPr>
          <w:p w14:paraId="32A68318"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$800,000</w:t>
            </w:r>
          </w:p>
        </w:tc>
      </w:tr>
      <w:tr w:rsidR="00415DC4" w14:paraId="663CBB89" w14:textId="77777777">
        <w:tc>
          <w:tcPr>
            <w:tcW w:w="3930" w:type="dxa"/>
            <w:tcMar>
              <w:top w:w="100" w:type="dxa"/>
              <w:left w:w="100" w:type="dxa"/>
              <w:bottom w:w="100" w:type="dxa"/>
              <w:right w:w="100" w:type="dxa"/>
            </w:tcMar>
          </w:tcPr>
          <w:p w14:paraId="51928396"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معذور بچوں کے نتائج میں بہتری کے لیے استعداد میں اضافہ کی سرگرمیوں کی معاونت اور مقامی تعلیمی ایجنسوں کی جانب سے خدمات کی فراہمی میں بہتری</w:t>
            </w:r>
          </w:p>
        </w:tc>
        <w:tc>
          <w:tcPr>
            <w:tcW w:w="3600" w:type="dxa"/>
            <w:tcMar>
              <w:top w:w="100" w:type="dxa"/>
              <w:left w:w="100" w:type="dxa"/>
              <w:bottom w:w="100" w:type="dxa"/>
              <w:right w:w="100" w:type="dxa"/>
            </w:tcMar>
          </w:tcPr>
          <w:p w14:paraId="7CCEF046" w14:textId="77777777" w:rsidR="00415DC4" w:rsidRDefault="0006556A">
            <w:pPr>
              <w:widowControl w:val="0"/>
              <w:numPr>
                <w:ilvl w:val="0"/>
                <w:numId w:val="7"/>
              </w:numPr>
              <w:pBdr>
                <w:top w:val="nil"/>
                <w:left w:val="nil"/>
                <w:bottom w:val="nil"/>
                <w:right w:val="nil"/>
                <w:between w:val="nil"/>
              </w:pBdr>
              <w:bidi/>
              <w:spacing w:after="0" w:line="240" w:lineRule="auto"/>
              <w:rPr>
                <w:color w:val="4D4D4F"/>
              </w:rPr>
            </w:pPr>
            <w:r>
              <w:rPr>
                <w:color w:val="4D4D4F"/>
              </w:rPr>
              <w:t>LEA’s</w:t>
            </w:r>
            <w:r>
              <w:rPr>
                <w:color w:val="4D4D4F"/>
                <w:rtl/>
                <w:lang w:bidi="ur"/>
              </w:rPr>
              <w:t xml:space="preserve"> کے لیے علاقائی معاونت اور تکنیکی امداد</w:t>
            </w:r>
          </w:p>
          <w:p w14:paraId="29E4A504" w14:textId="77777777" w:rsidR="00415DC4" w:rsidRDefault="0006556A">
            <w:pPr>
              <w:widowControl w:val="0"/>
              <w:numPr>
                <w:ilvl w:val="0"/>
                <w:numId w:val="7"/>
              </w:numPr>
              <w:pBdr>
                <w:top w:val="nil"/>
                <w:left w:val="nil"/>
                <w:bottom w:val="nil"/>
                <w:right w:val="nil"/>
                <w:between w:val="nil"/>
              </w:pBdr>
              <w:bidi/>
              <w:spacing w:after="0" w:line="240" w:lineRule="auto"/>
              <w:rPr>
                <w:color w:val="4D4D4F"/>
              </w:rPr>
            </w:pPr>
            <w:r>
              <w:rPr>
                <w:color w:val="4D4D4F"/>
                <w:rtl/>
                <w:lang w:bidi="ur"/>
              </w:rPr>
              <w:t xml:space="preserve">آٹزم کے حامل طلبہ کی معاونت کرنے والے اساتذہ کی معاونت کے لیے رہنمائی اور پیشہ ورانہ نمو </w:t>
            </w:r>
          </w:p>
          <w:p w14:paraId="439B6065" w14:textId="77777777" w:rsidR="00415DC4" w:rsidRDefault="0006556A">
            <w:pPr>
              <w:widowControl w:val="0"/>
              <w:numPr>
                <w:ilvl w:val="0"/>
                <w:numId w:val="7"/>
              </w:numPr>
              <w:pBdr>
                <w:top w:val="nil"/>
                <w:left w:val="nil"/>
                <w:bottom w:val="nil"/>
                <w:right w:val="nil"/>
                <w:between w:val="nil"/>
              </w:pBdr>
              <w:bidi/>
              <w:spacing w:after="0" w:line="240" w:lineRule="auto"/>
              <w:rPr>
                <w:color w:val="4D4D4F"/>
              </w:rPr>
            </w:pPr>
            <w:r>
              <w:rPr>
                <w:color w:val="4D4D4F"/>
                <w:rtl/>
                <w:lang w:bidi="ur"/>
              </w:rPr>
              <w:t>پیچیدہ طبی ضروریات کے حامل طلبہ کی معاونت کرنے والے اساتذہ کی معاونت کے لیے رہنمائی اور پیشہ ورانہ نمو</w:t>
            </w:r>
          </w:p>
          <w:p w14:paraId="3ACDE9A5" w14:textId="77777777" w:rsidR="00415DC4" w:rsidRDefault="0006556A">
            <w:pPr>
              <w:widowControl w:val="0"/>
              <w:numPr>
                <w:ilvl w:val="0"/>
                <w:numId w:val="7"/>
              </w:numPr>
              <w:pBdr>
                <w:top w:val="nil"/>
                <w:left w:val="nil"/>
                <w:bottom w:val="nil"/>
                <w:right w:val="nil"/>
                <w:between w:val="nil"/>
              </w:pBdr>
              <w:bidi/>
              <w:spacing w:after="0" w:line="240" w:lineRule="auto"/>
              <w:rPr>
                <w:color w:val="4D4D4F"/>
              </w:rPr>
            </w:pPr>
            <w:r>
              <w:rPr>
                <w:color w:val="4D4D4F"/>
                <w:rtl/>
                <w:lang w:bidi="ur"/>
              </w:rPr>
              <w:t>انفرادی تعلیمی منصوبوں کی تشکیل اور اطلاق اور کمرۂ جماعت کی ہدایات میں معاونت کے لیے اعداد و شمار کے استعمال کے لیے معلمین کی استعداد میں اضافہ کے لیے خدمات کا اطلاق؛ سپیشل ایجوکیشن رپورٹنگ</w:t>
            </w:r>
          </w:p>
          <w:p w14:paraId="08892873" w14:textId="77777777" w:rsidR="00415DC4" w:rsidRDefault="0006556A">
            <w:pPr>
              <w:widowControl w:val="0"/>
              <w:numPr>
                <w:ilvl w:val="0"/>
                <w:numId w:val="7"/>
              </w:numPr>
              <w:pBdr>
                <w:top w:val="nil"/>
                <w:left w:val="nil"/>
                <w:bottom w:val="nil"/>
                <w:right w:val="nil"/>
                <w:between w:val="nil"/>
              </w:pBdr>
              <w:bidi/>
              <w:spacing w:after="0" w:line="240" w:lineRule="auto"/>
              <w:rPr>
                <w:color w:val="4D4D4F"/>
              </w:rPr>
            </w:pPr>
            <w:r>
              <w:rPr>
                <w:color w:val="4D4D4F"/>
                <w:rtl/>
                <w:lang w:bidi="ur"/>
              </w:rPr>
              <w:t xml:space="preserve">معذوریوں کے حامل طلبہ کے لیے خصوصی تعلیم کی قیادت کی نمو، خصوصی ہدایات اور متعلقہ خدمات میں معاونت کے لیے تکنیکی معاونت </w:t>
            </w:r>
            <w:r>
              <w:rPr>
                <w:color w:val="4D4D4F"/>
                <w:rtl/>
                <w:lang w:bidi="ur"/>
              </w:rPr>
              <w:lastRenderedPageBreak/>
              <w:t>اور پیشہ ورانہ پیش رفت کی شراکت داریوں کی تشکیل</w:t>
            </w:r>
          </w:p>
        </w:tc>
        <w:tc>
          <w:tcPr>
            <w:tcW w:w="435" w:type="dxa"/>
            <w:tcMar>
              <w:top w:w="100" w:type="dxa"/>
              <w:left w:w="100" w:type="dxa"/>
              <w:bottom w:w="100" w:type="dxa"/>
              <w:right w:w="100" w:type="dxa"/>
            </w:tcMar>
          </w:tcPr>
          <w:p w14:paraId="10E17E86" w14:textId="77777777" w:rsidR="00415DC4" w:rsidRDefault="0006556A">
            <w:pPr>
              <w:widowControl w:val="0"/>
              <w:pBdr>
                <w:top w:val="nil"/>
                <w:left w:val="nil"/>
                <w:bottom w:val="nil"/>
                <w:right w:val="nil"/>
                <w:between w:val="nil"/>
              </w:pBdr>
              <w:bidi/>
              <w:spacing w:after="0" w:line="240" w:lineRule="auto"/>
              <w:rPr>
                <w:color w:val="4D4D4F"/>
              </w:rPr>
            </w:pPr>
            <w:r>
              <w:rPr>
                <w:color w:val="4D4D4F"/>
              </w:rPr>
              <w:lastRenderedPageBreak/>
              <w:t>m.</w:t>
            </w:r>
          </w:p>
        </w:tc>
        <w:tc>
          <w:tcPr>
            <w:tcW w:w="2445" w:type="dxa"/>
            <w:shd w:val="clear" w:color="auto" w:fill="auto"/>
            <w:tcMar>
              <w:top w:w="100" w:type="dxa"/>
              <w:left w:w="100" w:type="dxa"/>
              <w:bottom w:w="100" w:type="dxa"/>
              <w:right w:w="100" w:type="dxa"/>
            </w:tcMar>
          </w:tcPr>
          <w:p w14:paraId="35BF9DBE"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$4,536,912</w:t>
            </w:r>
          </w:p>
          <w:p w14:paraId="13134B4E" w14:textId="77777777" w:rsidR="00415DC4" w:rsidRDefault="00415DC4">
            <w:pPr>
              <w:widowControl w:val="0"/>
              <w:pBdr>
                <w:top w:val="nil"/>
                <w:left w:val="nil"/>
                <w:bottom w:val="nil"/>
                <w:right w:val="nil"/>
                <w:between w:val="nil"/>
              </w:pBdr>
              <w:spacing w:after="0" w:line="240" w:lineRule="auto"/>
              <w:rPr>
                <w:color w:val="4D4D4F"/>
              </w:rPr>
            </w:pPr>
          </w:p>
        </w:tc>
      </w:tr>
      <w:tr w:rsidR="00415DC4" w14:paraId="6AD7A187" w14:textId="77777777">
        <w:tc>
          <w:tcPr>
            <w:tcW w:w="3930" w:type="dxa"/>
            <w:tcMar>
              <w:top w:w="100" w:type="dxa"/>
              <w:left w:w="100" w:type="dxa"/>
              <w:bottom w:w="100" w:type="dxa"/>
              <w:right w:w="100" w:type="dxa"/>
            </w:tcMar>
          </w:tcPr>
          <w:p w14:paraId="42F36C8F"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IEP</w:t>
            </w:r>
            <w:r>
              <w:rPr>
                <w:color w:val="4D4D4F"/>
                <w:rtl/>
                <w:lang w:bidi="ur"/>
              </w:rPr>
              <w:t xml:space="preserve"> کی کارگزاری میں ٹیکنالوجی کے استعمال میں توسیع سمیت کاغذی کاروائی میں کمی کی سرگرمیوں میں معاونت</w:t>
            </w:r>
          </w:p>
        </w:tc>
        <w:tc>
          <w:tcPr>
            <w:tcW w:w="3600" w:type="dxa"/>
            <w:tcMar>
              <w:top w:w="100" w:type="dxa"/>
              <w:left w:w="100" w:type="dxa"/>
              <w:bottom w:w="100" w:type="dxa"/>
              <w:right w:w="100" w:type="dxa"/>
            </w:tcMar>
          </w:tcPr>
          <w:p w14:paraId="0F98721C" w14:textId="77777777" w:rsidR="00415DC4" w:rsidRDefault="00415DC4">
            <w:pPr>
              <w:widowControl w:val="0"/>
              <w:pBdr>
                <w:top w:val="nil"/>
                <w:left w:val="nil"/>
                <w:bottom w:val="nil"/>
                <w:right w:val="nil"/>
                <w:between w:val="nil"/>
              </w:pBdr>
              <w:spacing w:after="0" w:line="240" w:lineRule="auto"/>
              <w:rPr>
                <w:color w:val="4D4D4F"/>
              </w:rPr>
            </w:pPr>
          </w:p>
        </w:tc>
        <w:tc>
          <w:tcPr>
            <w:tcW w:w="435" w:type="dxa"/>
            <w:tcMar>
              <w:top w:w="100" w:type="dxa"/>
              <w:left w:w="100" w:type="dxa"/>
              <w:bottom w:w="100" w:type="dxa"/>
              <w:right w:w="100" w:type="dxa"/>
            </w:tcMar>
          </w:tcPr>
          <w:p w14:paraId="665E4C93"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n.</w:t>
            </w:r>
          </w:p>
        </w:tc>
        <w:tc>
          <w:tcPr>
            <w:tcW w:w="2445" w:type="dxa"/>
            <w:tcMar>
              <w:top w:w="100" w:type="dxa"/>
              <w:left w:w="100" w:type="dxa"/>
              <w:bottom w:w="100" w:type="dxa"/>
              <w:right w:w="100" w:type="dxa"/>
            </w:tcMar>
          </w:tcPr>
          <w:p w14:paraId="4AAC8A47"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$0</w:t>
            </w:r>
          </w:p>
          <w:p w14:paraId="5841AEB1" w14:textId="77777777" w:rsidR="00415DC4" w:rsidRDefault="00415DC4">
            <w:pPr>
              <w:widowControl w:val="0"/>
              <w:pBdr>
                <w:top w:val="nil"/>
                <w:left w:val="nil"/>
                <w:bottom w:val="nil"/>
                <w:right w:val="nil"/>
                <w:between w:val="nil"/>
              </w:pBdr>
              <w:spacing w:after="0" w:line="240" w:lineRule="auto"/>
              <w:rPr>
                <w:color w:val="4D4D4F"/>
              </w:rPr>
            </w:pPr>
          </w:p>
        </w:tc>
      </w:tr>
      <w:tr w:rsidR="00415DC4" w14:paraId="1A72082F" w14:textId="77777777">
        <w:tc>
          <w:tcPr>
            <w:tcW w:w="3930" w:type="dxa"/>
            <w:tcMar>
              <w:top w:w="100" w:type="dxa"/>
              <w:left w:w="100" w:type="dxa"/>
              <w:bottom w:w="100" w:type="dxa"/>
              <w:right w:w="100" w:type="dxa"/>
            </w:tcMar>
          </w:tcPr>
          <w:p w14:paraId="6D5CA117"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سیکھنے میں اضافے کے لیے معذوریوں کے حامل بچوں کی جانب سے کلاسروم میں ٹیکنالوجی کے استعمال میں بہتری لانا۔</w:t>
            </w:r>
          </w:p>
        </w:tc>
        <w:tc>
          <w:tcPr>
            <w:tcW w:w="3600" w:type="dxa"/>
            <w:tcMar>
              <w:top w:w="100" w:type="dxa"/>
              <w:left w:w="100" w:type="dxa"/>
              <w:bottom w:w="100" w:type="dxa"/>
              <w:right w:w="100" w:type="dxa"/>
            </w:tcMar>
          </w:tcPr>
          <w:p w14:paraId="159CE2AC" w14:textId="77777777" w:rsidR="00415DC4" w:rsidRDefault="0006556A">
            <w:pPr>
              <w:widowControl w:val="0"/>
              <w:numPr>
                <w:ilvl w:val="0"/>
                <w:numId w:val="2"/>
              </w:numPr>
              <w:pBdr>
                <w:top w:val="nil"/>
                <w:left w:val="nil"/>
                <w:bottom w:val="nil"/>
                <w:right w:val="nil"/>
                <w:between w:val="nil"/>
              </w:pBdr>
              <w:bidi/>
              <w:spacing w:after="0" w:line="240" w:lineRule="auto"/>
              <w:rPr>
                <w:color w:val="4D4D4F"/>
              </w:rPr>
            </w:pPr>
            <w:r>
              <w:rPr>
                <w:color w:val="4D4D4F"/>
                <w:rtl/>
                <w:lang w:bidi="ur"/>
              </w:rPr>
              <w:t>سیکھنے کی انفرادی ضروریات میں معاونت کے لیے ٹیکنالوجی کے استعمال سے متعلق تربیت اور مواد</w:t>
            </w:r>
          </w:p>
          <w:p w14:paraId="3EB0A8F1" w14:textId="77777777" w:rsidR="00415DC4" w:rsidRDefault="0006556A">
            <w:pPr>
              <w:widowControl w:val="0"/>
              <w:numPr>
                <w:ilvl w:val="0"/>
                <w:numId w:val="2"/>
              </w:numPr>
              <w:pBdr>
                <w:top w:val="nil"/>
                <w:left w:val="nil"/>
                <w:bottom w:val="nil"/>
                <w:right w:val="nil"/>
                <w:between w:val="nil"/>
              </w:pBdr>
              <w:bidi/>
              <w:spacing w:after="0" w:line="240" w:lineRule="auto"/>
              <w:rPr>
                <w:color w:val="4D4D4F"/>
              </w:rPr>
            </w:pPr>
            <w:r>
              <w:rPr>
                <w:color w:val="4D4D4F"/>
                <w:rtl/>
                <w:lang w:bidi="ur"/>
              </w:rPr>
              <w:t>قابلِ رسائی تعلیمی مواد</w:t>
            </w:r>
          </w:p>
        </w:tc>
        <w:tc>
          <w:tcPr>
            <w:tcW w:w="435" w:type="dxa"/>
            <w:tcMar>
              <w:top w:w="100" w:type="dxa"/>
              <w:left w:w="100" w:type="dxa"/>
              <w:bottom w:w="100" w:type="dxa"/>
              <w:right w:w="100" w:type="dxa"/>
            </w:tcMar>
          </w:tcPr>
          <w:p w14:paraId="1A4DF1D5"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o.</w:t>
            </w:r>
          </w:p>
        </w:tc>
        <w:tc>
          <w:tcPr>
            <w:tcW w:w="2445" w:type="dxa"/>
            <w:tcMar>
              <w:top w:w="100" w:type="dxa"/>
              <w:left w:w="100" w:type="dxa"/>
              <w:bottom w:w="100" w:type="dxa"/>
              <w:right w:w="100" w:type="dxa"/>
            </w:tcMar>
          </w:tcPr>
          <w:p w14:paraId="3B432869"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$600,000</w:t>
            </w:r>
          </w:p>
        </w:tc>
      </w:tr>
      <w:tr w:rsidR="00415DC4" w14:paraId="43BEB653" w14:textId="77777777">
        <w:tc>
          <w:tcPr>
            <w:tcW w:w="3930" w:type="dxa"/>
            <w:tcMar>
              <w:top w:w="100" w:type="dxa"/>
              <w:left w:w="100" w:type="dxa"/>
              <w:bottom w:w="100" w:type="dxa"/>
              <w:right w:w="100" w:type="dxa"/>
            </w:tcMar>
          </w:tcPr>
          <w:p w14:paraId="23B0A3DB"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معذور حامل بچوں کے لیے عمومی تعلیمی نصاب تک رسائی میں ممکنہ حد تک اضافہ کے لیے آفاقی ڈیزائن اصولوں اور معاون ٹیکنالوجی آلات سمیت ٹیکنالوجی کے استعمال میں معاونت۔</w:t>
            </w:r>
          </w:p>
        </w:tc>
        <w:tc>
          <w:tcPr>
            <w:tcW w:w="3600" w:type="dxa"/>
            <w:tcMar>
              <w:top w:w="100" w:type="dxa"/>
              <w:left w:w="100" w:type="dxa"/>
              <w:bottom w:w="100" w:type="dxa"/>
              <w:right w:w="100" w:type="dxa"/>
            </w:tcMar>
          </w:tcPr>
          <w:p w14:paraId="4A8AC58D" w14:textId="77777777" w:rsidR="00415DC4" w:rsidRDefault="0006556A">
            <w:pPr>
              <w:widowControl w:val="0"/>
              <w:numPr>
                <w:ilvl w:val="0"/>
                <w:numId w:val="9"/>
              </w:numPr>
              <w:pBdr>
                <w:top w:val="nil"/>
                <w:left w:val="nil"/>
                <w:bottom w:val="nil"/>
                <w:right w:val="nil"/>
                <w:between w:val="nil"/>
              </w:pBdr>
              <w:bidi/>
              <w:spacing w:after="0" w:line="240" w:lineRule="auto"/>
              <w:rPr>
                <w:color w:val="4D4D4F"/>
              </w:rPr>
            </w:pPr>
            <w:r>
              <w:rPr>
                <w:color w:val="4D4D4F"/>
                <w:rtl/>
                <w:lang w:bidi="ur"/>
              </w:rPr>
              <w:t>جداگانہ کلاسروم ہدایات میں معاونت کے لیے ٹیکنالوجی کے استعمال پر تربیت اور مواد</w:t>
            </w:r>
          </w:p>
          <w:p w14:paraId="48C98684" w14:textId="77777777" w:rsidR="00415DC4" w:rsidRDefault="0006556A">
            <w:pPr>
              <w:widowControl w:val="0"/>
              <w:numPr>
                <w:ilvl w:val="0"/>
                <w:numId w:val="9"/>
              </w:numPr>
              <w:pBdr>
                <w:top w:val="nil"/>
                <w:left w:val="nil"/>
                <w:bottom w:val="nil"/>
                <w:right w:val="nil"/>
                <w:between w:val="nil"/>
              </w:pBdr>
              <w:bidi/>
              <w:spacing w:after="0" w:line="240" w:lineRule="auto"/>
              <w:rPr>
                <w:color w:val="4D4D4F"/>
              </w:rPr>
            </w:pPr>
            <w:r>
              <w:rPr>
                <w:color w:val="4D4D4F"/>
                <w:rtl/>
                <w:lang w:bidi="ur"/>
              </w:rPr>
              <w:t>قابلِ رسائی تعلیمی مواد</w:t>
            </w:r>
          </w:p>
          <w:p w14:paraId="763A5D0D" w14:textId="77777777" w:rsidR="00415DC4" w:rsidRDefault="0006556A">
            <w:pPr>
              <w:widowControl w:val="0"/>
              <w:numPr>
                <w:ilvl w:val="0"/>
                <w:numId w:val="9"/>
              </w:numPr>
              <w:pBdr>
                <w:top w:val="nil"/>
                <w:left w:val="nil"/>
                <w:bottom w:val="nil"/>
                <w:right w:val="nil"/>
                <w:between w:val="nil"/>
              </w:pBdr>
              <w:bidi/>
              <w:spacing w:after="0" w:line="240" w:lineRule="auto"/>
              <w:rPr>
                <w:color w:val="4D4D4F"/>
              </w:rPr>
            </w:pPr>
            <w:r>
              <w:rPr>
                <w:color w:val="4D4D4F"/>
                <w:rtl/>
                <w:lang w:bidi="ur"/>
              </w:rPr>
              <w:t>بینائی کی خرابی کے لیے بہتر اہلیت کی ضروریات کی معاونت۔</w:t>
            </w:r>
          </w:p>
        </w:tc>
        <w:tc>
          <w:tcPr>
            <w:tcW w:w="435" w:type="dxa"/>
            <w:tcMar>
              <w:top w:w="100" w:type="dxa"/>
              <w:left w:w="100" w:type="dxa"/>
              <w:bottom w:w="100" w:type="dxa"/>
              <w:right w:w="100" w:type="dxa"/>
            </w:tcMar>
          </w:tcPr>
          <w:p w14:paraId="3810B987"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p.</w:t>
            </w:r>
          </w:p>
        </w:tc>
        <w:tc>
          <w:tcPr>
            <w:tcW w:w="2445" w:type="dxa"/>
            <w:tcMar>
              <w:top w:w="100" w:type="dxa"/>
              <w:left w:w="100" w:type="dxa"/>
              <w:bottom w:w="100" w:type="dxa"/>
              <w:right w:w="100" w:type="dxa"/>
            </w:tcMar>
          </w:tcPr>
          <w:p w14:paraId="74AA48FB"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$500,000</w:t>
            </w:r>
          </w:p>
        </w:tc>
      </w:tr>
      <w:tr w:rsidR="00415DC4" w14:paraId="5E26F67E" w14:textId="77777777">
        <w:tc>
          <w:tcPr>
            <w:tcW w:w="3930" w:type="dxa"/>
            <w:tcMar>
              <w:top w:w="100" w:type="dxa"/>
              <w:left w:w="100" w:type="dxa"/>
              <w:bottom w:w="100" w:type="dxa"/>
              <w:right w:w="100" w:type="dxa"/>
            </w:tcMar>
          </w:tcPr>
          <w:p w14:paraId="066572C9"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معذور بچوں کی بعد از ثانوی سرگرمیوں کی جانب منتقلی کی معاونت میں شریک ایجنسیوں سے ربط سازی سمیت، منتقلی پروگرامز کی نمو اور ان کا اطلاق۔</w:t>
            </w:r>
          </w:p>
        </w:tc>
        <w:tc>
          <w:tcPr>
            <w:tcW w:w="3600" w:type="dxa"/>
            <w:tcMar>
              <w:top w:w="100" w:type="dxa"/>
              <w:left w:w="100" w:type="dxa"/>
              <w:bottom w:w="100" w:type="dxa"/>
              <w:right w:w="100" w:type="dxa"/>
            </w:tcMar>
          </w:tcPr>
          <w:p w14:paraId="7CF13A52" w14:textId="77777777" w:rsidR="00415DC4" w:rsidRDefault="0006556A">
            <w:pPr>
              <w:widowControl w:val="0"/>
              <w:numPr>
                <w:ilvl w:val="0"/>
                <w:numId w:val="11"/>
              </w:numPr>
              <w:pBdr>
                <w:top w:val="nil"/>
                <w:left w:val="nil"/>
                <w:bottom w:val="nil"/>
                <w:right w:val="nil"/>
                <w:between w:val="nil"/>
              </w:pBdr>
              <w:bidi/>
              <w:spacing w:after="0" w:line="240" w:lineRule="auto"/>
              <w:rPr>
                <w:color w:val="4D4D4F"/>
              </w:rPr>
            </w:pPr>
            <w:r>
              <w:rPr>
                <w:color w:val="4D4D4F"/>
                <w:rtl/>
                <w:lang w:bidi="ur"/>
              </w:rPr>
              <w:t>معذور طلبہ کی ثانوی سکول سے اعلیٰ سکول منتقلی کے دوران قیادت کی نمو اور کیریئر سے متعلق تیاری</w:t>
            </w:r>
          </w:p>
          <w:p w14:paraId="4D57498F" w14:textId="77777777" w:rsidR="00415DC4" w:rsidRDefault="0006556A">
            <w:pPr>
              <w:widowControl w:val="0"/>
              <w:numPr>
                <w:ilvl w:val="0"/>
                <w:numId w:val="11"/>
              </w:numPr>
              <w:pBdr>
                <w:top w:val="nil"/>
                <w:left w:val="nil"/>
                <w:bottom w:val="nil"/>
                <w:right w:val="nil"/>
                <w:between w:val="nil"/>
              </w:pBdr>
              <w:bidi/>
              <w:spacing w:after="0" w:line="240" w:lineRule="auto"/>
              <w:rPr>
                <w:color w:val="4D4D4F"/>
              </w:rPr>
            </w:pPr>
            <w:r>
              <w:rPr>
                <w:color w:val="4D4D4F"/>
                <w:rtl/>
                <w:lang w:bidi="ur"/>
              </w:rPr>
              <w:t>معذور طلبہ شراکت داری کے لیے یوتھ لیڈرشپ فورم</w:t>
            </w:r>
          </w:p>
          <w:p w14:paraId="28ADD0D6" w14:textId="77777777" w:rsidR="00415DC4" w:rsidRDefault="0006556A">
            <w:pPr>
              <w:widowControl w:val="0"/>
              <w:numPr>
                <w:ilvl w:val="0"/>
                <w:numId w:val="11"/>
              </w:numPr>
              <w:pBdr>
                <w:top w:val="nil"/>
                <w:left w:val="nil"/>
                <w:bottom w:val="nil"/>
                <w:right w:val="nil"/>
                <w:between w:val="nil"/>
              </w:pBdr>
              <w:bidi/>
              <w:spacing w:after="0" w:line="240" w:lineRule="auto"/>
              <w:rPr>
                <w:color w:val="4D4D4F"/>
              </w:rPr>
            </w:pPr>
            <w:r>
              <w:rPr>
                <w:color w:val="4D4D4F"/>
                <w:rtl/>
                <w:lang w:bidi="ur"/>
              </w:rPr>
              <w:t>خصوصی تعلیم کے حساس اجزا کو سمجھنے کے لیے خاندانوں اور کمیونٹی ارکان کے لیے آن لائن ٹولز اور مواد</w:t>
            </w:r>
          </w:p>
        </w:tc>
        <w:tc>
          <w:tcPr>
            <w:tcW w:w="435" w:type="dxa"/>
            <w:tcMar>
              <w:top w:w="100" w:type="dxa"/>
              <w:left w:w="100" w:type="dxa"/>
              <w:bottom w:w="100" w:type="dxa"/>
              <w:right w:w="100" w:type="dxa"/>
            </w:tcMar>
          </w:tcPr>
          <w:p w14:paraId="2F316C13"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q.</w:t>
            </w:r>
            <w:r>
              <w:rPr>
                <w:color w:val="4D4D4F"/>
                <w:rtl/>
                <w:lang w:bidi="ur"/>
              </w:rPr>
              <w:t xml:space="preserve"> </w:t>
            </w:r>
          </w:p>
        </w:tc>
        <w:tc>
          <w:tcPr>
            <w:tcW w:w="2445" w:type="dxa"/>
            <w:tcMar>
              <w:top w:w="100" w:type="dxa"/>
              <w:left w:w="100" w:type="dxa"/>
              <w:bottom w:w="100" w:type="dxa"/>
              <w:right w:w="100" w:type="dxa"/>
            </w:tcMar>
          </w:tcPr>
          <w:p w14:paraId="160BCF93"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$1,843,308</w:t>
            </w:r>
          </w:p>
        </w:tc>
      </w:tr>
      <w:tr w:rsidR="00415DC4" w14:paraId="73F5788B" w14:textId="77777777">
        <w:tc>
          <w:tcPr>
            <w:tcW w:w="3930" w:type="dxa"/>
            <w:tcMar>
              <w:top w:w="100" w:type="dxa"/>
              <w:left w:w="100" w:type="dxa"/>
              <w:bottom w:w="100" w:type="dxa"/>
              <w:right w:w="100" w:type="dxa"/>
            </w:tcMar>
          </w:tcPr>
          <w:p w14:paraId="17CB338A"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معذور بچوں کے لیے متبادل پروگرامنگ جنہیں اسکول سے نکال دیا گیا ہے، اور اصلاحی سہولیات میں معذور بچوں کے لیے خدمات، ریاست کے زیر انتظام یا ریاست کے تعاون سے چلنے والے اسکولوں میں داخلہ لینے والے بچے، اور چارٹر اسکولوں میں معذور بچوں کے لیے خدمات۔</w:t>
            </w:r>
          </w:p>
        </w:tc>
        <w:tc>
          <w:tcPr>
            <w:tcW w:w="3600" w:type="dxa"/>
            <w:tcMar>
              <w:top w:w="100" w:type="dxa"/>
              <w:left w:w="100" w:type="dxa"/>
              <w:bottom w:w="100" w:type="dxa"/>
              <w:right w:w="100" w:type="dxa"/>
            </w:tcMar>
          </w:tcPr>
          <w:p w14:paraId="698500F5" w14:textId="77777777" w:rsidR="00415DC4" w:rsidRDefault="0006556A">
            <w:pPr>
              <w:widowControl w:val="0"/>
              <w:numPr>
                <w:ilvl w:val="0"/>
                <w:numId w:val="10"/>
              </w:numPr>
              <w:pBdr>
                <w:top w:val="nil"/>
                <w:left w:val="nil"/>
                <w:bottom w:val="nil"/>
                <w:right w:val="nil"/>
                <w:between w:val="nil"/>
              </w:pBdr>
              <w:bidi/>
              <w:spacing w:after="0" w:line="240" w:lineRule="auto"/>
              <w:rPr>
                <w:color w:val="4D4D4F"/>
              </w:rPr>
            </w:pPr>
            <w:r>
              <w:rPr>
                <w:color w:val="4D4D4F"/>
                <w:rtl/>
                <w:lang w:bidi="ur"/>
              </w:rPr>
              <w:t>ریاست کے زیرِ انتظام سکولوں میں متبادل پروگرامز میں طلبہ کے لیے رویوں سے متعلق معاونت</w:t>
            </w:r>
          </w:p>
        </w:tc>
        <w:tc>
          <w:tcPr>
            <w:tcW w:w="435" w:type="dxa"/>
            <w:tcMar>
              <w:top w:w="100" w:type="dxa"/>
              <w:left w:w="100" w:type="dxa"/>
              <w:bottom w:w="100" w:type="dxa"/>
              <w:right w:w="100" w:type="dxa"/>
            </w:tcMar>
          </w:tcPr>
          <w:p w14:paraId="2E82B050"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r.</w:t>
            </w:r>
          </w:p>
        </w:tc>
        <w:tc>
          <w:tcPr>
            <w:tcW w:w="2445" w:type="dxa"/>
            <w:tcMar>
              <w:top w:w="100" w:type="dxa"/>
              <w:left w:w="100" w:type="dxa"/>
              <w:bottom w:w="100" w:type="dxa"/>
              <w:right w:w="100" w:type="dxa"/>
            </w:tcMar>
          </w:tcPr>
          <w:p w14:paraId="66B2C9D2"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$80,000</w:t>
            </w:r>
          </w:p>
        </w:tc>
      </w:tr>
      <w:tr w:rsidR="00415DC4" w14:paraId="53DF1F5B" w14:textId="77777777">
        <w:tc>
          <w:tcPr>
            <w:tcW w:w="3930" w:type="dxa"/>
            <w:tcMar>
              <w:top w:w="100" w:type="dxa"/>
              <w:left w:w="100" w:type="dxa"/>
              <w:bottom w:w="100" w:type="dxa"/>
              <w:right w:w="100" w:type="dxa"/>
            </w:tcMar>
          </w:tcPr>
          <w:p w14:paraId="2B1E64FB"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ابتدائی و ثانوی تعلیمی ایکٹ 1965 کی دفعات 1111(</w:t>
            </w:r>
            <w:r>
              <w:rPr>
                <w:color w:val="4D4D4F"/>
              </w:rPr>
              <w:t>b</w:t>
            </w:r>
            <w:r>
              <w:rPr>
                <w:color w:val="4D4D4F"/>
                <w:rtl/>
                <w:lang w:bidi="ur"/>
              </w:rPr>
              <w:t>) اور 1201 کے مطابق، معذور بچوں کے لیے مناسب انتظام کی تشکیل اور فراہمی، یا معذور بچوں کی کارکردگی کی جانچ کے لیے قابلِ اعتماد اور درست متبادل امتحانات کی تشکیل اور فراہمی میں معاونت۔</w:t>
            </w:r>
          </w:p>
        </w:tc>
        <w:tc>
          <w:tcPr>
            <w:tcW w:w="3600" w:type="dxa"/>
            <w:tcMar>
              <w:top w:w="100" w:type="dxa"/>
              <w:left w:w="100" w:type="dxa"/>
              <w:bottom w:w="100" w:type="dxa"/>
              <w:right w:w="100" w:type="dxa"/>
            </w:tcMar>
          </w:tcPr>
          <w:p w14:paraId="4814CE05" w14:textId="77777777" w:rsidR="00415DC4" w:rsidRDefault="0006556A">
            <w:pPr>
              <w:widowControl w:val="0"/>
              <w:numPr>
                <w:ilvl w:val="0"/>
                <w:numId w:val="1"/>
              </w:numPr>
              <w:pBdr>
                <w:top w:val="nil"/>
                <w:left w:val="nil"/>
                <w:bottom w:val="nil"/>
                <w:right w:val="nil"/>
                <w:between w:val="nil"/>
              </w:pBdr>
              <w:bidi/>
              <w:spacing w:after="0" w:line="240" w:lineRule="auto"/>
              <w:rPr>
                <w:color w:val="4D4D4F"/>
              </w:rPr>
            </w:pPr>
            <w:r>
              <w:rPr>
                <w:color w:val="4D4D4F"/>
                <w:rtl/>
                <w:lang w:bidi="ur"/>
              </w:rPr>
              <w:t>امتحانات کا انتظام:  عمومی ریاستی امتحانات میں انتظامات کی فراہمی کے لیے فنڈز فراہم کیے جاتے ہیں۔</w:t>
            </w:r>
          </w:p>
          <w:p w14:paraId="613071AD" w14:textId="77777777" w:rsidR="00415DC4" w:rsidRDefault="0006556A">
            <w:pPr>
              <w:widowControl w:val="0"/>
              <w:numPr>
                <w:ilvl w:val="0"/>
                <w:numId w:val="1"/>
              </w:numPr>
              <w:pBdr>
                <w:top w:val="nil"/>
                <w:left w:val="nil"/>
                <w:bottom w:val="nil"/>
                <w:right w:val="nil"/>
                <w:between w:val="nil"/>
              </w:pBdr>
              <w:bidi/>
              <w:spacing w:after="0" w:line="240" w:lineRule="auto"/>
              <w:rPr>
                <w:color w:val="4D4D4F"/>
              </w:rPr>
            </w:pPr>
            <w:r>
              <w:rPr>
                <w:color w:val="4D4D4F"/>
                <w:rtl/>
                <w:lang w:bidi="ur"/>
              </w:rPr>
              <w:t>متبادل امتحانات: متبادل امتحانات کی تشکیل اور فراہمی کے لیے فنڈز فراہم کیے جاتے ہیں۔</w:t>
            </w:r>
          </w:p>
        </w:tc>
        <w:tc>
          <w:tcPr>
            <w:tcW w:w="435" w:type="dxa"/>
            <w:shd w:val="clear" w:color="auto" w:fill="auto"/>
            <w:tcMar>
              <w:top w:w="100" w:type="dxa"/>
              <w:left w:w="100" w:type="dxa"/>
              <w:bottom w:w="100" w:type="dxa"/>
              <w:right w:w="100" w:type="dxa"/>
            </w:tcMar>
          </w:tcPr>
          <w:p w14:paraId="1A85EE37"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s.</w:t>
            </w:r>
          </w:p>
        </w:tc>
        <w:tc>
          <w:tcPr>
            <w:tcW w:w="2445" w:type="dxa"/>
            <w:shd w:val="clear" w:color="auto" w:fill="auto"/>
            <w:tcMar>
              <w:top w:w="100" w:type="dxa"/>
              <w:left w:w="100" w:type="dxa"/>
              <w:bottom w:w="100" w:type="dxa"/>
              <w:right w:w="100" w:type="dxa"/>
            </w:tcMar>
          </w:tcPr>
          <w:p w14:paraId="1F106AD5"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$8,000,324</w:t>
            </w:r>
          </w:p>
        </w:tc>
      </w:tr>
      <w:tr w:rsidR="00415DC4" w14:paraId="26EAF9A0" w14:textId="77777777">
        <w:tc>
          <w:tcPr>
            <w:tcW w:w="3930" w:type="dxa"/>
            <w:tcMar>
              <w:top w:w="100" w:type="dxa"/>
              <w:left w:w="100" w:type="dxa"/>
              <w:bottom w:w="100" w:type="dxa"/>
              <w:right w:w="100" w:type="dxa"/>
            </w:tcMar>
          </w:tcPr>
          <w:p w14:paraId="31C2C5D1" w14:textId="77777777" w:rsidR="00415DC4" w:rsidRDefault="0006556A">
            <w:pPr>
              <w:widowControl w:val="0"/>
              <w:bidi/>
              <w:spacing w:after="0" w:line="240" w:lineRule="auto"/>
              <w:rPr>
                <w:color w:val="4D4D4F"/>
              </w:rPr>
            </w:pPr>
            <w:r>
              <w:rPr>
                <w:color w:val="4D4D4F"/>
                <w:rtl/>
                <w:lang w:bidi="ur"/>
              </w:rPr>
              <w:t xml:space="preserve">اسکولز اور </w:t>
            </w:r>
            <w:r>
              <w:rPr>
                <w:color w:val="4D4D4F"/>
              </w:rPr>
              <w:t>LEA’s</w:t>
            </w:r>
            <w:r>
              <w:rPr>
                <w:color w:val="4D4D4F"/>
                <w:rtl/>
                <w:lang w:bidi="ur"/>
              </w:rPr>
              <w:t xml:space="preserve"> کو تکنیکی معاونت فراہم کرنے، اور</w:t>
            </w:r>
            <w:r>
              <w:rPr>
                <w:color w:val="4D4D4F"/>
              </w:rPr>
              <w:t>ESEA</w:t>
            </w:r>
            <w:r>
              <w:rPr>
                <w:color w:val="4D4D4F"/>
                <w:rtl/>
                <w:lang w:bidi="ur"/>
              </w:rPr>
              <w:t xml:space="preserve"> کی دفعہ 1111(</w:t>
            </w:r>
            <w:r>
              <w:rPr>
                <w:color w:val="4D4D4F"/>
              </w:rPr>
              <w:t>b)(1</w:t>
            </w:r>
            <w:r>
              <w:rPr>
                <w:color w:val="4D4D4F"/>
                <w:rtl/>
                <w:lang w:bidi="ur"/>
              </w:rPr>
              <w:t xml:space="preserve">) میں بیان شدہ چیلنجنگ تعلیمی معیارات پر مبنی تعلیمی کامیابی میں بہتری کے لیے سائنٹیفک تحقیق کی بنا پر معذور بچوں کو پڑھانے والے خصوصی اور عمومی تعلیم کے اساتذہ کے لیے پیشہ ورانہ نمو کی فراہمی سمیت معذور بچوں کے الگ کیے گئے سب گروپ کی مستقل خراب کارکردگی کی بنا پر </w:t>
            </w:r>
            <w:r>
              <w:rPr>
                <w:color w:val="4D4D4F"/>
              </w:rPr>
              <w:t>ESEA</w:t>
            </w:r>
            <w:r>
              <w:rPr>
                <w:color w:val="4D4D4F"/>
                <w:rtl/>
                <w:lang w:bidi="ur"/>
              </w:rPr>
              <w:t xml:space="preserve"> کی دفعہ 1111(</w:t>
            </w:r>
            <w:r>
              <w:rPr>
                <w:color w:val="4D4D4F"/>
              </w:rPr>
              <w:t>d</w:t>
            </w:r>
            <w:r>
              <w:rPr>
                <w:color w:val="4D4D4F"/>
                <w:rtl/>
                <w:lang w:bidi="ur"/>
              </w:rPr>
              <w:t xml:space="preserve">) کے تحت جامع معاونت اور بہتری کی سرگرمیوں یا ہدفی </w:t>
            </w:r>
            <w:r>
              <w:rPr>
                <w:color w:val="4D4D4F"/>
                <w:rtl/>
                <w:lang w:bidi="ur"/>
              </w:rPr>
              <w:lastRenderedPageBreak/>
              <w:t xml:space="preserve">معاونت اور بہتری کی سرگرمیوں کا اطلاق کرنے والے سکولوں یا </w:t>
            </w:r>
            <w:r>
              <w:rPr>
                <w:color w:val="4D4D4F"/>
              </w:rPr>
              <w:t>LEA’s</w:t>
            </w:r>
            <w:r>
              <w:rPr>
                <w:color w:val="4D4D4F"/>
                <w:rtl/>
                <w:lang w:bidi="ur"/>
              </w:rPr>
              <w:t xml:space="preserve"> کو، معذور بچوں کو </w:t>
            </w:r>
            <w:r>
              <w:rPr>
                <w:color w:val="4D4D4F"/>
              </w:rPr>
              <w:t>ESEA</w:t>
            </w:r>
            <w:r>
              <w:rPr>
                <w:color w:val="4D4D4F"/>
                <w:rtl/>
                <w:lang w:bidi="ur"/>
              </w:rPr>
              <w:t xml:space="preserve"> کی دفعہ 1003</w:t>
            </w:r>
            <w:r>
              <w:rPr>
                <w:color w:val="4D4D4F"/>
              </w:rPr>
              <w:t>A(c)(3</w:t>
            </w:r>
            <w:r>
              <w:rPr>
                <w:color w:val="4D4D4F"/>
                <w:rtl/>
                <w:lang w:bidi="ur"/>
              </w:rPr>
              <w:t>) میں بیان کردہ براہِ راست طلبہ خدمات سمیت، براہِ راست خدمات فراہم کرنے کے لیے۔</w:t>
            </w:r>
          </w:p>
        </w:tc>
        <w:tc>
          <w:tcPr>
            <w:tcW w:w="3600" w:type="dxa"/>
            <w:tcMar>
              <w:top w:w="100" w:type="dxa"/>
              <w:left w:w="100" w:type="dxa"/>
              <w:bottom w:w="100" w:type="dxa"/>
              <w:right w:w="100" w:type="dxa"/>
            </w:tcMar>
          </w:tcPr>
          <w:p w14:paraId="182BC203" w14:textId="77777777" w:rsidR="00415DC4" w:rsidRDefault="0006556A">
            <w:pPr>
              <w:widowControl w:val="0"/>
              <w:numPr>
                <w:ilvl w:val="0"/>
                <w:numId w:val="6"/>
              </w:numPr>
              <w:bidi/>
              <w:spacing w:after="0" w:line="240" w:lineRule="auto"/>
              <w:rPr>
                <w:rFonts w:ascii="Calibri" w:eastAsia="Calibri" w:hAnsi="Calibri" w:cs="Calibri"/>
                <w:color w:val="000000"/>
              </w:rPr>
            </w:pPr>
            <w:r>
              <w:rPr>
                <w:color w:val="4D4D4F"/>
                <w:rtl/>
                <w:lang w:bidi="ur"/>
              </w:rPr>
              <w:lastRenderedPageBreak/>
              <w:t xml:space="preserve">اسکول کی تنظیمِ نو کے لیے معاونت جو خصوصی طور پر ان سکولوں کے لیے معذور طلبہ سے نمٹتی ہے جن کی نشاندہی معذور طلبہ کے مسلسل کم کارکردگی والے سب گروپ کی بنا پر فوری مداخلت درکار کے طور پرکی گئی ہو </w:t>
            </w:r>
          </w:p>
        </w:tc>
        <w:tc>
          <w:tcPr>
            <w:tcW w:w="435" w:type="dxa"/>
            <w:tcMar>
              <w:top w:w="100" w:type="dxa"/>
              <w:left w:w="100" w:type="dxa"/>
              <w:bottom w:w="100" w:type="dxa"/>
              <w:right w:w="100" w:type="dxa"/>
            </w:tcMar>
          </w:tcPr>
          <w:p w14:paraId="61BEB3D2" w14:textId="77777777" w:rsidR="00415DC4" w:rsidRDefault="0006556A">
            <w:pPr>
              <w:widowControl w:val="0"/>
              <w:bidi/>
              <w:spacing w:after="0" w:line="240" w:lineRule="auto"/>
              <w:rPr>
                <w:color w:val="4D4D4F"/>
              </w:rPr>
            </w:pPr>
            <w:r>
              <w:rPr>
                <w:color w:val="4D4D4F"/>
              </w:rPr>
              <w:t>t.</w:t>
            </w:r>
          </w:p>
        </w:tc>
        <w:tc>
          <w:tcPr>
            <w:tcW w:w="2445" w:type="dxa"/>
            <w:tcMar>
              <w:top w:w="100" w:type="dxa"/>
              <w:left w:w="100" w:type="dxa"/>
              <w:bottom w:w="100" w:type="dxa"/>
              <w:right w:w="100" w:type="dxa"/>
            </w:tcMar>
          </w:tcPr>
          <w:p w14:paraId="6C056B1C" w14:textId="77777777" w:rsidR="00415DC4" w:rsidRDefault="0006556A">
            <w:pPr>
              <w:widowControl w:val="0"/>
              <w:bidi/>
              <w:spacing w:after="0" w:line="240" w:lineRule="auto"/>
              <w:jc w:val="right"/>
              <w:rPr>
                <w:color w:val="4D4D4F"/>
              </w:rPr>
            </w:pPr>
            <w:r>
              <w:rPr>
                <w:color w:val="4D4D4F"/>
                <w:rtl/>
                <w:lang w:bidi="ur"/>
              </w:rPr>
              <w:t>$1,865,726</w:t>
            </w:r>
          </w:p>
        </w:tc>
      </w:tr>
      <w:tr w:rsidR="00415DC4" w14:paraId="1B9E6047" w14:textId="77777777">
        <w:tc>
          <w:tcPr>
            <w:tcW w:w="3930" w:type="dxa"/>
            <w:tcMar>
              <w:top w:w="100" w:type="dxa"/>
              <w:left w:w="100" w:type="dxa"/>
              <w:bottom w:w="100" w:type="dxa"/>
              <w:right w:w="100" w:type="dxa"/>
            </w:tcMar>
          </w:tcPr>
          <w:p w14:paraId="1F772AB2" w14:textId="77777777" w:rsidR="00415DC4" w:rsidRDefault="0006556A">
            <w:pPr>
              <w:widowControl w:val="0"/>
              <w:pBdr>
                <w:top w:val="nil"/>
                <w:left w:val="nil"/>
                <w:bottom w:val="nil"/>
                <w:right w:val="nil"/>
                <w:between w:val="nil"/>
              </w:pBdr>
              <w:bidi/>
              <w:spacing w:after="0" w:line="240" w:lineRule="auto"/>
              <w:rPr>
                <w:color w:val="4D4D4F"/>
              </w:rPr>
            </w:pPr>
            <w:r>
              <w:rPr>
                <w:b/>
                <w:bCs/>
                <w:color w:val="4D4D4F"/>
                <w:rtl/>
                <w:lang w:bidi="ur"/>
              </w:rPr>
              <w:t>مقامی تعلیمی ایجنسی رسک پول</w:t>
            </w:r>
            <w:r>
              <w:rPr>
                <w:color w:val="4D4D4F"/>
                <w:rtl/>
                <w:lang w:bidi="ur"/>
              </w:rPr>
              <w:t xml:space="preserve"> </w:t>
            </w:r>
            <w:r>
              <w:rPr>
                <w:color w:val="4D4D4F"/>
              </w:rPr>
              <w:t>(20 U.S.C.1411(e)(3)(A</w:t>
            </w:r>
            <w:r>
              <w:rPr>
                <w:color w:val="4D4D4F"/>
                <w:rtl/>
                <w:lang w:bidi="ur"/>
              </w:rPr>
              <w:t xml:space="preserve">)): مقامی تعلیمی ایجنسیوں (بشمول ایک چارٹر اسکول جو مقامی تعلیمی ایجنسی یا مقامی تعلیمی ایجنسیوں کا ایک کنسورشیم ہے) کی مدد کرنے کے مقصد سے معذور بچوں کی ضروریات کو پورا کرنے کے لئے، ہر ریاست کے پاس ہر مالی سال کے لئے 20 یو ایس سی 1411 (ای) (2) (اے) کے تحت ریاستی سطح کی سرگرمیوں کے لئے ریاستی سطح کی سرگرمیوں کے لئے 10 فیصد رقم مختص کرنے کا اختیار ہوگا۔ 34 </w:t>
            </w:r>
            <w:r>
              <w:rPr>
                <w:color w:val="4D4D4F"/>
              </w:rPr>
              <w:t>CFR §300.704</w:t>
            </w:r>
            <w:r>
              <w:rPr>
                <w:color w:val="4D4D4F"/>
                <w:rtl/>
                <w:lang w:bidi="ur"/>
              </w:rPr>
              <w:t>.</w:t>
            </w:r>
          </w:p>
        </w:tc>
        <w:tc>
          <w:tcPr>
            <w:tcW w:w="3600" w:type="dxa"/>
            <w:shd w:val="clear" w:color="auto" w:fill="CCCCCC"/>
            <w:tcMar>
              <w:top w:w="100" w:type="dxa"/>
              <w:left w:w="100" w:type="dxa"/>
              <w:bottom w:w="100" w:type="dxa"/>
              <w:right w:w="100" w:type="dxa"/>
            </w:tcMar>
          </w:tcPr>
          <w:p w14:paraId="39ADB1A7" w14:textId="77777777" w:rsidR="00415DC4" w:rsidRDefault="00415DC4">
            <w:pPr>
              <w:widowControl w:val="0"/>
              <w:pBdr>
                <w:top w:val="nil"/>
                <w:left w:val="nil"/>
                <w:bottom w:val="nil"/>
                <w:right w:val="nil"/>
                <w:between w:val="nil"/>
              </w:pBdr>
              <w:spacing w:after="0" w:line="240" w:lineRule="auto"/>
              <w:rPr>
                <w:color w:val="4D4D4F"/>
              </w:rPr>
            </w:pPr>
          </w:p>
        </w:tc>
        <w:tc>
          <w:tcPr>
            <w:tcW w:w="435" w:type="dxa"/>
            <w:shd w:val="clear" w:color="auto" w:fill="CCCCCC"/>
            <w:tcMar>
              <w:top w:w="100" w:type="dxa"/>
              <w:left w:w="100" w:type="dxa"/>
              <w:bottom w:w="100" w:type="dxa"/>
              <w:right w:w="100" w:type="dxa"/>
            </w:tcMar>
          </w:tcPr>
          <w:p w14:paraId="578515FA" w14:textId="77777777" w:rsidR="00415DC4" w:rsidRDefault="00415DC4">
            <w:pPr>
              <w:widowControl w:val="0"/>
              <w:pBdr>
                <w:top w:val="nil"/>
                <w:left w:val="nil"/>
                <w:bottom w:val="nil"/>
                <w:right w:val="nil"/>
                <w:between w:val="nil"/>
              </w:pBdr>
              <w:spacing w:after="0" w:line="240" w:lineRule="auto"/>
              <w:rPr>
                <w:color w:val="4D4D4F"/>
              </w:rPr>
            </w:pPr>
          </w:p>
        </w:tc>
        <w:tc>
          <w:tcPr>
            <w:tcW w:w="2445" w:type="dxa"/>
            <w:shd w:val="clear" w:color="auto" w:fill="CCCCCC"/>
            <w:tcMar>
              <w:top w:w="100" w:type="dxa"/>
              <w:left w:w="100" w:type="dxa"/>
              <w:bottom w:w="100" w:type="dxa"/>
              <w:right w:w="100" w:type="dxa"/>
            </w:tcMar>
          </w:tcPr>
          <w:p w14:paraId="27A90E82" w14:textId="77777777" w:rsidR="00415DC4" w:rsidRDefault="00415DC4">
            <w:pPr>
              <w:widowControl w:val="0"/>
              <w:pBdr>
                <w:top w:val="nil"/>
                <w:left w:val="nil"/>
                <w:bottom w:val="nil"/>
                <w:right w:val="nil"/>
                <w:between w:val="nil"/>
              </w:pBdr>
              <w:spacing w:after="0" w:line="240" w:lineRule="auto"/>
              <w:rPr>
                <w:color w:val="4D4D4F"/>
              </w:rPr>
            </w:pPr>
          </w:p>
        </w:tc>
      </w:tr>
      <w:tr w:rsidR="00415DC4" w14:paraId="22ADED38" w14:textId="77777777">
        <w:trPr>
          <w:trHeight w:val="1860"/>
        </w:trPr>
        <w:tc>
          <w:tcPr>
            <w:tcW w:w="3930" w:type="dxa"/>
            <w:tcMar>
              <w:top w:w="100" w:type="dxa"/>
              <w:left w:w="100" w:type="dxa"/>
              <w:bottom w:w="100" w:type="dxa"/>
              <w:right w:w="100" w:type="dxa"/>
            </w:tcMar>
          </w:tcPr>
          <w:p w14:paraId="25E04F79"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ہائی کاسٹ فنڈ تشکیل دینے اور 20</w:t>
            </w:r>
            <w:r>
              <w:rPr>
                <w:color w:val="4D4D4F"/>
              </w:rPr>
              <w:t>U.S.C.1411(e)(3</w:t>
            </w:r>
            <w:r>
              <w:rPr>
                <w:color w:val="4D4D4F"/>
                <w:rtl/>
                <w:lang w:bidi="ur"/>
              </w:rPr>
              <w:t>) کے مطابق،  ہائی کاسٹ فنڈ کے پہلے اور اس کے بعد آنے والے مالی سالوں کے دوران اس سے مقامی تعلیمی ایجنسیوں کو ادائگیاں کرنے کے لیے۔</w:t>
            </w:r>
          </w:p>
        </w:tc>
        <w:tc>
          <w:tcPr>
            <w:tcW w:w="3600" w:type="dxa"/>
            <w:tcMar>
              <w:top w:w="100" w:type="dxa"/>
              <w:left w:w="100" w:type="dxa"/>
              <w:bottom w:w="100" w:type="dxa"/>
              <w:right w:w="100" w:type="dxa"/>
            </w:tcMar>
          </w:tcPr>
          <w:p w14:paraId="295599F8" w14:textId="77777777" w:rsidR="00415DC4" w:rsidRDefault="0006556A">
            <w:pPr>
              <w:widowControl w:val="0"/>
              <w:numPr>
                <w:ilvl w:val="0"/>
                <w:numId w:val="12"/>
              </w:numPr>
              <w:pBdr>
                <w:top w:val="nil"/>
                <w:left w:val="nil"/>
                <w:bottom w:val="nil"/>
                <w:right w:val="nil"/>
                <w:between w:val="nil"/>
              </w:pBdr>
              <w:bidi/>
              <w:spacing w:after="0" w:line="240" w:lineRule="auto"/>
              <w:rPr>
                <w:color w:val="4D4D4F"/>
              </w:rPr>
            </w:pPr>
            <w:r>
              <w:rPr>
                <w:color w:val="4D4D4F"/>
                <w:rtl/>
                <w:lang w:bidi="ur"/>
              </w:rPr>
              <w:t>پیچیدہ ضروریات کے حامل طلبہ سے منسلک اضافی لاگت کو پورا کرنے کے لیے ہائی کاسٹ پول</w:t>
            </w:r>
          </w:p>
        </w:tc>
        <w:tc>
          <w:tcPr>
            <w:tcW w:w="435" w:type="dxa"/>
            <w:tcMar>
              <w:top w:w="100" w:type="dxa"/>
              <w:left w:w="100" w:type="dxa"/>
              <w:bottom w:w="100" w:type="dxa"/>
              <w:right w:w="100" w:type="dxa"/>
            </w:tcMar>
          </w:tcPr>
          <w:p w14:paraId="54007DBC"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u.</w:t>
            </w:r>
          </w:p>
        </w:tc>
        <w:tc>
          <w:tcPr>
            <w:tcW w:w="2445" w:type="dxa"/>
            <w:tcMar>
              <w:top w:w="100" w:type="dxa"/>
              <w:left w:w="100" w:type="dxa"/>
              <w:bottom w:w="100" w:type="dxa"/>
              <w:right w:w="100" w:type="dxa"/>
            </w:tcMar>
          </w:tcPr>
          <w:p w14:paraId="31E46971"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ur"/>
              </w:rPr>
              <w:t>$4,400,000</w:t>
            </w:r>
          </w:p>
        </w:tc>
      </w:tr>
      <w:tr w:rsidR="00415DC4" w14:paraId="53D1C21F" w14:textId="77777777">
        <w:tc>
          <w:tcPr>
            <w:tcW w:w="3930" w:type="dxa"/>
            <w:tcMar>
              <w:top w:w="100" w:type="dxa"/>
              <w:left w:w="100" w:type="dxa"/>
              <w:bottom w:w="100" w:type="dxa"/>
              <w:right w:w="100" w:type="dxa"/>
            </w:tcMar>
          </w:tcPr>
          <w:p w14:paraId="057236AB" w14:textId="77777777" w:rsidR="00415DC4" w:rsidRDefault="0006556A">
            <w:pPr>
              <w:widowControl w:val="0"/>
              <w:bidi/>
              <w:spacing w:after="0" w:line="240" w:lineRule="auto"/>
              <w:rPr>
                <w:color w:val="4D4D4F"/>
              </w:rPr>
            </w:pPr>
            <w:r>
              <w:rPr>
                <w:color w:val="4D4D4F"/>
                <w:rtl/>
                <w:lang w:bidi="ur"/>
              </w:rPr>
              <w:t>20</w:t>
            </w:r>
            <w:r>
              <w:rPr>
                <w:color w:val="4D4D4F"/>
              </w:rPr>
              <w:t>U.S.C. 1411(e)(3)(B)(ii</w:t>
            </w:r>
            <w:r>
              <w:rPr>
                <w:color w:val="4D4D4F"/>
                <w:rtl/>
                <w:lang w:bidi="ur"/>
              </w:rPr>
              <w:t xml:space="preserve">) سے مشروط، مقامی تعلیمی ایجنسیوں سے نمائندگان کے ساتھ معاونت میں ریاست کی جانب سے تعین شدہ ریاست، کسی مقامی تعلیمی ایجنسی، یا مقامی تعلیمی ایجنسیوں کی کسی انجمن </w:t>
            </w:r>
          </w:p>
          <w:p w14:paraId="09A7EFE1" w14:textId="77777777" w:rsidR="00415DC4" w:rsidRDefault="0006556A">
            <w:pPr>
              <w:widowControl w:val="0"/>
              <w:bidi/>
              <w:spacing w:after="0" w:line="240" w:lineRule="auto"/>
              <w:rPr>
                <w:color w:val="4D4D4F"/>
              </w:rPr>
            </w:pPr>
            <w:r>
              <w:rPr>
                <w:color w:val="4D4D4F"/>
                <w:rtl/>
                <w:lang w:bidi="ur"/>
              </w:rPr>
              <w:t xml:space="preserve">کے مابین لاگت کی تقسیم کے جدید اور مؤثر طریقوں کی معاونت کے لیے ]رقم </w:t>
            </w:r>
            <w:r>
              <w:rPr>
                <w:color w:val="4D4D4F"/>
              </w:rPr>
              <w:t>LEA</w:t>
            </w:r>
            <w:r>
              <w:rPr>
                <w:color w:val="4D4D4F"/>
                <w:rtl/>
                <w:lang w:bidi="ur"/>
              </w:rPr>
              <w:t xml:space="preserve"> رسک پول کے لیے مختص رقم کے 5 فیصد سے زائد نہیں ہونی چاہیئے۔[۔</w:t>
            </w:r>
          </w:p>
        </w:tc>
        <w:tc>
          <w:tcPr>
            <w:tcW w:w="3600" w:type="dxa"/>
            <w:tcMar>
              <w:top w:w="100" w:type="dxa"/>
              <w:left w:w="100" w:type="dxa"/>
              <w:bottom w:w="100" w:type="dxa"/>
              <w:right w:w="100" w:type="dxa"/>
            </w:tcMar>
          </w:tcPr>
          <w:p w14:paraId="0AAA2F3B" w14:textId="77777777" w:rsidR="00415DC4" w:rsidRDefault="00415DC4">
            <w:pPr>
              <w:widowControl w:val="0"/>
              <w:spacing w:after="0" w:line="240" w:lineRule="auto"/>
              <w:rPr>
                <w:color w:val="4D4D4F"/>
              </w:rPr>
            </w:pPr>
          </w:p>
        </w:tc>
        <w:tc>
          <w:tcPr>
            <w:tcW w:w="435" w:type="dxa"/>
            <w:tcMar>
              <w:top w:w="100" w:type="dxa"/>
              <w:left w:w="100" w:type="dxa"/>
              <w:bottom w:w="100" w:type="dxa"/>
              <w:right w:w="100" w:type="dxa"/>
            </w:tcMar>
          </w:tcPr>
          <w:p w14:paraId="3DE2AF85" w14:textId="77777777" w:rsidR="00415DC4" w:rsidRDefault="0006556A">
            <w:pPr>
              <w:widowControl w:val="0"/>
              <w:bidi/>
              <w:spacing w:after="0" w:line="240" w:lineRule="auto"/>
              <w:rPr>
                <w:color w:val="4D4D4F"/>
              </w:rPr>
            </w:pPr>
            <w:r>
              <w:rPr>
                <w:color w:val="4D4D4F"/>
              </w:rPr>
              <w:t>v.</w:t>
            </w:r>
          </w:p>
        </w:tc>
        <w:tc>
          <w:tcPr>
            <w:tcW w:w="2445" w:type="dxa"/>
            <w:tcMar>
              <w:top w:w="100" w:type="dxa"/>
              <w:left w:w="100" w:type="dxa"/>
              <w:bottom w:w="100" w:type="dxa"/>
              <w:right w:w="100" w:type="dxa"/>
            </w:tcMar>
          </w:tcPr>
          <w:p w14:paraId="3C7446ED" w14:textId="77777777" w:rsidR="00415DC4" w:rsidRDefault="0006556A">
            <w:pPr>
              <w:widowControl w:val="0"/>
              <w:bidi/>
              <w:spacing w:after="0" w:line="240" w:lineRule="auto"/>
              <w:jc w:val="right"/>
              <w:rPr>
                <w:color w:val="4D4D4F"/>
              </w:rPr>
            </w:pPr>
            <w:r>
              <w:rPr>
                <w:color w:val="4D4D4F"/>
                <w:rtl/>
                <w:lang w:bidi="ur"/>
              </w:rPr>
              <w:t>$0</w:t>
            </w:r>
          </w:p>
        </w:tc>
      </w:tr>
      <w:tr w:rsidR="00415DC4" w14:paraId="0928A553" w14:textId="77777777">
        <w:tc>
          <w:tcPr>
            <w:tcW w:w="3930" w:type="dxa"/>
            <w:tcMar>
              <w:top w:w="100" w:type="dxa"/>
              <w:left w:w="100" w:type="dxa"/>
              <w:bottom w:w="100" w:type="dxa"/>
              <w:right w:w="100" w:type="dxa"/>
            </w:tcMar>
          </w:tcPr>
          <w:p w14:paraId="3110F8CD" w14:textId="77777777" w:rsidR="00415DC4" w:rsidRDefault="0006556A">
            <w:pPr>
              <w:widowControl w:val="0"/>
              <w:bidi/>
              <w:spacing w:after="0" w:line="240" w:lineRule="auto"/>
              <w:rPr>
                <w:color w:val="4D4D4F"/>
              </w:rPr>
            </w:pPr>
            <w:r>
              <w:rPr>
                <w:color w:val="4D4D4F"/>
                <w:rtl/>
                <w:lang w:bidi="ur"/>
              </w:rPr>
              <w:t xml:space="preserve">ہائی کاسٹ فنڈ کی تشکیل </w:t>
            </w:r>
            <w:r>
              <w:rPr>
                <w:color w:val="4D4D4F"/>
              </w:rPr>
              <w:t xml:space="preserve"> (20 U.S.C.1411(e)(3)(B)(i);34 CFR§300.704</w:t>
            </w:r>
            <w:r>
              <w:rPr>
                <w:color w:val="4D4D4F"/>
                <w:rtl/>
                <w:lang w:bidi="ur"/>
              </w:rPr>
              <w:t>)</w:t>
            </w:r>
          </w:p>
        </w:tc>
        <w:tc>
          <w:tcPr>
            <w:tcW w:w="3600" w:type="dxa"/>
            <w:shd w:val="clear" w:color="auto" w:fill="CCCCCC"/>
            <w:tcMar>
              <w:top w:w="100" w:type="dxa"/>
              <w:left w:w="100" w:type="dxa"/>
              <w:bottom w:w="100" w:type="dxa"/>
              <w:right w:w="100" w:type="dxa"/>
            </w:tcMar>
          </w:tcPr>
          <w:p w14:paraId="7325ACA2" w14:textId="77777777" w:rsidR="00415DC4" w:rsidRDefault="00415DC4">
            <w:pPr>
              <w:widowControl w:val="0"/>
              <w:spacing w:after="0" w:line="240" w:lineRule="auto"/>
              <w:rPr>
                <w:color w:val="4D4D4F"/>
              </w:rPr>
            </w:pPr>
          </w:p>
        </w:tc>
        <w:tc>
          <w:tcPr>
            <w:tcW w:w="435" w:type="dxa"/>
            <w:shd w:val="clear" w:color="auto" w:fill="CCCCCC"/>
            <w:tcMar>
              <w:top w:w="100" w:type="dxa"/>
              <w:left w:w="100" w:type="dxa"/>
              <w:bottom w:w="100" w:type="dxa"/>
              <w:right w:w="100" w:type="dxa"/>
            </w:tcMar>
          </w:tcPr>
          <w:p w14:paraId="075CACBB" w14:textId="77777777" w:rsidR="00415DC4" w:rsidRDefault="00415DC4">
            <w:pPr>
              <w:widowControl w:val="0"/>
              <w:spacing w:after="0" w:line="240" w:lineRule="auto"/>
              <w:rPr>
                <w:color w:val="4D4D4F"/>
              </w:rPr>
            </w:pPr>
          </w:p>
        </w:tc>
        <w:tc>
          <w:tcPr>
            <w:tcW w:w="2445" w:type="dxa"/>
            <w:shd w:val="clear" w:color="auto" w:fill="CCCCCC"/>
            <w:tcMar>
              <w:top w:w="100" w:type="dxa"/>
              <w:left w:w="100" w:type="dxa"/>
              <w:bottom w:w="100" w:type="dxa"/>
              <w:right w:w="100" w:type="dxa"/>
            </w:tcMar>
          </w:tcPr>
          <w:p w14:paraId="095B2860" w14:textId="77777777" w:rsidR="00415DC4" w:rsidRDefault="00415DC4">
            <w:pPr>
              <w:widowControl w:val="0"/>
              <w:spacing w:after="0" w:line="240" w:lineRule="auto"/>
              <w:rPr>
                <w:color w:val="4D4D4F"/>
              </w:rPr>
            </w:pPr>
          </w:p>
        </w:tc>
      </w:tr>
      <w:tr w:rsidR="00415DC4" w14:paraId="5122A846" w14:textId="77777777">
        <w:tc>
          <w:tcPr>
            <w:tcW w:w="3930" w:type="dxa"/>
            <w:tcMar>
              <w:top w:w="100" w:type="dxa"/>
              <w:left w:w="100" w:type="dxa"/>
              <w:bottom w:w="100" w:type="dxa"/>
              <w:right w:w="100" w:type="dxa"/>
            </w:tcMar>
          </w:tcPr>
          <w:p w14:paraId="775B0856" w14:textId="77777777" w:rsidR="00415DC4" w:rsidRDefault="0006556A">
            <w:pPr>
              <w:widowControl w:val="0"/>
              <w:bidi/>
              <w:spacing w:after="0" w:line="240" w:lineRule="auto"/>
              <w:rPr>
                <w:color w:val="4D4D4F"/>
              </w:rPr>
            </w:pPr>
            <w:r>
              <w:rPr>
                <w:color w:val="4D4D4F"/>
                <w:rtl/>
                <w:lang w:bidi="ur"/>
              </w:rPr>
              <w:t xml:space="preserve">ہائی کاسٹ فند کی تشکیل اور اس میں معاونت کے لیے کوئی ریاست 20 </w:t>
            </w:r>
            <w:r>
              <w:rPr>
                <w:color w:val="4D4D4F"/>
              </w:rPr>
              <w:t>U.S.C.1411(e)(3)(A)(i); 34 CFR §300.704</w:t>
            </w:r>
            <w:r>
              <w:rPr>
                <w:color w:val="4D4D4F"/>
                <w:rtl/>
                <w:lang w:bidi="ur"/>
              </w:rPr>
              <w:t xml:space="preserve"> کے تحت ریاست کی جانب سے مختص کیے گئے کسی فنڈ کو استعمال نہیں کر سکتی، لیکن </w:t>
            </w:r>
            <w:r>
              <w:rPr>
                <w:color w:val="4D4D4F"/>
              </w:rPr>
              <w:t>under 20 U.S.C. 1411(e)(1);34 CFR §300.704</w:t>
            </w:r>
            <w:r>
              <w:rPr>
                <w:color w:val="4D4D4F"/>
                <w:rtl/>
                <w:lang w:bidi="ur"/>
              </w:rPr>
              <w:t xml:space="preserve"> کے تحت ریاست کی جانب سے مختص کیے گئے فنڈز استعمال کر سکتی ہے۔</w:t>
            </w:r>
          </w:p>
        </w:tc>
        <w:tc>
          <w:tcPr>
            <w:tcW w:w="3600" w:type="dxa"/>
            <w:shd w:val="clear" w:color="auto" w:fill="CCCCCC"/>
            <w:tcMar>
              <w:top w:w="100" w:type="dxa"/>
              <w:left w:w="100" w:type="dxa"/>
              <w:bottom w:w="100" w:type="dxa"/>
              <w:right w:w="100" w:type="dxa"/>
            </w:tcMar>
          </w:tcPr>
          <w:p w14:paraId="7A5BCB5E" w14:textId="77777777" w:rsidR="00415DC4" w:rsidRDefault="00415DC4">
            <w:pPr>
              <w:widowControl w:val="0"/>
              <w:spacing w:after="0" w:line="240" w:lineRule="auto"/>
              <w:rPr>
                <w:color w:val="4D4D4F"/>
              </w:rPr>
            </w:pPr>
          </w:p>
        </w:tc>
        <w:tc>
          <w:tcPr>
            <w:tcW w:w="435" w:type="dxa"/>
            <w:shd w:val="clear" w:color="auto" w:fill="CCCCCC"/>
            <w:tcMar>
              <w:top w:w="100" w:type="dxa"/>
              <w:left w:w="100" w:type="dxa"/>
              <w:bottom w:w="100" w:type="dxa"/>
              <w:right w:w="100" w:type="dxa"/>
            </w:tcMar>
          </w:tcPr>
          <w:p w14:paraId="2E95C65E" w14:textId="77777777" w:rsidR="00415DC4" w:rsidRDefault="00415DC4">
            <w:pPr>
              <w:widowControl w:val="0"/>
              <w:spacing w:after="0" w:line="240" w:lineRule="auto"/>
              <w:rPr>
                <w:color w:val="4D4D4F"/>
              </w:rPr>
            </w:pPr>
          </w:p>
        </w:tc>
        <w:tc>
          <w:tcPr>
            <w:tcW w:w="2445" w:type="dxa"/>
            <w:shd w:val="clear" w:color="auto" w:fill="CCCCCC"/>
            <w:tcMar>
              <w:top w:w="100" w:type="dxa"/>
              <w:left w:w="100" w:type="dxa"/>
              <w:bottom w:w="100" w:type="dxa"/>
              <w:right w:w="100" w:type="dxa"/>
            </w:tcMar>
          </w:tcPr>
          <w:p w14:paraId="42E7C94F" w14:textId="77777777" w:rsidR="00415DC4" w:rsidRDefault="00415DC4">
            <w:pPr>
              <w:widowControl w:val="0"/>
              <w:spacing w:after="0" w:line="240" w:lineRule="auto"/>
              <w:rPr>
                <w:color w:val="4D4D4F"/>
              </w:rPr>
            </w:pPr>
          </w:p>
        </w:tc>
      </w:tr>
    </w:tbl>
    <w:p w14:paraId="399E77B2" w14:textId="77777777" w:rsidR="00415DC4" w:rsidRDefault="00415DC4">
      <w:pPr>
        <w:spacing w:after="0" w:line="240" w:lineRule="auto"/>
      </w:pPr>
      <w:bookmarkStart w:id="4" w:name="_6kpmys74hr9e" w:colFirst="0" w:colLast="0"/>
      <w:bookmarkEnd w:id="4"/>
    </w:p>
    <w:p w14:paraId="5AA92368" w14:textId="77777777" w:rsidR="00415DC4" w:rsidRDefault="00415DC4">
      <w:pPr>
        <w:spacing w:line="240" w:lineRule="auto"/>
      </w:pPr>
    </w:p>
    <w:p w14:paraId="25C0220D" w14:textId="77777777" w:rsidR="00415DC4" w:rsidRDefault="00415DC4">
      <w:pPr>
        <w:spacing w:line="240" w:lineRule="auto"/>
      </w:pPr>
    </w:p>
    <w:sectPr w:rsidR="00415DC4">
      <w:headerReference w:type="default" r:id="rId7"/>
      <w:footerReference w:type="default" r:id="rId8"/>
      <w:headerReference w:type="first" r:id="rId9"/>
      <w:footerReference w:type="first" r:id="rId10"/>
      <w:pgSz w:w="12240" w:h="15840"/>
      <w:pgMar w:top="1080" w:right="720" w:bottom="1080" w:left="720" w:header="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949DD" w14:textId="77777777" w:rsidR="00F62229" w:rsidRDefault="00F62229">
      <w:pPr>
        <w:spacing w:after="0" w:line="240" w:lineRule="auto"/>
      </w:pPr>
      <w:r>
        <w:separator/>
      </w:r>
    </w:p>
  </w:endnote>
  <w:endnote w:type="continuationSeparator" w:id="0">
    <w:p w14:paraId="156C550B" w14:textId="77777777" w:rsidR="00F62229" w:rsidRDefault="00F6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w:altName w:val="Calibri"/>
    <w:charset w:val="00"/>
    <w:family w:val="auto"/>
    <w:pitch w:val="variable"/>
    <w:sig w:usb0="A00000FF" w:usb1="4000205B" w:usb2="00000000" w:usb3="00000000" w:csb0="00000193" w:csb1="00000000"/>
  </w:font>
  <w:font w:name="Public Sans Medium">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61ABD" w14:textId="77777777" w:rsidR="00415DC4" w:rsidRDefault="0006556A">
    <w:pPr>
      <w:bidi/>
      <w:spacing w:after="0"/>
      <w:rPr>
        <w:b/>
        <w:sz w:val="16"/>
        <w:szCs w:val="16"/>
      </w:rPr>
    </w:pPr>
    <w:r>
      <w:rPr>
        <w:b/>
        <w:bCs/>
        <w:sz w:val="16"/>
        <w:szCs w:val="16"/>
        <w:rtl/>
        <w:lang w:bidi="ur"/>
      </w:rPr>
      <w:t>لوایزیانہ محکمۂ تعلیم</w:t>
    </w:r>
  </w:p>
  <w:p w14:paraId="2DECB248" w14:textId="77777777" w:rsidR="00415DC4" w:rsidRDefault="00000000">
    <w:pPr>
      <w:tabs>
        <w:tab w:val="right" w:pos="10800"/>
      </w:tabs>
      <w:bidi/>
      <w:spacing w:after="0"/>
    </w:pPr>
    <w:hyperlink r:id="rId1">
      <w:r w:rsidR="0006556A">
        <w:rPr>
          <w:color w:val="017F92"/>
          <w:sz w:val="16"/>
          <w:szCs w:val="16"/>
          <w:u w:val="single"/>
        </w:rPr>
        <w:t>doe.louisiana.gov</w:t>
      </w:r>
    </w:hyperlink>
    <w:r w:rsidR="0006556A">
      <w:rPr>
        <w:sz w:val="16"/>
        <w:szCs w:val="16"/>
      </w:rPr>
      <w:t xml:space="preserve">  |  P.O. Box 94064 •  Baton Rouge, LA •  70804-9064</w:t>
    </w:r>
    <w:r w:rsidR="0006556A">
      <w:rPr>
        <w:sz w:val="16"/>
        <w:szCs w:val="16"/>
      </w:rPr>
      <w:tab/>
      <w:t xml:space="preserve">Page </w:t>
    </w:r>
    <w:r w:rsidR="0006556A">
      <w:rPr>
        <w:sz w:val="16"/>
        <w:szCs w:val="16"/>
      </w:rPr>
      <w:fldChar w:fldCharType="begin"/>
    </w:r>
    <w:r w:rsidR="0006556A">
      <w:rPr>
        <w:sz w:val="16"/>
        <w:szCs w:val="16"/>
      </w:rPr>
      <w:instrText>PAGE</w:instrText>
    </w:r>
    <w:r w:rsidR="0006556A">
      <w:rPr>
        <w:sz w:val="16"/>
        <w:szCs w:val="16"/>
      </w:rPr>
      <w:fldChar w:fldCharType="separate"/>
    </w:r>
    <w:r w:rsidR="0006556A">
      <w:rPr>
        <w:noProof/>
        <w:sz w:val="16"/>
        <w:szCs w:val="16"/>
      </w:rPr>
      <w:t>6</w:t>
    </w:r>
    <w:r w:rsidR="0006556A">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C1AB1" w14:textId="77777777" w:rsidR="00415DC4" w:rsidRDefault="0006556A">
    <w:pPr>
      <w:bidi/>
      <w:spacing w:after="0"/>
      <w:rPr>
        <w:b/>
        <w:sz w:val="16"/>
        <w:szCs w:val="16"/>
      </w:rPr>
    </w:pPr>
    <w:r>
      <w:rPr>
        <w:b/>
        <w:bCs/>
        <w:sz w:val="16"/>
        <w:szCs w:val="16"/>
        <w:rtl/>
        <w:lang w:bidi="ur"/>
      </w:rPr>
      <w:t>لوایزیانہ محکمۂ تعلیم</w:t>
    </w:r>
  </w:p>
  <w:p w14:paraId="31E8FBBA" w14:textId="77777777" w:rsidR="00415DC4" w:rsidRDefault="00000000">
    <w:pPr>
      <w:tabs>
        <w:tab w:val="right" w:pos="10800"/>
      </w:tabs>
      <w:bidi/>
      <w:spacing w:after="0"/>
    </w:pPr>
    <w:hyperlink r:id="rId1">
      <w:r w:rsidR="0006556A">
        <w:rPr>
          <w:color w:val="017F92"/>
          <w:sz w:val="16"/>
          <w:szCs w:val="16"/>
          <w:u w:val="single"/>
        </w:rPr>
        <w:t>doe.louisiana.gov</w:t>
      </w:r>
    </w:hyperlink>
    <w:r w:rsidR="0006556A">
      <w:rPr>
        <w:sz w:val="16"/>
        <w:szCs w:val="16"/>
      </w:rPr>
      <w:t xml:space="preserve">  |  P.O. Box 94064 •  Baton Rouge, LA •  70804-9064</w:t>
    </w:r>
    <w:r w:rsidR="0006556A">
      <w:rPr>
        <w:sz w:val="16"/>
        <w:szCs w:val="16"/>
      </w:rPr>
      <w:tab/>
      <w:t xml:space="preserve">Page </w:t>
    </w:r>
    <w:r w:rsidR="0006556A">
      <w:rPr>
        <w:sz w:val="16"/>
        <w:szCs w:val="16"/>
      </w:rPr>
      <w:fldChar w:fldCharType="begin"/>
    </w:r>
    <w:r w:rsidR="0006556A">
      <w:rPr>
        <w:sz w:val="16"/>
        <w:szCs w:val="16"/>
      </w:rPr>
      <w:instrText>PAGE</w:instrText>
    </w:r>
    <w:r w:rsidR="0006556A">
      <w:rPr>
        <w:sz w:val="16"/>
        <w:szCs w:val="16"/>
      </w:rPr>
      <w:fldChar w:fldCharType="separate"/>
    </w:r>
    <w:r w:rsidR="0006556A">
      <w:rPr>
        <w:noProof/>
        <w:sz w:val="16"/>
        <w:szCs w:val="16"/>
      </w:rPr>
      <w:t>1</w:t>
    </w:r>
    <w:r w:rsidR="0006556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737E0" w14:textId="77777777" w:rsidR="00F62229" w:rsidRDefault="00F62229">
      <w:pPr>
        <w:spacing w:after="0" w:line="240" w:lineRule="auto"/>
      </w:pPr>
      <w:r>
        <w:separator/>
      </w:r>
    </w:p>
  </w:footnote>
  <w:footnote w:type="continuationSeparator" w:id="0">
    <w:p w14:paraId="32BA3785" w14:textId="77777777" w:rsidR="00F62229" w:rsidRDefault="00F6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651FB" w14:textId="77777777" w:rsidR="00415DC4" w:rsidRDefault="00000000">
    <w:pPr>
      <w:bidi/>
      <w:spacing w:after="0"/>
      <w:rPr>
        <w:sz w:val="12"/>
        <w:szCs w:val="12"/>
      </w:rPr>
    </w:pPr>
    <w:r>
      <w:pict w14:anchorId="1A902A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left:0;text-align:left;margin-left:0;margin-top:0;width:491.5pt;height:272.15pt;rotation:315;z-index:-251658240;mso-position-horizontal:center;mso-position-horizontal-relative:margin;mso-position-vertical:center;mso-position-vertical-relative:margin" fillcolor="#e8eaed" stroked="f">
          <v:textpath style="font-family:&quot;&amp;quot&quot;;font-size:1pt" string="Draft"/>
          <w10:wrap anchorx="margin" anchory="margin"/>
        </v:shape>
      </w:pict>
    </w:r>
    <w:r w:rsidR="0006556A">
      <w:rPr>
        <w:noProof/>
      </w:rPr>
      <w:drawing>
        <wp:anchor distT="0" distB="0" distL="0" distR="0" simplePos="0" relativeHeight="251656192" behindDoc="0" locked="0" layoutInCell="1" hidden="0" allowOverlap="1" wp14:anchorId="27BFE45D" wp14:editId="07A88C05">
          <wp:simplePos x="0" y="0"/>
          <wp:positionH relativeFrom="column">
            <wp:posOffset>-695324</wp:posOffset>
          </wp:positionH>
          <wp:positionV relativeFrom="paragraph">
            <wp:posOffset>0</wp:posOffset>
          </wp:positionV>
          <wp:extent cx="8020050" cy="300038"/>
          <wp:effectExtent l="0" t="0" r="0" b="0"/>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40310" r="40310"/>
                  <a:stretch>
                    <a:fillRect/>
                  </a:stretch>
                </pic:blipFill>
                <pic:spPr>
                  <a:xfrm>
                    <a:off x="0" y="0"/>
                    <a:ext cx="8020050" cy="3000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EB283" w14:textId="77777777" w:rsidR="00415DC4" w:rsidRDefault="00000000">
    <w:pPr>
      <w:bidi/>
      <w:spacing w:after="0"/>
      <w:rPr>
        <w:b/>
        <w:color w:val="4D4D4F"/>
      </w:rPr>
    </w:pPr>
    <w:r>
      <w:pict w14:anchorId="68105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left:0;text-align:left;margin-left:0;margin-top:0;width:491.5pt;height:272.15pt;rotation:315;z-index:-251657216;mso-position-horizontal:center;mso-position-horizontal-relative:margin;mso-position-vertical:center;mso-position-vertical-relative:margin" fillcolor="#e8eaed" stroked="f">
          <v:textpath style="font-family:&quot;&amp;quot&quot;;font-size:1pt" string="Draft"/>
          <w10:wrap anchorx="margin" anchory="margin"/>
        </v:shape>
      </w:pict>
    </w:r>
    <w:r w:rsidR="0006556A">
      <w:rPr>
        <w:noProof/>
      </w:rPr>
      <w:drawing>
        <wp:anchor distT="0" distB="0" distL="0" distR="0" simplePos="0" relativeHeight="251657216" behindDoc="0" locked="0" layoutInCell="1" hidden="0" allowOverlap="1" wp14:anchorId="55543B31" wp14:editId="1B6FB014">
          <wp:simplePos x="0" y="0"/>
          <wp:positionH relativeFrom="column">
            <wp:posOffset>-466724</wp:posOffset>
          </wp:positionH>
          <wp:positionV relativeFrom="paragraph">
            <wp:posOffset>0</wp:posOffset>
          </wp:positionV>
          <wp:extent cx="7791450" cy="1200012"/>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7" b="87"/>
                  <a:stretch>
                    <a:fillRect/>
                  </a:stretch>
                </pic:blipFill>
                <pic:spPr>
                  <a:xfrm>
                    <a:off x="0" y="0"/>
                    <a:ext cx="7791450" cy="1200012"/>
                  </a:xfrm>
                  <a:prstGeom prst="rect">
                    <a:avLst/>
                  </a:prstGeom>
                  <a:ln/>
                </pic:spPr>
              </pic:pic>
            </a:graphicData>
          </a:graphic>
        </wp:anchor>
      </w:drawing>
    </w:r>
  </w:p>
  <w:p w14:paraId="21D309B5" w14:textId="77777777" w:rsidR="00415DC4" w:rsidRDefault="0006556A">
    <w:pPr>
      <w:bidi/>
      <w:rPr>
        <w:b/>
      </w:rPr>
    </w:pPr>
    <w:r>
      <w:rPr>
        <w:b/>
        <w:bCs/>
        <w:color w:val="3C1053"/>
        <w:sz w:val="30"/>
        <w:szCs w:val="30"/>
      </w:rPr>
      <w:t>IDEA</w:t>
    </w:r>
    <w:r>
      <w:rPr>
        <w:b/>
        <w:bCs/>
        <w:color w:val="3C1053"/>
        <w:sz w:val="30"/>
        <w:szCs w:val="30"/>
        <w:rtl/>
        <w:lang w:bidi="ur"/>
      </w:rPr>
      <w:t xml:space="preserve"> برائے وفاقی مالی سال 24 </w:t>
    </w:r>
    <w:r>
      <w:rPr>
        <w:b/>
        <w:bCs/>
        <w:color w:val="3C1053"/>
        <w:sz w:val="30"/>
        <w:szCs w:val="30"/>
      </w:rPr>
      <w:t>IDEA</w:t>
    </w:r>
    <w:r>
      <w:rPr>
        <w:b/>
        <w:bCs/>
        <w:color w:val="3C1053"/>
        <w:sz w:val="30"/>
        <w:szCs w:val="30"/>
        <w:rtl/>
        <w:lang w:bidi="ur"/>
      </w:rPr>
      <w:t xml:space="preserve"> گرانٹ ایپلیکیشن سرگرمیاں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6728"/>
    <w:multiLevelType w:val="multilevel"/>
    <w:tmpl w:val="93941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F116F1"/>
    <w:multiLevelType w:val="multilevel"/>
    <w:tmpl w:val="B3545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1D39EC"/>
    <w:multiLevelType w:val="multilevel"/>
    <w:tmpl w:val="A1969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A86698"/>
    <w:multiLevelType w:val="multilevel"/>
    <w:tmpl w:val="2048D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E33E66"/>
    <w:multiLevelType w:val="multilevel"/>
    <w:tmpl w:val="1F22C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4D74B8"/>
    <w:multiLevelType w:val="multilevel"/>
    <w:tmpl w:val="F8AC9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393DAF"/>
    <w:multiLevelType w:val="multilevel"/>
    <w:tmpl w:val="4F501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732EAD"/>
    <w:multiLevelType w:val="multilevel"/>
    <w:tmpl w:val="E0F00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2C4EFD"/>
    <w:multiLevelType w:val="multilevel"/>
    <w:tmpl w:val="19A06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1962FC"/>
    <w:multiLevelType w:val="multilevel"/>
    <w:tmpl w:val="661A8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834A46"/>
    <w:multiLevelType w:val="multilevel"/>
    <w:tmpl w:val="34620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1632D5"/>
    <w:multiLevelType w:val="multilevel"/>
    <w:tmpl w:val="99A82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752B8A"/>
    <w:multiLevelType w:val="multilevel"/>
    <w:tmpl w:val="16B8F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1802736">
    <w:abstractNumId w:val="4"/>
  </w:num>
  <w:num w:numId="2" w16cid:durableId="1377848173">
    <w:abstractNumId w:val="6"/>
  </w:num>
  <w:num w:numId="3" w16cid:durableId="459031477">
    <w:abstractNumId w:val="7"/>
  </w:num>
  <w:num w:numId="4" w16cid:durableId="543641067">
    <w:abstractNumId w:val="11"/>
  </w:num>
  <w:num w:numId="5" w16cid:durableId="200022688">
    <w:abstractNumId w:val="10"/>
  </w:num>
  <w:num w:numId="6" w16cid:durableId="1883204697">
    <w:abstractNumId w:val="1"/>
  </w:num>
  <w:num w:numId="7" w16cid:durableId="1675453736">
    <w:abstractNumId w:val="5"/>
  </w:num>
  <w:num w:numId="8" w16cid:durableId="1781949012">
    <w:abstractNumId w:val="3"/>
  </w:num>
  <w:num w:numId="9" w16cid:durableId="775563304">
    <w:abstractNumId w:val="9"/>
  </w:num>
  <w:num w:numId="10" w16cid:durableId="1658146400">
    <w:abstractNumId w:val="8"/>
  </w:num>
  <w:num w:numId="11" w16cid:durableId="1269578172">
    <w:abstractNumId w:val="12"/>
  </w:num>
  <w:num w:numId="12" w16cid:durableId="755326372">
    <w:abstractNumId w:val="0"/>
  </w:num>
  <w:num w:numId="13" w16cid:durableId="919021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C4"/>
    <w:rsid w:val="0006556A"/>
    <w:rsid w:val="0007144D"/>
    <w:rsid w:val="00415DC4"/>
    <w:rsid w:val="00851A33"/>
    <w:rsid w:val="00F622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7F71E"/>
  <w15:docId w15:val="{082018DE-2992-4D65-9BC5-F997ECF7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ublic Sans" w:eastAsia="Public Sans" w:hAnsi="Public Sans" w:cs="Public Sans"/>
        <w:color w:val="4E4E51"/>
        <w:sz w:val="22"/>
        <w:szCs w:val="22"/>
        <w:lang w:val="en"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after="0"/>
      <w:ind w:left="-20"/>
      <w:outlineLvl w:val="0"/>
    </w:pPr>
    <w:rPr>
      <w:b/>
      <w:color w:val="3C1053"/>
      <w:sz w:val="48"/>
      <w:szCs w:val="48"/>
    </w:rPr>
  </w:style>
  <w:style w:type="paragraph" w:styleId="Heading2">
    <w:name w:val="heading 2"/>
    <w:basedOn w:val="Normal"/>
    <w:next w:val="Normal"/>
    <w:pPr>
      <w:keepNext/>
      <w:keepLines/>
      <w:spacing w:before="120" w:after="0"/>
      <w:outlineLvl w:val="1"/>
    </w:pPr>
    <w:rPr>
      <w:b/>
      <w:color w:val="017F92"/>
      <w:sz w:val="32"/>
      <w:szCs w:val="32"/>
    </w:rPr>
  </w:style>
  <w:style w:type="paragraph" w:styleId="Heading3">
    <w:name w:val="heading 3"/>
    <w:basedOn w:val="Normal"/>
    <w:next w:val="Normal"/>
    <w:pPr>
      <w:keepNext/>
      <w:keepLines/>
      <w:spacing w:before="200" w:after="0" w:line="240" w:lineRule="auto"/>
      <w:outlineLvl w:val="2"/>
    </w:pPr>
    <w:rPr>
      <w:b/>
      <w:sz w:val="24"/>
      <w:szCs w:val="24"/>
    </w:rPr>
  </w:style>
  <w:style w:type="paragraph" w:styleId="Heading4">
    <w:name w:val="heading 4"/>
    <w:basedOn w:val="Normal"/>
    <w:next w:val="Normal"/>
    <w:pPr>
      <w:keepNext/>
      <w:keepLines/>
      <w:spacing w:before="200" w:line="240" w:lineRule="auto"/>
      <w:outlineLvl w:val="3"/>
    </w:pPr>
    <w:rPr>
      <w:b/>
      <w:color w:val="4D4D4F"/>
      <w:sz w:val="20"/>
      <w:szCs w:val="20"/>
    </w:rPr>
  </w:style>
  <w:style w:type="paragraph" w:styleId="Heading5">
    <w:name w:val="heading 5"/>
    <w:basedOn w:val="Normal"/>
    <w:next w:val="Normal"/>
    <w:pPr>
      <w:keepNext/>
      <w:keepLines/>
      <w:outlineLvl w:val="4"/>
    </w:pPr>
  </w:style>
  <w:style w:type="paragraph" w:styleId="Heading6">
    <w:name w:val="heading 6"/>
    <w:basedOn w:val="Normal"/>
    <w:next w:val="Normal"/>
    <w:pPr>
      <w:keepNext/>
      <w:keepLines/>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after="0" w:line="240" w:lineRule="auto"/>
    </w:pPr>
    <w:rPr>
      <w:b/>
      <w:color w:val="3C1053"/>
      <w:sz w:val="56"/>
      <w:szCs w:val="56"/>
    </w:rPr>
  </w:style>
  <w:style w:type="paragraph" w:styleId="Subtitle">
    <w:name w:val="Subtitle"/>
    <w:basedOn w:val="Normal"/>
    <w:next w:val="Normal"/>
    <w:pPr>
      <w:keepNext/>
      <w:keepLines/>
    </w:pPr>
    <w:rPr>
      <w:rFonts w:ascii="Public Sans Medium" w:eastAsia="Public Sans Medium" w:hAnsi="Public Sans Medium" w:cs="Public Sans Medium"/>
      <w:color w:val="3C1053"/>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doe.louisiana.gov/&#8206;"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louisiana.gov/&#82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Jordan</dc:creator>
  <cp:lastModifiedBy>Carla Rocca</cp:lastModifiedBy>
  <cp:revision>3</cp:revision>
  <dcterms:created xsi:type="dcterms:W3CDTF">2024-03-13T13:30:00Z</dcterms:created>
  <dcterms:modified xsi:type="dcterms:W3CDTF">2024-04-26T13:23:00Z</dcterms:modified>
</cp:coreProperties>
</file>