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90" w:rsidRPr="00435895" w:rsidRDefault="00F07399" w:rsidP="003F66AD">
      <w:pPr>
        <w:spacing w:before="240" w:after="0" w:line="240" w:lineRule="auto"/>
        <w:rPr>
          <w:rFonts w:cs="Times New Roman"/>
          <w:b/>
          <w:color w:val="1F497D" w:themeColor="text2"/>
          <w:sz w:val="24"/>
          <w:szCs w:val="24"/>
        </w:rPr>
      </w:pPr>
      <w:r>
        <w:rPr>
          <w:rFonts w:cs="Times New Roman"/>
          <w:b/>
          <w:color w:val="1F497D" w:themeColor="text2"/>
          <w:sz w:val="24"/>
          <w:szCs w:val="24"/>
        </w:rPr>
        <w:t xml:space="preserve">Purpose of a </w:t>
      </w:r>
      <w:r w:rsidR="007D5B0C">
        <w:rPr>
          <w:rFonts w:cs="Times New Roman"/>
          <w:b/>
          <w:color w:val="1F497D" w:themeColor="text2"/>
          <w:sz w:val="24"/>
          <w:szCs w:val="24"/>
        </w:rPr>
        <w:t>Year-Long Scope and Sequence</w:t>
      </w:r>
      <w:r>
        <w:rPr>
          <w:rFonts w:cs="Times New Roman"/>
          <w:b/>
          <w:color w:val="1F497D" w:themeColor="text2"/>
          <w:sz w:val="24"/>
          <w:szCs w:val="24"/>
        </w:rPr>
        <w:t xml:space="preserve"> </w:t>
      </w:r>
    </w:p>
    <w:p w:rsidR="00F07399" w:rsidRDefault="00F07399" w:rsidP="00F073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D5B0C" w:rsidRPr="007D5B0C" w:rsidRDefault="007D5B0C" w:rsidP="007D5B0C">
      <w:pPr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7D5B0C">
        <w:t xml:space="preserve">Bundle and sequence standards to maximize learning based on student diagnosis </w:t>
      </w:r>
    </w:p>
    <w:p w:rsidR="007D5B0C" w:rsidRDefault="007D5B0C" w:rsidP="007D5B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D5B0C">
        <w:rPr>
          <w:rFonts w:cs="Times New Roman"/>
        </w:rPr>
        <w:t>Pace units appropriately across the year</w:t>
      </w:r>
    </w:p>
    <w:p w:rsidR="007D5B0C" w:rsidRDefault="007D5B0C" w:rsidP="007D5B0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1F497D" w:themeColor="text2"/>
          <w:sz w:val="24"/>
          <w:szCs w:val="24"/>
        </w:rPr>
      </w:pPr>
    </w:p>
    <w:p w:rsidR="00F07399" w:rsidRPr="007D5B0C" w:rsidRDefault="00F07399" w:rsidP="007D5B0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D5B0C">
        <w:rPr>
          <w:rFonts w:cs="Times New Roman"/>
          <w:b/>
          <w:color w:val="1F497D" w:themeColor="text2"/>
          <w:sz w:val="24"/>
          <w:szCs w:val="24"/>
        </w:rPr>
        <w:t xml:space="preserve">Elements of a </w:t>
      </w:r>
      <w:r w:rsidR="0020023C">
        <w:rPr>
          <w:rFonts w:cs="Times New Roman"/>
          <w:b/>
          <w:color w:val="1F497D" w:themeColor="text2"/>
          <w:sz w:val="24"/>
          <w:szCs w:val="24"/>
        </w:rPr>
        <w:t>Year-Long Scope and Sequence</w:t>
      </w:r>
    </w:p>
    <w:p w:rsidR="0020023C" w:rsidRDefault="0020023C" w:rsidP="009F037C">
      <w:pPr>
        <w:pStyle w:val="ListParagraph"/>
        <w:numPr>
          <w:ilvl w:val="0"/>
          <w:numId w:val="25"/>
        </w:numPr>
        <w:spacing w:before="240" w:after="0"/>
        <w:rPr>
          <w:rFonts w:cs="Times New Roman"/>
        </w:rPr>
      </w:pPr>
      <w:r w:rsidRPr="009F037C">
        <w:rPr>
          <w:rFonts w:cs="Times New Roman"/>
        </w:rPr>
        <w:t>Bundled and sequenced standards organized into units with suggest</w:t>
      </w:r>
      <w:r>
        <w:rPr>
          <w:rFonts w:cs="Times New Roman"/>
        </w:rPr>
        <w:t>ions for Mathematical Practices</w:t>
      </w:r>
    </w:p>
    <w:p w:rsidR="0020023C" w:rsidRPr="005F6792" w:rsidRDefault="009F037C" w:rsidP="005F6792">
      <w:pPr>
        <w:pStyle w:val="ListParagraph"/>
        <w:numPr>
          <w:ilvl w:val="0"/>
          <w:numId w:val="25"/>
        </w:numPr>
        <w:spacing w:before="240" w:after="0"/>
        <w:rPr>
          <w:rFonts w:cs="Times New Roman"/>
        </w:rPr>
      </w:pPr>
      <w:r w:rsidRPr="009F037C">
        <w:rPr>
          <w:rFonts w:cs="Times New Roman"/>
        </w:rPr>
        <w:t>Suggested pacing and time for each unit</w:t>
      </w:r>
    </w:p>
    <w:p w:rsidR="006A104B" w:rsidRPr="009F037C" w:rsidRDefault="006A104B" w:rsidP="009F037C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 w:rsidRPr="009F037C">
        <w:rPr>
          <w:b/>
          <w:color w:val="1F497D" w:themeColor="text2"/>
          <w:sz w:val="24"/>
          <w:szCs w:val="24"/>
        </w:rPr>
        <w:t xml:space="preserve">Steps to create a </w:t>
      </w:r>
      <w:r w:rsidR="005F6792">
        <w:rPr>
          <w:b/>
          <w:color w:val="1F497D" w:themeColor="text2"/>
          <w:sz w:val="24"/>
          <w:szCs w:val="24"/>
        </w:rPr>
        <w:t>y</w:t>
      </w:r>
      <w:r w:rsidR="0020023C">
        <w:rPr>
          <w:b/>
          <w:color w:val="1F497D" w:themeColor="text2"/>
          <w:sz w:val="24"/>
          <w:szCs w:val="24"/>
        </w:rPr>
        <w:t>ear-long scope and sequence</w:t>
      </w:r>
      <w:r w:rsidRPr="009F037C">
        <w:rPr>
          <w:b/>
          <w:color w:val="1F497D" w:themeColor="text2"/>
          <w:sz w:val="24"/>
          <w:szCs w:val="24"/>
        </w:rPr>
        <w:t xml:space="preserve"> </w:t>
      </w:r>
    </w:p>
    <w:p w:rsidR="00645390" w:rsidRPr="00435895" w:rsidRDefault="00F07399" w:rsidP="007175E2">
      <w:pPr>
        <w:autoSpaceDE w:val="0"/>
        <w:autoSpaceDN w:val="0"/>
        <w:adjustRightInd w:val="0"/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1: Understand </w:t>
      </w:r>
      <w:r w:rsidR="0020023C">
        <w:rPr>
          <w:b/>
          <w:color w:val="1F497D" w:themeColor="text2"/>
          <w:sz w:val="24"/>
          <w:szCs w:val="24"/>
        </w:rPr>
        <w:t>the standards</w:t>
      </w:r>
    </w:p>
    <w:p w:rsidR="00AE4191" w:rsidRDefault="009F037C" w:rsidP="00F07399">
      <w:pPr>
        <w:spacing w:before="240" w:after="0" w:line="240" w:lineRule="auto"/>
      </w:pPr>
      <w:bookmarkStart w:id="0" w:name="SelectingTexts"/>
      <w:bookmarkEnd w:id="0"/>
      <w:r>
        <w:t xml:space="preserve">Review the resources and tools on the </w:t>
      </w:r>
      <w:hyperlink r:id="rId9" w:history="1">
        <w:r>
          <w:rPr>
            <w:rStyle w:val="Hyperlink"/>
          </w:rPr>
          <w:t>s</w:t>
        </w:r>
        <w:r w:rsidRPr="0062426A">
          <w:rPr>
            <w:rStyle w:val="Hyperlink"/>
          </w:rPr>
          <w:t>tandards</w:t>
        </w:r>
      </w:hyperlink>
      <w:r>
        <w:t xml:space="preserve"> page in the teacher toolbox</w:t>
      </w:r>
      <w:r w:rsidR="00AE4191" w:rsidRPr="00AE4191">
        <w:t>.</w:t>
      </w:r>
    </w:p>
    <w:p w:rsidR="00F07399" w:rsidRDefault="00F07399" w:rsidP="00F07399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2: </w:t>
      </w:r>
      <w:r w:rsidR="009F037C">
        <w:rPr>
          <w:b/>
          <w:color w:val="1F497D" w:themeColor="text2"/>
          <w:sz w:val="24"/>
          <w:szCs w:val="24"/>
        </w:rPr>
        <w:t xml:space="preserve">Identify end-of-year grade-level student expectations and assessments  </w:t>
      </w:r>
    </w:p>
    <w:p w:rsidR="009F037C" w:rsidRPr="0062426A" w:rsidRDefault="009F037C" w:rsidP="009F037C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t xml:space="preserve">Review the resources and tools on the </w:t>
      </w:r>
      <w:hyperlink r:id="rId10" w:history="1">
        <w:r w:rsidRPr="0062426A">
          <w:rPr>
            <w:rStyle w:val="Hyperlink"/>
          </w:rPr>
          <w:t>end-of-year assessments</w:t>
        </w:r>
      </w:hyperlink>
      <w:r>
        <w:t xml:space="preserve"> page in the teacher toolbox</w:t>
      </w:r>
      <w:r w:rsidRPr="00F07399">
        <w:t>.</w:t>
      </w:r>
    </w:p>
    <w:p w:rsidR="00F07399" w:rsidRDefault="00F07399" w:rsidP="00F07399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3: </w:t>
      </w:r>
      <w:r w:rsidR="009F037C">
        <w:rPr>
          <w:b/>
          <w:color w:val="1F497D" w:themeColor="text2"/>
          <w:sz w:val="24"/>
          <w:szCs w:val="24"/>
        </w:rPr>
        <w:t xml:space="preserve">Bundle and sequence standards </w:t>
      </w:r>
      <w:r w:rsidR="00AE4191">
        <w:rPr>
          <w:b/>
          <w:color w:val="1F497D" w:themeColor="text2"/>
          <w:sz w:val="24"/>
          <w:szCs w:val="24"/>
        </w:rPr>
        <w:t xml:space="preserve"> </w:t>
      </w:r>
      <w:r>
        <w:rPr>
          <w:b/>
          <w:color w:val="1F497D" w:themeColor="text2"/>
          <w:sz w:val="24"/>
          <w:szCs w:val="24"/>
        </w:rPr>
        <w:t xml:space="preserve"> </w:t>
      </w:r>
    </w:p>
    <w:p w:rsidR="00F07399" w:rsidRPr="00F07399" w:rsidRDefault="00F07399" w:rsidP="00F07399">
      <w:pPr>
        <w:spacing w:after="0" w:line="240" w:lineRule="auto"/>
      </w:pPr>
    </w:p>
    <w:p w:rsidR="007D5B0C" w:rsidRPr="007D5B0C" w:rsidRDefault="007D5B0C" w:rsidP="009F037C">
      <w:pPr>
        <w:spacing w:after="0" w:line="240" w:lineRule="auto"/>
      </w:pPr>
      <w:r w:rsidRPr="007D5B0C">
        <w:t>Ensure students engage with the major content at least 75% of the school year. Use the </w:t>
      </w:r>
      <w:hyperlink r:id="rId11" w:history="1">
        <w:r w:rsidRPr="007D5B0C">
          <w:rPr>
            <w:rStyle w:val="Hyperlink"/>
            <w:b/>
            <w:bCs/>
          </w:rPr>
          <w:t xml:space="preserve">Publishers’ Criteria for the CCSSM for </w:t>
        </w:r>
        <w:r w:rsidR="009F037C">
          <w:rPr>
            <w:rStyle w:val="Hyperlink"/>
            <w:b/>
            <w:bCs/>
          </w:rPr>
          <w:t>g</w:t>
        </w:r>
        <w:r w:rsidRPr="007D5B0C">
          <w:rPr>
            <w:rStyle w:val="Hyperlink"/>
            <w:b/>
            <w:bCs/>
          </w:rPr>
          <w:t>rades K-8</w:t>
        </w:r>
      </w:hyperlink>
      <w:r w:rsidR="009B79C5">
        <w:rPr>
          <w:rStyle w:val="Hyperlink"/>
          <w:b/>
          <w:bCs/>
        </w:rPr>
        <w:t>,</w:t>
      </w:r>
      <w:bookmarkStart w:id="1" w:name="_GoBack"/>
      <w:bookmarkEnd w:id="1"/>
      <w:r w:rsidR="009B79C5">
        <w:t xml:space="preserve"> </w:t>
      </w:r>
      <w:hyperlink r:id="rId12" w:history="1">
        <w:r w:rsidR="009B79C5" w:rsidRPr="009B79C5">
          <w:rPr>
            <w:rStyle w:val="Hyperlink"/>
            <w:b/>
          </w:rPr>
          <w:t>Publishers’ Criteria for the CCSSM for High School</w:t>
        </w:r>
      </w:hyperlink>
      <w:r w:rsidR="009B79C5">
        <w:t xml:space="preserve"> </w:t>
      </w:r>
      <w:r w:rsidRPr="007D5B0C">
        <w:t>and the </w:t>
      </w:r>
      <w:hyperlink r:id="rId13" w:history="1">
        <w:r w:rsidRPr="007D5B0C">
          <w:rPr>
            <w:rStyle w:val="Hyperlink"/>
            <w:b/>
            <w:bCs/>
          </w:rPr>
          <w:t>PARCC Model Content Frameworks</w:t>
        </w:r>
      </w:hyperlink>
      <w:r w:rsidRPr="007D5B0C">
        <w:t> as guides.</w:t>
      </w:r>
    </w:p>
    <w:p w:rsidR="009F037C" w:rsidRDefault="009F037C" w:rsidP="009F037C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4: Align the Mathematical Practices </w:t>
      </w:r>
    </w:p>
    <w:p w:rsidR="009F037C" w:rsidRPr="009F037C" w:rsidRDefault="009F037C" w:rsidP="009F037C">
      <w:pPr>
        <w:spacing w:before="240" w:after="0" w:line="240" w:lineRule="auto"/>
        <w:rPr>
          <w:b/>
          <w:color w:val="1F497D" w:themeColor="text2"/>
          <w:sz w:val="24"/>
          <w:szCs w:val="24"/>
        </w:rPr>
        <w:sectPr w:rsidR="009F037C" w:rsidRPr="009F037C" w:rsidSect="003F66AD">
          <w:headerReference w:type="default" r:id="rId14"/>
          <w:footerReference w:type="default" r:id="rId15"/>
          <w:pgSz w:w="12240" w:h="15840" w:code="1"/>
          <w:pgMar w:top="720" w:right="990" w:bottom="720" w:left="1080" w:header="720" w:footer="540" w:gutter="0"/>
          <w:cols w:space="720"/>
          <w:docGrid w:linePitch="360"/>
        </w:sectPr>
      </w:pPr>
      <w:r w:rsidRPr="007D5B0C">
        <w:t>Identify possible </w:t>
      </w:r>
      <w:hyperlink r:id="rId16" w:history="1">
        <w:r w:rsidRPr="007D5B0C">
          <w:rPr>
            <w:rStyle w:val="Hyperlink"/>
            <w:b/>
            <w:bCs/>
          </w:rPr>
          <w:t>Standards for Mathematical Practice</w:t>
        </w:r>
      </w:hyperlink>
      <w:r w:rsidRPr="007D5B0C">
        <w:t> in each unit. </w:t>
      </w:r>
      <w:hyperlink r:id="rId17" w:history="1">
        <w:r w:rsidRPr="007D5B0C">
          <w:rPr>
            <w:rStyle w:val="Hyperlink"/>
            <w:b/>
            <w:bCs/>
          </w:rPr>
          <w:t>PARCC Model Content Frameworks</w:t>
        </w:r>
      </w:hyperlink>
      <w:r w:rsidRPr="007D5B0C">
        <w:t> provides guidance</w:t>
      </w:r>
      <w:r>
        <w:t xml:space="preserve"> to support this alignment</w:t>
      </w:r>
      <w:r w:rsidRPr="007D5B0C">
        <w:t>.</w:t>
      </w:r>
    </w:p>
    <w:p w:rsidR="00645390" w:rsidRPr="00435895" w:rsidRDefault="00645390" w:rsidP="007175E2">
      <w:pPr>
        <w:spacing w:after="0" w:line="240" w:lineRule="auto"/>
        <w:rPr>
          <w:color w:val="1F497D" w:themeColor="text2"/>
        </w:rPr>
      </w:pPr>
    </w:p>
    <w:sectPr w:rsidR="00645390" w:rsidRPr="00435895" w:rsidSect="003F66AD">
      <w:headerReference w:type="default" r:id="rId18"/>
      <w:pgSz w:w="12240" w:h="15840" w:code="1"/>
      <w:pgMar w:top="1170" w:right="1080" w:bottom="1440" w:left="108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A5" w:rsidRDefault="004D49A5" w:rsidP="00DB0209">
      <w:pPr>
        <w:spacing w:after="0" w:line="240" w:lineRule="auto"/>
      </w:pPr>
      <w:r>
        <w:separator/>
      </w:r>
    </w:p>
  </w:endnote>
  <w:endnote w:type="continuationSeparator" w:id="0">
    <w:p w:rsidR="004D49A5" w:rsidRDefault="004D49A5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92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D18" w:rsidRDefault="00EE1D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D18" w:rsidRDefault="00EE1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A5" w:rsidRDefault="004D49A5" w:rsidP="00DB0209">
      <w:pPr>
        <w:spacing w:after="0" w:line="240" w:lineRule="auto"/>
      </w:pPr>
      <w:r>
        <w:separator/>
      </w:r>
    </w:p>
  </w:footnote>
  <w:footnote w:type="continuationSeparator" w:id="0">
    <w:p w:rsidR="004D49A5" w:rsidRDefault="004D49A5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18" w:rsidRDefault="00EE1D18" w:rsidP="000C340D">
    <w:pPr>
      <w:pStyle w:val="Header"/>
      <w:ind w:right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F420B" wp14:editId="6425587D">
              <wp:simplePos x="0" y="0"/>
              <wp:positionH relativeFrom="column">
                <wp:posOffset>1838324</wp:posOffset>
              </wp:positionH>
              <wp:positionV relativeFrom="paragraph">
                <wp:posOffset>104775</wp:posOffset>
              </wp:positionV>
              <wp:extent cx="477202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D18" w:rsidRPr="00D96909" w:rsidRDefault="00F07399" w:rsidP="0064539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Step</w:t>
                          </w:r>
                          <w:r w:rsidR="00AE4191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to Creat</w:t>
                          </w:r>
                          <w:r w:rsidR="00AE4191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a </w:t>
                          </w:r>
                          <w:r w:rsidR="007D5B0C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Year-Long Scope and Sequence</w:t>
                          </w:r>
                          <w:r w:rsidR="00EE1D18" w:rsidRPr="00D96909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:</w:t>
                          </w:r>
                        </w:p>
                        <w:p w:rsidR="00EE1D18" w:rsidRPr="00820945" w:rsidRDefault="00AE4191" w:rsidP="0064539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Mathematics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75pt;margin-top:8.25pt;width:37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" fillcolor="white [3201]" stroked="f" strokeweight=".5pt">
              <v:textbox>
                <w:txbxContent>
                  <w:p w:rsidR="00EE1D18" w:rsidRPr="00D96909" w:rsidRDefault="00F07399" w:rsidP="00645390">
                    <w:pPr>
                      <w:spacing w:after="0" w:line="240" w:lineRule="auto"/>
                      <w:jc w:val="right"/>
                      <w:rPr>
                        <w:b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Step</w:t>
                    </w:r>
                    <w:r w:rsidR="00AE4191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s</w:t>
                    </w:r>
                    <w:r>
                      <w:rPr>
                        <w:b/>
                        <w:color w:val="1F497D" w:themeColor="text2"/>
                        <w:sz w:val="28"/>
                        <w:szCs w:val="28"/>
                      </w:rPr>
                      <w:t xml:space="preserve"> to Creat</w:t>
                    </w:r>
                    <w:r w:rsidR="00AE4191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color w:val="1F497D" w:themeColor="text2"/>
                        <w:sz w:val="28"/>
                        <w:szCs w:val="28"/>
                      </w:rPr>
                      <w:t xml:space="preserve"> a </w:t>
                    </w:r>
                    <w:r w:rsidR="007D5B0C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Year-Long Scope and Sequence</w:t>
                    </w:r>
                    <w:r w:rsidR="00EE1D18" w:rsidRPr="00D96909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:</w:t>
                    </w:r>
                  </w:p>
                  <w:p w:rsidR="00EE1D18" w:rsidRPr="00820945" w:rsidRDefault="00AE4191" w:rsidP="00645390">
                    <w:pPr>
                      <w:spacing w:after="0" w:line="240" w:lineRule="auto"/>
                      <w:jc w:val="right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Mathematics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C0B1F8" wp14:editId="0678398F">
          <wp:extent cx="6534150" cy="7010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90" w:rsidRDefault="00645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10E"/>
    <w:multiLevelType w:val="multilevel"/>
    <w:tmpl w:val="DA34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361FB"/>
    <w:multiLevelType w:val="multilevel"/>
    <w:tmpl w:val="4984C5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9181647"/>
    <w:multiLevelType w:val="hybridMultilevel"/>
    <w:tmpl w:val="9FC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87F8A"/>
    <w:multiLevelType w:val="multilevel"/>
    <w:tmpl w:val="2FC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11940"/>
    <w:multiLevelType w:val="multilevel"/>
    <w:tmpl w:val="A2D0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B34B01"/>
    <w:multiLevelType w:val="hybridMultilevel"/>
    <w:tmpl w:val="5414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241A1"/>
    <w:multiLevelType w:val="multilevel"/>
    <w:tmpl w:val="226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27877"/>
    <w:multiLevelType w:val="hybridMultilevel"/>
    <w:tmpl w:val="6C1A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102A8"/>
    <w:multiLevelType w:val="hybridMultilevel"/>
    <w:tmpl w:val="08E6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93A03"/>
    <w:multiLevelType w:val="hybridMultilevel"/>
    <w:tmpl w:val="C0143436"/>
    <w:lvl w:ilvl="0" w:tplc="596E2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256EF"/>
    <w:multiLevelType w:val="hybridMultilevel"/>
    <w:tmpl w:val="1A0E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97733"/>
    <w:multiLevelType w:val="hybridMultilevel"/>
    <w:tmpl w:val="5458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D5909"/>
    <w:multiLevelType w:val="hybridMultilevel"/>
    <w:tmpl w:val="88A2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1A08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AC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0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8E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46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8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355CB5"/>
    <w:multiLevelType w:val="multilevel"/>
    <w:tmpl w:val="C2B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71056"/>
    <w:multiLevelType w:val="multilevel"/>
    <w:tmpl w:val="C1B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5C27D4"/>
    <w:multiLevelType w:val="hybridMultilevel"/>
    <w:tmpl w:val="7DE68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0146"/>
    <w:multiLevelType w:val="hybridMultilevel"/>
    <w:tmpl w:val="1238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C76C5"/>
    <w:multiLevelType w:val="multilevel"/>
    <w:tmpl w:val="6E1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42442F"/>
    <w:multiLevelType w:val="multilevel"/>
    <w:tmpl w:val="FCD8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B2478"/>
    <w:multiLevelType w:val="hybridMultilevel"/>
    <w:tmpl w:val="F46C6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67852"/>
    <w:multiLevelType w:val="hybridMultilevel"/>
    <w:tmpl w:val="D30E717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242D0"/>
    <w:multiLevelType w:val="multilevel"/>
    <w:tmpl w:val="EE7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0F3CE9"/>
    <w:multiLevelType w:val="hybridMultilevel"/>
    <w:tmpl w:val="CB38D99E"/>
    <w:lvl w:ilvl="0" w:tplc="FD263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75F0D"/>
    <w:multiLevelType w:val="multilevel"/>
    <w:tmpl w:val="964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270FA7"/>
    <w:multiLevelType w:val="hybridMultilevel"/>
    <w:tmpl w:val="D0364522"/>
    <w:lvl w:ilvl="0" w:tplc="92264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865E3"/>
    <w:multiLevelType w:val="hybridMultilevel"/>
    <w:tmpl w:val="60366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E2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2F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27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A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2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07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D1E7117"/>
    <w:multiLevelType w:val="hybridMultilevel"/>
    <w:tmpl w:val="7960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0806E5"/>
    <w:multiLevelType w:val="hybridMultilevel"/>
    <w:tmpl w:val="40380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9F3CF1"/>
    <w:multiLevelType w:val="hybridMultilevel"/>
    <w:tmpl w:val="3182C260"/>
    <w:lvl w:ilvl="0" w:tplc="8E503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156C6"/>
    <w:multiLevelType w:val="multilevel"/>
    <w:tmpl w:val="694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013BFF"/>
    <w:multiLevelType w:val="multilevel"/>
    <w:tmpl w:val="CC4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03449"/>
    <w:multiLevelType w:val="hybridMultilevel"/>
    <w:tmpl w:val="F38C0D06"/>
    <w:lvl w:ilvl="0" w:tplc="60CE2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8"/>
  </w:num>
  <w:num w:numId="5">
    <w:abstractNumId w:val="7"/>
  </w:num>
  <w:num w:numId="6">
    <w:abstractNumId w:val="24"/>
  </w:num>
  <w:num w:numId="7">
    <w:abstractNumId w:val="20"/>
  </w:num>
  <w:num w:numId="8">
    <w:abstractNumId w:val="19"/>
  </w:num>
  <w:num w:numId="9">
    <w:abstractNumId w:val="12"/>
  </w:num>
  <w:num w:numId="10">
    <w:abstractNumId w:val="25"/>
  </w:num>
  <w:num w:numId="11">
    <w:abstractNumId w:val="31"/>
  </w:num>
  <w:num w:numId="12">
    <w:abstractNumId w:val="2"/>
  </w:num>
  <w:num w:numId="13">
    <w:abstractNumId w:val="8"/>
  </w:num>
  <w:num w:numId="14">
    <w:abstractNumId w:val="22"/>
  </w:num>
  <w:num w:numId="15">
    <w:abstractNumId w:val="11"/>
  </w:num>
  <w:num w:numId="16">
    <w:abstractNumId w:val="10"/>
  </w:num>
  <w:num w:numId="17">
    <w:abstractNumId w:val="27"/>
  </w:num>
  <w:num w:numId="18">
    <w:abstractNumId w:val="5"/>
  </w:num>
  <w:num w:numId="19">
    <w:abstractNumId w:val="26"/>
  </w:num>
  <w:num w:numId="20">
    <w:abstractNumId w:val="29"/>
  </w:num>
  <w:num w:numId="21">
    <w:abstractNumId w:val="17"/>
  </w:num>
  <w:num w:numId="22">
    <w:abstractNumId w:val="4"/>
  </w:num>
  <w:num w:numId="23">
    <w:abstractNumId w:val="14"/>
  </w:num>
  <w:num w:numId="24">
    <w:abstractNumId w:val="3"/>
  </w:num>
  <w:num w:numId="25">
    <w:abstractNumId w:val="21"/>
  </w:num>
  <w:num w:numId="26">
    <w:abstractNumId w:val="23"/>
  </w:num>
  <w:num w:numId="27">
    <w:abstractNumId w:val="18"/>
  </w:num>
  <w:num w:numId="28">
    <w:abstractNumId w:val="0"/>
  </w:num>
  <w:num w:numId="29">
    <w:abstractNumId w:val="13"/>
  </w:num>
  <w:num w:numId="30">
    <w:abstractNumId w:val="6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268DB"/>
    <w:rsid w:val="00073CAC"/>
    <w:rsid w:val="00077754"/>
    <w:rsid w:val="000C340D"/>
    <w:rsid w:val="00163DE8"/>
    <w:rsid w:val="001D2A3A"/>
    <w:rsid w:val="001F08D3"/>
    <w:rsid w:val="001F4DF9"/>
    <w:rsid w:val="0020023C"/>
    <w:rsid w:val="00220386"/>
    <w:rsid w:val="0025423B"/>
    <w:rsid w:val="002623F6"/>
    <w:rsid w:val="002650B2"/>
    <w:rsid w:val="0027264F"/>
    <w:rsid w:val="002B44EF"/>
    <w:rsid w:val="002E11C8"/>
    <w:rsid w:val="003137C0"/>
    <w:rsid w:val="00324A03"/>
    <w:rsid w:val="003275A4"/>
    <w:rsid w:val="00381EBB"/>
    <w:rsid w:val="003C40D0"/>
    <w:rsid w:val="003F66AD"/>
    <w:rsid w:val="00435895"/>
    <w:rsid w:val="00477547"/>
    <w:rsid w:val="004D49A5"/>
    <w:rsid w:val="005219A4"/>
    <w:rsid w:val="00534229"/>
    <w:rsid w:val="00536DF1"/>
    <w:rsid w:val="005449FF"/>
    <w:rsid w:val="00591D1D"/>
    <w:rsid w:val="005F6792"/>
    <w:rsid w:val="0062088A"/>
    <w:rsid w:val="00645390"/>
    <w:rsid w:val="00691625"/>
    <w:rsid w:val="0069374D"/>
    <w:rsid w:val="00694ADC"/>
    <w:rsid w:val="00697826"/>
    <w:rsid w:val="006A104B"/>
    <w:rsid w:val="006B40FD"/>
    <w:rsid w:val="007175E2"/>
    <w:rsid w:val="00730E1F"/>
    <w:rsid w:val="00744732"/>
    <w:rsid w:val="007779FA"/>
    <w:rsid w:val="00796608"/>
    <w:rsid w:val="007B5428"/>
    <w:rsid w:val="007D5B0C"/>
    <w:rsid w:val="00801F18"/>
    <w:rsid w:val="00820945"/>
    <w:rsid w:val="00824C45"/>
    <w:rsid w:val="00843A91"/>
    <w:rsid w:val="008A1B8B"/>
    <w:rsid w:val="008A249A"/>
    <w:rsid w:val="008C267A"/>
    <w:rsid w:val="008C65AD"/>
    <w:rsid w:val="008E3FFC"/>
    <w:rsid w:val="00910B10"/>
    <w:rsid w:val="00983590"/>
    <w:rsid w:val="009B79C5"/>
    <w:rsid w:val="009C4164"/>
    <w:rsid w:val="009F037C"/>
    <w:rsid w:val="00AA5314"/>
    <w:rsid w:val="00AD08C7"/>
    <w:rsid w:val="00AE4191"/>
    <w:rsid w:val="00AF3938"/>
    <w:rsid w:val="00B03A37"/>
    <w:rsid w:val="00B26377"/>
    <w:rsid w:val="00B27040"/>
    <w:rsid w:val="00B51B45"/>
    <w:rsid w:val="00B93B77"/>
    <w:rsid w:val="00BE62E0"/>
    <w:rsid w:val="00BF6F5A"/>
    <w:rsid w:val="00C62D99"/>
    <w:rsid w:val="00C65647"/>
    <w:rsid w:val="00C748A1"/>
    <w:rsid w:val="00CE0DCD"/>
    <w:rsid w:val="00D401C3"/>
    <w:rsid w:val="00D54E8B"/>
    <w:rsid w:val="00D8551F"/>
    <w:rsid w:val="00D96909"/>
    <w:rsid w:val="00DB0209"/>
    <w:rsid w:val="00DF60C2"/>
    <w:rsid w:val="00E0773A"/>
    <w:rsid w:val="00E65A6B"/>
    <w:rsid w:val="00E73D7A"/>
    <w:rsid w:val="00EE1D18"/>
    <w:rsid w:val="00EE4B29"/>
    <w:rsid w:val="00F07399"/>
    <w:rsid w:val="00F07859"/>
    <w:rsid w:val="00F117F0"/>
    <w:rsid w:val="00F41C2E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3AF"/>
    <w:pPr>
      <w:ind w:left="720"/>
      <w:contextualSpacing/>
    </w:pPr>
  </w:style>
  <w:style w:type="table" w:styleId="TableGrid">
    <w:name w:val="Table Grid"/>
    <w:basedOn w:val="TableNormal"/>
    <w:uiPriority w:val="59"/>
    <w:rsid w:val="00F773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7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7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5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39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390"/>
    <w:rPr>
      <w:sz w:val="20"/>
      <w:szCs w:val="20"/>
    </w:rPr>
  </w:style>
  <w:style w:type="paragraph" w:styleId="NoSpacing">
    <w:name w:val="No Spacing"/>
    <w:uiPriority w:val="1"/>
    <w:qFormat/>
    <w:rsid w:val="0064539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39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39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6B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6B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5B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3AF"/>
    <w:pPr>
      <w:ind w:left="720"/>
      <w:contextualSpacing/>
    </w:pPr>
  </w:style>
  <w:style w:type="table" w:styleId="TableGrid">
    <w:name w:val="Table Grid"/>
    <w:basedOn w:val="TableNormal"/>
    <w:uiPriority w:val="59"/>
    <w:rsid w:val="00F773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7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7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5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39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390"/>
    <w:rPr>
      <w:sz w:val="20"/>
      <w:szCs w:val="20"/>
    </w:rPr>
  </w:style>
  <w:style w:type="paragraph" w:styleId="NoSpacing">
    <w:name w:val="No Spacing"/>
    <w:uiPriority w:val="1"/>
    <w:qFormat/>
    <w:rsid w:val="0064539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39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39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6B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6B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5B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cconline.org/parcc-model-content-framework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assets/Math_Publishers_Criteria_HS_Spring%202013_FINAL.pdf" TargetMode="External"/><Relationship Id="rId17" Type="http://schemas.openxmlformats.org/officeDocument/2006/relationships/hyperlink" Target="http://www.parcconline.org/parcc-model-content-framewor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Math/Pract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assets/Math_Publishers_Criteria_K-8_Spring%202013_FINAL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ouisianabelieves.com/resources/classroom-support-toolbox/teacher-support-toolbox/end-of-year-assessmen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uisianabelieves.com/resources/classroom-support-toolbox/teacher-support-toolbox/standard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488-4A3F-4261-AFA8-5AA4D967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Mandy Boudwin</cp:lastModifiedBy>
  <cp:revision>3</cp:revision>
  <cp:lastPrinted>2013-02-25T18:58:00Z</cp:lastPrinted>
  <dcterms:created xsi:type="dcterms:W3CDTF">2013-04-10T17:34:00Z</dcterms:created>
  <dcterms:modified xsi:type="dcterms:W3CDTF">2013-04-10T17:37:00Z</dcterms:modified>
</cp:coreProperties>
</file>